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FFA3C" w14:textId="77777777" w:rsidR="00BA13B6" w:rsidRPr="000F21B3" w:rsidRDefault="00BA13B6" w:rsidP="00BA13B6">
      <w:pPr>
        <w:spacing w:before="60" w:after="60"/>
        <w:rPr>
          <w:rFonts w:cs="Arial"/>
          <w:i/>
          <w:szCs w:val="22"/>
        </w:rPr>
      </w:pPr>
      <w:r w:rsidRPr="000F21B3">
        <w:rPr>
          <w:rFonts w:cs="Arial"/>
          <w:szCs w:val="22"/>
        </w:rPr>
        <w:t xml:space="preserve">This fact sheet provides information </w:t>
      </w:r>
      <w:r w:rsidR="00765306" w:rsidRPr="000F21B3">
        <w:rPr>
          <w:rFonts w:cs="Arial"/>
          <w:szCs w:val="22"/>
        </w:rPr>
        <w:t>about</w:t>
      </w:r>
      <w:r w:rsidRPr="000F21B3">
        <w:rPr>
          <w:rFonts w:cs="Arial"/>
          <w:szCs w:val="22"/>
        </w:rPr>
        <w:t xml:space="preserve"> amendments to the </w:t>
      </w:r>
      <w:r w:rsidRPr="000F21B3">
        <w:rPr>
          <w:rFonts w:cs="Arial"/>
          <w:i/>
          <w:szCs w:val="22"/>
        </w:rPr>
        <w:t>Domestic and Family Violence Protection Act 2012</w:t>
      </w:r>
      <w:r w:rsidRPr="000F21B3">
        <w:rPr>
          <w:rFonts w:cs="Arial"/>
          <w:szCs w:val="22"/>
        </w:rPr>
        <w:t xml:space="preserve"> (the Act)</w:t>
      </w:r>
      <w:r w:rsidRPr="000F21B3">
        <w:rPr>
          <w:rFonts w:cs="Arial"/>
          <w:i/>
          <w:szCs w:val="22"/>
        </w:rPr>
        <w:t xml:space="preserve"> </w:t>
      </w:r>
      <w:r w:rsidR="009B2B86" w:rsidRPr="009B2B86">
        <w:rPr>
          <w:rFonts w:cs="Arial"/>
          <w:szCs w:val="22"/>
        </w:rPr>
        <w:t xml:space="preserve">made </w:t>
      </w:r>
      <w:r w:rsidRPr="000F21B3">
        <w:rPr>
          <w:rFonts w:cs="Arial"/>
          <w:szCs w:val="22"/>
        </w:rPr>
        <w:t xml:space="preserve">by the </w:t>
      </w:r>
      <w:r w:rsidRPr="00C16C9F">
        <w:rPr>
          <w:rFonts w:cs="Arial"/>
          <w:i/>
          <w:szCs w:val="22"/>
        </w:rPr>
        <w:t xml:space="preserve">Domestic and Family Violence Protection </w:t>
      </w:r>
      <w:r w:rsidR="00912DF7" w:rsidRPr="00C16C9F">
        <w:rPr>
          <w:rFonts w:cs="Arial"/>
          <w:i/>
          <w:szCs w:val="22"/>
        </w:rPr>
        <w:t xml:space="preserve">and Other Legislation </w:t>
      </w:r>
      <w:r w:rsidRPr="00C16C9F">
        <w:rPr>
          <w:rFonts w:cs="Arial"/>
          <w:i/>
          <w:szCs w:val="22"/>
        </w:rPr>
        <w:t xml:space="preserve">Amendment </w:t>
      </w:r>
      <w:r w:rsidR="00C16C9F">
        <w:rPr>
          <w:rFonts w:cs="Arial"/>
          <w:i/>
          <w:szCs w:val="22"/>
        </w:rPr>
        <w:t>Act</w:t>
      </w:r>
      <w:r w:rsidRPr="00C16C9F">
        <w:rPr>
          <w:rFonts w:cs="Arial"/>
          <w:i/>
          <w:szCs w:val="22"/>
        </w:rPr>
        <w:t xml:space="preserve"> 201</w:t>
      </w:r>
      <w:r w:rsidR="00207E14" w:rsidRPr="00C16C9F">
        <w:rPr>
          <w:rFonts w:cs="Arial"/>
          <w:i/>
          <w:szCs w:val="22"/>
        </w:rPr>
        <w:t>6</w:t>
      </w:r>
      <w:r w:rsidRPr="000F21B3">
        <w:rPr>
          <w:rFonts w:cs="Arial"/>
          <w:szCs w:val="22"/>
        </w:rPr>
        <w:t xml:space="preserve"> (the</w:t>
      </w:r>
      <w:r w:rsidR="00C16C9F">
        <w:rPr>
          <w:rFonts w:cs="Arial"/>
          <w:szCs w:val="22"/>
        </w:rPr>
        <w:t xml:space="preserve"> Amendment Act</w:t>
      </w:r>
      <w:r w:rsidRPr="000F21B3">
        <w:rPr>
          <w:rFonts w:cs="Arial"/>
          <w:szCs w:val="22"/>
        </w:rPr>
        <w:t>)</w:t>
      </w:r>
      <w:r w:rsidR="00C16C9F">
        <w:rPr>
          <w:rFonts w:cs="Arial"/>
          <w:szCs w:val="22"/>
        </w:rPr>
        <w:t>, which was passed by Queensland Parliament on 11 October 2016</w:t>
      </w:r>
      <w:r w:rsidRPr="000F21B3">
        <w:rPr>
          <w:rFonts w:cs="Arial"/>
          <w:i/>
          <w:szCs w:val="22"/>
        </w:rPr>
        <w:t>.</w:t>
      </w:r>
    </w:p>
    <w:p w14:paraId="6F4F812C" w14:textId="77777777" w:rsidR="00BA13B6" w:rsidRPr="000F21B3" w:rsidRDefault="00FD274A" w:rsidP="00515776">
      <w:pPr>
        <w:spacing w:before="120" w:after="60"/>
        <w:rPr>
          <w:rFonts w:cs="Arial"/>
          <w:b/>
          <w:sz w:val="24"/>
        </w:rPr>
      </w:pPr>
      <w:r>
        <w:rPr>
          <w:rFonts w:cs="Arial"/>
          <w:b/>
          <w:sz w:val="24"/>
        </w:rPr>
        <w:t>Overview</w:t>
      </w:r>
    </w:p>
    <w:p w14:paraId="581B69B9" w14:textId="77777777" w:rsidR="00EC3242" w:rsidRPr="000F21B3" w:rsidRDefault="00903091" w:rsidP="00543588">
      <w:pPr>
        <w:spacing w:before="60" w:after="60"/>
        <w:rPr>
          <w:rFonts w:cs="Arial"/>
          <w:szCs w:val="22"/>
        </w:rPr>
      </w:pPr>
      <w:r w:rsidRPr="000F21B3">
        <w:rPr>
          <w:rFonts w:cs="Arial"/>
          <w:szCs w:val="22"/>
        </w:rPr>
        <w:t xml:space="preserve">The </w:t>
      </w:r>
      <w:r w:rsidR="00C16C9F">
        <w:rPr>
          <w:rFonts w:cs="Arial"/>
          <w:szCs w:val="22"/>
        </w:rPr>
        <w:t>Amendment Act</w:t>
      </w:r>
      <w:r w:rsidRPr="000F21B3">
        <w:rPr>
          <w:rFonts w:cs="Arial"/>
          <w:szCs w:val="22"/>
        </w:rPr>
        <w:t xml:space="preserve"> builds on priority legislative changes already enacted and is the next stage of legislative reforms to implement the</w:t>
      </w:r>
      <w:r w:rsidR="00543588" w:rsidRPr="000F21B3">
        <w:rPr>
          <w:rFonts w:cs="Arial"/>
          <w:szCs w:val="22"/>
        </w:rPr>
        <w:t xml:space="preserve"> Queensland Government’s response to the </w:t>
      </w:r>
      <w:r w:rsidR="001F2718" w:rsidRPr="000F21B3">
        <w:rPr>
          <w:rFonts w:cs="Arial"/>
          <w:szCs w:val="22"/>
        </w:rPr>
        <w:t>Special Taskforce on Domestic and Family Violence in Queensland (the Taskforce)</w:t>
      </w:r>
      <w:r w:rsidR="00DA2A0E" w:rsidRPr="000F21B3">
        <w:rPr>
          <w:rFonts w:cs="Arial"/>
          <w:szCs w:val="22"/>
        </w:rPr>
        <w:t xml:space="preserve">. The </w:t>
      </w:r>
      <w:r w:rsidR="00C16C9F">
        <w:rPr>
          <w:rFonts w:cs="Arial"/>
          <w:szCs w:val="22"/>
        </w:rPr>
        <w:t>Amendment Act</w:t>
      </w:r>
      <w:r w:rsidR="00DA2A0E" w:rsidRPr="000F21B3">
        <w:rPr>
          <w:rFonts w:cs="Arial"/>
          <w:szCs w:val="22"/>
        </w:rPr>
        <w:t xml:space="preserve"> implements the outcomes of an </w:t>
      </w:r>
      <w:r w:rsidR="001F2718" w:rsidRPr="000F21B3">
        <w:rPr>
          <w:rFonts w:cs="Arial"/>
          <w:szCs w:val="22"/>
        </w:rPr>
        <w:t>overarching review of the Act</w:t>
      </w:r>
      <w:r w:rsidR="00EC3242" w:rsidRPr="000F21B3">
        <w:rPr>
          <w:rFonts w:cs="Arial"/>
          <w:szCs w:val="22"/>
        </w:rPr>
        <w:t xml:space="preserve"> </w:t>
      </w:r>
      <w:r w:rsidR="00DA2A0E" w:rsidRPr="000F21B3">
        <w:rPr>
          <w:rFonts w:cs="Arial"/>
          <w:szCs w:val="22"/>
        </w:rPr>
        <w:t>(recommendation 140)</w:t>
      </w:r>
      <w:r w:rsidR="001F2718" w:rsidRPr="000F21B3">
        <w:rPr>
          <w:rFonts w:cs="Arial"/>
          <w:szCs w:val="22"/>
        </w:rPr>
        <w:t>.</w:t>
      </w:r>
      <w:r w:rsidR="00543588" w:rsidRPr="000F21B3">
        <w:rPr>
          <w:rFonts w:cs="Arial"/>
          <w:szCs w:val="22"/>
        </w:rPr>
        <w:t xml:space="preserve"> </w:t>
      </w:r>
    </w:p>
    <w:p w14:paraId="2EB3B80C" w14:textId="77777777" w:rsidR="001F04F5" w:rsidRDefault="001F04F5" w:rsidP="001F04F5">
      <w:pPr>
        <w:spacing w:before="60" w:after="60"/>
        <w:rPr>
          <w:rFonts w:cs="Arial"/>
          <w:szCs w:val="22"/>
        </w:rPr>
      </w:pPr>
      <w:r w:rsidRPr="000F21B3">
        <w:rPr>
          <w:rFonts w:cs="Arial"/>
          <w:szCs w:val="22"/>
        </w:rPr>
        <w:t xml:space="preserve">The </w:t>
      </w:r>
      <w:r w:rsidR="00C16C9F">
        <w:rPr>
          <w:rFonts w:cs="Arial"/>
          <w:szCs w:val="22"/>
        </w:rPr>
        <w:t>Amendment Act</w:t>
      </w:r>
      <w:r w:rsidRPr="000F21B3">
        <w:rPr>
          <w:rFonts w:cs="Arial"/>
          <w:szCs w:val="22"/>
        </w:rPr>
        <w:t xml:space="preserve"> also implements </w:t>
      </w:r>
      <w:r w:rsidRPr="000F21B3">
        <w:t>model laws endorsed by the Council of Australian Governments to enable Queensland to participate in the National Domestic Violence Order Scheme (NDVOS), which will provide for the automatic mutual recognition of domestic violence orders (DVOs) made across Australia.</w:t>
      </w:r>
      <w:r w:rsidRPr="000F21B3">
        <w:rPr>
          <w:rFonts w:cs="Arial"/>
          <w:szCs w:val="22"/>
        </w:rPr>
        <w:t xml:space="preserve"> </w:t>
      </w:r>
    </w:p>
    <w:p w14:paraId="3FA87608" w14:textId="77777777" w:rsidR="00FD274A" w:rsidRDefault="00FD274A" w:rsidP="00FD274A">
      <w:pPr>
        <w:spacing w:before="120" w:after="60"/>
        <w:rPr>
          <w:rFonts w:cs="Arial"/>
        </w:rPr>
      </w:pPr>
      <w:r>
        <w:rPr>
          <w:rFonts w:cs="Arial"/>
          <w:b/>
          <w:sz w:val="24"/>
        </w:rPr>
        <w:t xml:space="preserve">Commencement </w:t>
      </w:r>
    </w:p>
    <w:p w14:paraId="3CC4EA4C" w14:textId="77777777" w:rsidR="00FD274A" w:rsidRDefault="00FD274A" w:rsidP="00FD274A">
      <w:pPr>
        <w:spacing w:before="60" w:after="60"/>
        <w:rPr>
          <w:rFonts w:cs="Arial"/>
          <w:szCs w:val="22"/>
        </w:rPr>
      </w:pPr>
      <w:r w:rsidRPr="005D4B44">
        <w:rPr>
          <w:rFonts w:cs="Arial"/>
        </w:rPr>
        <w:t>The majority of provisions of th</w:t>
      </w:r>
      <w:r w:rsidRPr="00FD274A">
        <w:rPr>
          <w:rFonts w:cs="Arial"/>
        </w:rPr>
        <w:t xml:space="preserve">e </w:t>
      </w:r>
      <w:r w:rsidRPr="004C55BC">
        <w:rPr>
          <w:rFonts w:cs="Arial"/>
          <w:iCs/>
        </w:rPr>
        <w:t>Amendment Act</w:t>
      </w:r>
      <w:r w:rsidRPr="005D4B44">
        <w:rPr>
          <w:rFonts w:cs="Arial"/>
          <w:i/>
          <w:iCs/>
        </w:rPr>
        <w:t xml:space="preserve"> </w:t>
      </w:r>
      <w:r w:rsidRPr="005D4B44">
        <w:rPr>
          <w:rFonts w:cs="Arial"/>
        </w:rPr>
        <w:t>came into effect on 30 May 2017</w:t>
      </w:r>
      <w:r w:rsidRPr="005D4B44">
        <w:rPr>
          <w:rFonts w:cs="Arial"/>
          <w:i/>
          <w:iCs/>
        </w:rPr>
        <w:t xml:space="preserve">. </w:t>
      </w:r>
      <w:r w:rsidRPr="005D4B44">
        <w:rPr>
          <w:rFonts w:cs="Arial"/>
        </w:rPr>
        <w:t xml:space="preserve">Provisions related to implementing the NDVOS did not commence on this date. </w:t>
      </w:r>
      <w:r>
        <w:rPr>
          <w:rFonts w:cs="Arial"/>
        </w:rPr>
        <w:t>I</w:t>
      </w:r>
      <w:r w:rsidRPr="005D4B44">
        <w:rPr>
          <w:rFonts w:cs="Arial"/>
        </w:rPr>
        <w:t>t is anticipated that jurisdictions will work towards commencing the NDVOS on 25 November 2017.</w:t>
      </w:r>
    </w:p>
    <w:p w14:paraId="695D33D5" w14:textId="77777777" w:rsidR="00FD274A" w:rsidRPr="004C55BC" w:rsidRDefault="00FD274A" w:rsidP="004C55BC">
      <w:pPr>
        <w:spacing w:before="120" w:after="60"/>
        <w:rPr>
          <w:rFonts w:cs="Arial"/>
          <w:b/>
          <w:sz w:val="24"/>
        </w:rPr>
      </w:pPr>
      <w:r w:rsidRPr="004C55BC">
        <w:rPr>
          <w:rFonts w:cs="Arial"/>
          <w:b/>
          <w:sz w:val="24"/>
        </w:rPr>
        <w:t>The amendments</w:t>
      </w:r>
    </w:p>
    <w:p w14:paraId="379A647F" w14:textId="77777777" w:rsidR="00543588" w:rsidRPr="000F21B3" w:rsidRDefault="00543588" w:rsidP="004C55BC">
      <w:pPr>
        <w:spacing w:before="60" w:after="60"/>
        <w:ind w:right="-143"/>
      </w:pPr>
      <w:r w:rsidRPr="000F21B3">
        <w:t xml:space="preserve">The </w:t>
      </w:r>
      <w:r w:rsidR="00C16C9F">
        <w:t>Amendment Act</w:t>
      </w:r>
      <w:r w:rsidRPr="000F21B3">
        <w:t xml:space="preserve"> improves protection for victims and </w:t>
      </w:r>
      <w:r w:rsidR="00861D1E" w:rsidRPr="000F21B3">
        <w:t>strengthens</w:t>
      </w:r>
      <w:r w:rsidRPr="000F21B3">
        <w:t xml:space="preserve"> the justice response by:</w:t>
      </w:r>
    </w:p>
    <w:p w14:paraId="390E281D" w14:textId="77777777" w:rsidR="00904635" w:rsidRPr="000F21B3" w:rsidRDefault="00904635" w:rsidP="00515776">
      <w:pPr>
        <w:numPr>
          <w:ilvl w:val="0"/>
          <w:numId w:val="7"/>
        </w:numPr>
        <w:spacing w:before="60" w:after="60"/>
        <w:ind w:left="357" w:hanging="357"/>
        <w:rPr>
          <w:rFonts w:cs="Arial"/>
        </w:rPr>
      </w:pPr>
      <w:r w:rsidRPr="000F21B3">
        <w:rPr>
          <w:rFonts w:cs="Arial"/>
        </w:rPr>
        <w:t xml:space="preserve">requiring police to consider what action to take to provide victims with effective and immediate protection until a court can consider an application for a protection order (PO) and expanding the protection able to be provided by police protection notices (PPNs) to better safeguard victims and their families; </w:t>
      </w:r>
    </w:p>
    <w:p w14:paraId="6F25C16A" w14:textId="77777777" w:rsidR="00CC2039" w:rsidRPr="000F21B3" w:rsidRDefault="00912DF7" w:rsidP="00F804D6">
      <w:pPr>
        <w:numPr>
          <w:ilvl w:val="0"/>
          <w:numId w:val="7"/>
        </w:numPr>
        <w:spacing w:before="60" w:after="60"/>
        <w:ind w:left="357" w:hanging="357"/>
        <w:rPr>
          <w:rFonts w:cs="Arial"/>
        </w:rPr>
      </w:pPr>
      <w:r w:rsidRPr="000F21B3">
        <w:rPr>
          <w:rFonts w:cs="Arial"/>
        </w:rPr>
        <w:t xml:space="preserve">clarifying that </w:t>
      </w:r>
      <w:r w:rsidR="00B51846">
        <w:rPr>
          <w:rFonts w:cs="Arial"/>
        </w:rPr>
        <w:t xml:space="preserve">a </w:t>
      </w:r>
      <w:r w:rsidRPr="000F21B3">
        <w:rPr>
          <w:rFonts w:cs="Arial"/>
        </w:rPr>
        <w:t>court may make a DVO when a victim has been threatened or has fears for their safety or wellbeing;</w:t>
      </w:r>
    </w:p>
    <w:p w14:paraId="1679FA65" w14:textId="77777777" w:rsidR="00CC2039" w:rsidRPr="000F21B3" w:rsidRDefault="00CC2039" w:rsidP="00CC2039">
      <w:pPr>
        <w:numPr>
          <w:ilvl w:val="0"/>
          <w:numId w:val="7"/>
        </w:numPr>
        <w:spacing w:before="60" w:after="60"/>
        <w:ind w:left="357" w:hanging="357"/>
        <w:rPr>
          <w:rFonts w:cs="Arial"/>
        </w:rPr>
      </w:pPr>
      <w:r w:rsidRPr="000F21B3">
        <w:t xml:space="preserve">expanding the existing power available to police, to direct a person to remain at a specified place, to also enable them to direct a person to move to and remain at </w:t>
      </w:r>
      <w:r w:rsidRPr="00FD274A">
        <w:rPr>
          <w:rFonts w:cs="Arial"/>
        </w:rPr>
        <w:t>another place to allow police to serve or explain an application, PPN or DVO or issue a PPN;</w:t>
      </w:r>
    </w:p>
    <w:p w14:paraId="6087A3F8" w14:textId="77777777" w:rsidR="00EC0A61" w:rsidRPr="000F21B3" w:rsidRDefault="00912DF7" w:rsidP="00CC2039">
      <w:pPr>
        <w:numPr>
          <w:ilvl w:val="0"/>
          <w:numId w:val="7"/>
        </w:numPr>
        <w:spacing w:before="60" w:after="60"/>
        <w:ind w:left="357" w:hanging="357"/>
        <w:rPr>
          <w:rFonts w:cs="Arial"/>
        </w:rPr>
      </w:pPr>
      <w:r w:rsidRPr="000F21B3">
        <w:rPr>
          <w:rFonts w:cs="Arial"/>
        </w:rPr>
        <w:t xml:space="preserve">requiring </w:t>
      </w:r>
      <w:r w:rsidR="00C82688">
        <w:rPr>
          <w:rFonts w:cs="Arial"/>
        </w:rPr>
        <w:t xml:space="preserve">a </w:t>
      </w:r>
      <w:r w:rsidRPr="000F21B3">
        <w:rPr>
          <w:rFonts w:cs="Arial"/>
        </w:rPr>
        <w:t xml:space="preserve">court to consider whether additional DVO conditions (beyond the standard condition that the respondent be of good behaviour) are necessary or desirable to better tailor protection for the victim or another named person; </w:t>
      </w:r>
    </w:p>
    <w:p w14:paraId="4EAA5289" w14:textId="77777777" w:rsidR="00912DF7" w:rsidRPr="000F21B3" w:rsidRDefault="00912DF7" w:rsidP="00FB237A">
      <w:pPr>
        <w:numPr>
          <w:ilvl w:val="0"/>
          <w:numId w:val="7"/>
        </w:numPr>
        <w:spacing w:before="60" w:after="60"/>
        <w:ind w:left="357" w:hanging="357"/>
        <w:rPr>
          <w:rFonts w:cs="Arial"/>
        </w:rPr>
      </w:pPr>
      <w:r w:rsidRPr="000F21B3">
        <w:rPr>
          <w:rFonts w:cs="Arial"/>
        </w:rPr>
        <w:t xml:space="preserve">requiring </w:t>
      </w:r>
      <w:r w:rsidR="00B51846">
        <w:rPr>
          <w:rFonts w:cs="Arial"/>
        </w:rPr>
        <w:t xml:space="preserve">a </w:t>
      </w:r>
      <w:r w:rsidRPr="000F21B3">
        <w:rPr>
          <w:rFonts w:cs="Arial"/>
        </w:rPr>
        <w:t xml:space="preserve">court to focus on the protection required by a victim in determining the appropriate duration of a </w:t>
      </w:r>
      <w:r w:rsidR="00904635" w:rsidRPr="000F21B3">
        <w:rPr>
          <w:rFonts w:cs="Arial"/>
        </w:rPr>
        <w:t>PO</w:t>
      </w:r>
      <w:r w:rsidRPr="000F21B3">
        <w:rPr>
          <w:rFonts w:cs="Arial"/>
        </w:rPr>
        <w:t xml:space="preserve">; </w:t>
      </w:r>
    </w:p>
    <w:p w14:paraId="772D2BC1" w14:textId="77777777" w:rsidR="00912DF7" w:rsidRPr="000F21B3" w:rsidRDefault="00912DF7" w:rsidP="00FB237A">
      <w:pPr>
        <w:numPr>
          <w:ilvl w:val="0"/>
          <w:numId w:val="7"/>
        </w:numPr>
        <w:spacing w:before="60" w:after="60"/>
        <w:ind w:left="357" w:hanging="357"/>
        <w:rPr>
          <w:rFonts w:cs="Arial"/>
        </w:rPr>
      </w:pPr>
      <w:r w:rsidRPr="000F21B3">
        <w:rPr>
          <w:rFonts w:cs="Arial"/>
        </w:rPr>
        <w:t xml:space="preserve">requiring </w:t>
      </w:r>
      <w:r w:rsidR="00B51846">
        <w:rPr>
          <w:rFonts w:cs="Arial"/>
        </w:rPr>
        <w:t xml:space="preserve">a </w:t>
      </w:r>
      <w:r w:rsidRPr="000F21B3">
        <w:rPr>
          <w:rFonts w:cs="Arial"/>
        </w:rPr>
        <w:t>c</w:t>
      </w:r>
      <w:r w:rsidR="00B51846">
        <w:rPr>
          <w:rFonts w:cs="Arial"/>
        </w:rPr>
        <w:t>ourt</w:t>
      </w:r>
      <w:r w:rsidRPr="000F21B3">
        <w:rPr>
          <w:rFonts w:cs="Arial"/>
        </w:rPr>
        <w:t xml:space="preserve"> to consider any existing family law order </w:t>
      </w:r>
      <w:r w:rsidR="00B51846">
        <w:rPr>
          <w:rFonts w:cs="Arial"/>
        </w:rPr>
        <w:t xml:space="preserve">it is </w:t>
      </w:r>
      <w:r w:rsidR="00EC0A61" w:rsidRPr="000F21B3">
        <w:rPr>
          <w:rFonts w:cs="Arial"/>
        </w:rPr>
        <w:t>aware of and whether th</w:t>
      </w:r>
      <w:r w:rsidR="00CC2039" w:rsidRPr="000F21B3">
        <w:rPr>
          <w:rFonts w:cs="Arial"/>
        </w:rPr>
        <w:t>at</w:t>
      </w:r>
      <w:r w:rsidR="00D95F30" w:rsidRPr="000F21B3">
        <w:rPr>
          <w:rFonts w:cs="Arial"/>
        </w:rPr>
        <w:t xml:space="preserve"> </w:t>
      </w:r>
      <w:r w:rsidR="00EC0A61" w:rsidRPr="000F21B3">
        <w:rPr>
          <w:rFonts w:cs="Arial"/>
        </w:rPr>
        <w:t>order</w:t>
      </w:r>
      <w:r w:rsidRPr="000F21B3">
        <w:rPr>
          <w:rFonts w:cs="Arial"/>
        </w:rPr>
        <w:t xml:space="preserve"> needs to be varied or suspended if it is inconsistent with the protection needed by the victim; </w:t>
      </w:r>
    </w:p>
    <w:p w14:paraId="1AF49116" w14:textId="77777777" w:rsidR="00CC2039" w:rsidRPr="000F21B3" w:rsidRDefault="00CC2039" w:rsidP="00CC2039">
      <w:pPr>
        <w:numPr>
          <w:ilvl w:val="0"/>
          <w:numId w:val="7"/>
        </w:numPr>
        <w:spacing w:before="60" w:after="60"/>
        <w:ind w:left="357" w:hanging="357"/>
        <w:rPr>
          <w:rFonts w:cs="Arial"/>
        </w:rPr>
      </w:pPr>
      <w:r w:rsidRPr="000F21B3">
        <w:rPr>
          <w:rFonts w:cs="Arial"/>
        </w:rPr>
        <w:t xml:space="preserve">clarifying that a court must consider non-compliance, and may consider compliance, with a </w:t>
      </w:r>
      <w:r w:rsidR="008168E6">
        <w:rPr>
          <w:rFonts w:cs="Arial"/>
        </w:rPr>
        <w:t>perpetrator</w:t>
      </w:r>
      <w:r w:rsidRPr="000F21B3">
        <w:rPr>
          <w:rFonts w:cs="Arial"/>
        </w:rPr>
        <w:t xml:space="preserve"> intervention order (IO) when making a PO or varying a DVO, but must not refuse to make a PO or vary a DVO merely because the respondent has complied with a</w:t>
      </w:r>
      <w:r w:rsidR="008168E6">
        <w:rPr>
          <w:rFonts w:cs="Arial"/>
        </w:rPr>
        <w:t xml:space="preserve">n </w:t>
      </w:r>
      <w:r w:rsidRPr="000F21B3">
        <w:rPr>
          <w:rFonts w:cs="Arial"/>
        </w:rPr>
        <w:t>IO;</w:t>
      </w:r>
    </w:p>
    <w:p w14:paraId="336ECA24" w14:textId="77777777" w:rsidR="00912DF7" w:rsidRPr="000F21B3" w:rsidRDefault="00912DF7" w:rsidP="00CC2039">
      <w:pPr>
        <w:numPr>
          <w:ilvl w:val="0"/>
          <w:numId w:val="7"/>
        </w:numPr>
        <w:spacing w:before="60" w:after="60"/>
        <w:ind w:left="357" w:hanging="357"/>
        <w:rPr>
          <w:rFonts w:cs="Arial"/>
        </w:rPr>
      </w:pPr>
      <w:r w:rsidRPr="000F21B3">
        <w:rPr>
          <w:rFonts w:cs="Arial"/>
        </w:rPr>
        <w:t xml:space="preserve">facilitating information sharing between key government and non-government entities to enable both risk assessment and management of serious domestic violence threats; </w:t>
      </w:r>
    </w:p>
    <w:p w14:paraId="3C4D960E" w14:textId="77777777" w:rsidR="00912DF7" w:rsidRPr="000F21B3" w:rsidRDefault="00912DF7" w:rsidP="00FB237A">
      <w:pPr>
        <w:numPr>
          <w:ilvl w:val="0"/>
          <w:numId w:val="7"/>
        </w:numPr>
        <w:spacing w:before="60" w:after="60"/>
        <w:ind w:left="357" w:hanging="357"/>
        <w:rPr>
          <w:rFonts w:cs="Arial"/>
        </w:rPr>
      </w:pPr>
      <w:r w:rsidRPr="000F21B3">
        <w:rPr>
          <w:rFonts w:cs="Arial"/>
        </w:rPr>
        <w:t xml:space="preserve">enabling the Queensland Police Service to refer victims and perpetrators to specialist domestic and family violence service providers where a threat to a person’s life, health or safety is identified; and </w:t>
      </w:r>
    </w:p>
    <w:p w14:paraId="07825BCD" w14:textId="77777777" w:rsidR="00912DF7" w:rsidRPr="000F21B3" w:rsidRDefault="00912DF7" w:rsidP="00FB237A">
      <w:pPr>
        <w:numPr>
          <w:ilvl w:val="0"/>
          <w:numId w:val="7"/>
        </w:numPr>
        <w:spacing w:before="60" w:after="60"/>
        <w:ind w:left="357" w:hanging="357"/>
        <w:rPr>
          <w:rFonts w:cs="Arial"/>
        </w:rPr>
      </w:pPr>
      <w:r w:rsidRPr="000F21B3">
        <w:rPr>
          <w:rFonts w:cs="Arial"/>
        </w:rPr>
        <w:t>providing for the automatic mutual recognition of DVOs across Australia under the NDVOS.</w:t>
      </w:r>
    </w:p>
    <w:p w14:paraId="2F086A3E" w14:textId="77777777" w:rsidR="00912DF7" w:rsidRPr="000F21B3" w:rsidRDefault="00912DF7" w:rsidP="005173EF">
      <w:pPr>
        <w:spacing w:after="120"/>
        <w:ind w:right="-143"/>
        <w:rPr>
          <w:rFonts w:cs="Arial"/>
        </w:rPr>
      </w:pPr>
      <w:r w:rsidRPr="000F21B3">
        <w:rPr>
          <w:rFonts w:cs="Arial"/>
        </w:rPr>
        <w:t xml:space="preserve">The </w:t>
      </w:r>
      <w:r w:rsidR="00C16C9F">
        <w:rPr>
          <w:rFonts w:cs="Arial"/>
        </w:rPr>
        <w:t>Amendment Act</w:t>
      </w:r>
      <w:r w:rsidRPr="000F21B3">
        <w:rPr>
          <w:rFonts w:cs="Arial"/>
        </w:rPr>
        <w:t xml:space="preserve"> also increases perpetrator accountability by increasing </w:t>
      </w:r>
      <w:r w:rsidR="00F804D6" w:rsidRPr="000F21B3">
        <w:rPr>
          <w:rFonts w:cs="Arial"/>
        </w:rPr>
        <w:t xml:space="preserve">maximum </w:t>
      </w:r>
      <w:r w:rsidRPr="000F21B3">
        <w:rPr>
          <w:rFonts w:cs="Arial"/>
        </w:rPr>
        <w:t>penalties for breaches of PPN</w:t>
      </w:r>
      <w:r w:rsidR="00F804D6" w:rsidRPr="000F21B3">
        <w:rPr>
          <w:rFonts w:cs="Arial"/>
        </w:rPr>
        <w:t>s and release conditions</w:t>
      </w:r>
      <w:r w:rsidRPr="000F21B3">
        <w:rPr>
          <w:rFonts w:cs="Arial"/>
        </w:rPr>
        <w:t xml:space="preserve"> to achieve consistency with other existing penalty provisions, and reflect the seriousness of domestic violence.</w:t>
      </w:r>
    </w:p>
    <w:p w14:paraId="70E08AC9" w14:textId="77777777" w:rsidR="00754A4B" w:rsidRPr="000F21B3" w:rsidRDefault="00BA13B6" w:rsidP="00515776">
      <w:pPr>
        <w:spacing w:before="120" w:after="60"/>
        <w:rPr>
          <w:rFonts w:cs="Arial"/>
          <w:b/>
          <w:sz w:val="24"/>
        </w:rPr>
      </w:pPr>
      <w:r w:rsidRPr="000F21B3">
        <w:rPr>
          <w:rFonts w:cs="Arial"/>
          <w:b/>
          <w:sz w:val="24"/>
        </w:rPr>
        <w:t>Benefits</w:t>
      </w:r>
    </w:p>
    <w:p w14:paraId="71393F0C" w14:textId="77777777" w:rsidR="00740A22" w:rsidRPr="000F21B3" w:rsidRDefault="00EC3242" w:rsidP="00125729">
      <w:pPr>
        <w:spacing w:after="60"/>
        <w:rPr>
          <w:rFonts w:cs="Arial"/>
          <w:szCs w:val="22"/>
          <w:u w:val="single"/>
        </w:rPr>
      </w:pPr>
      <w:r w:rsidRPr="000F21B3">
        <w:rPr>
          <w:rFonts w:cs="Arial"/>
          <w:szCs w:val="22"/>
          <w:u w:val="single"/>
        </w:rPr>
        <w:t xml:space="preserve">Expanded PPNs and police powers </w:t>
      </w:r>
    </w:p>
    <w:p w14:paraId="3C349D48" w14:textId="77777777" w:rsidR="00EC3242" w:rsidRPr="000F21B3" w:rsidRDefault="00EC3242" w:rsidP="00EC3242">
      <w:pPr>
        <w:spacing w:before="60" w:after="60"/>
        <w:rPr>
          <w:rFonts w:cs="Arial"/>
          <w:szCs w:val="22"/>
        </w:rPr>
      </w:pPr>
      <w:r w:rsidRPr="000F21B3">
        <w:rPr>
          <w:rFonts w:cs="Arial"/>
          <w:szCs w:val="22"/>
        </w:rPr>
        <w:t xml:space="preserve">The provisions in the </w:t>
      </w:r>
      <w:r w:rsidR="00C16C9F">
        <w:rPr>
          <w:rFonts w:cs="Arial"/>
          <w:szCs w:val="22"/>
        </w:rPr>
        <w:t>Amendment Act</w:t>
      </w:r>
      <w:r w:rsidRPr="000F21B3">
        <w:rPr>
          <w:rFonts w:cs="Arial"/>
          <w:szCs w:val="22"/>
        </w:rPr>
        <w:t xml:space="preserve"> are designed to:</w:t>
      </w:r>
    </w:p>
    <w:p w14:paraId="4982989D" w14:textId="77777777" w:rsidR="00EC3242" w:rsidRPr="000F21B3" w:rsidRDefault="00EC3242" w:rsidP="00EC3242">
      <w:pPr>
        <w:numPr>
          <w:ilvl w:val="0"/>
          <w:numId w:val="7"/>
        </w:numPr>
        <w:spacing w:before="60" w:after="60"/>
        <w:ind w:left="357" w:hanging="357"/>
        <w:rPr>
          <w:rFonts w:cs="Arial"/>
        </w:rPr>
      </w:pPr>
      <w:r w:rsidRPr="000F21B3">
        <w:rPr>
          <w:rFonts w:cs="Arial"/>
        </w:rPr>
        <w:t xml:space="preserve">expand the protection police officers can provide to victims prior to </w:t>
      </w:r>
      <w:r w:rsidR="008739B1">
        <w:rPr>
          <w:rFonts w:cs="Arial"/>
        </w:rPr>
        <w:t xml:space="preserve">a </w:t>
      </w:r>
      <w:r w:rsidRPr="000F21B3">
        <w:rPr>
          <w:rFonts w:cs="Arial"/>
        </w:rPr>
        <w:t xml:space="preserve">court hearing </w:t>
      </w:r>
      <w:r w:rsidR="008739B1">
        <w:rPr>
          <w:rFonts w:cs="Arial"/>
        </w:rPr>
        <w:t xml:space="preserve">an </w:t>
      </w:r>
      <w:r w:rsidRPr="000F21B3">
        <w:rPr>
          <w:rFonts w:cs="Arial"/>
        </w:rPr>
        <w:t xml:space="preserve">application for </w:t>
      </w:r>
      <w:r w:rsidR="008739B1">
        <w:rPr>
          <w:rFonts w:cs="Arial"/>
        </w:rPr>
        <w:t xml:space="preserve">a </w:t>
      </w:r>
      <w:r w:rsidRPr="000F21B3">
        <w:rPr>
          <w:rFonts w:cs="Arial"/>
        </w:rPr>
        <w:t>DVO</w:t>
      </w:r>
      <w:r w:rsidR="00F96AB2" w:rsidRPr="000F21B3">
        <w:rPr>
          <w:rFonts w:cs="Arial"/>
        </w:rPr>
        <w:t>;</w:t>
      </w:r>
    </w:p>
    <w:p w14:paraId="3225A77D" w14:textId="77777777" w:rsidR="00EC3242" w:rsidRPr="000F21B3" w:rsidRDefault="00F96AB2" w:rsidP="00EC3242">
      <w:pPr>
        <w:numPr>
          <w:ilvl w:val="0"/>
          <w:numId w:val="7"/>
        </w:numPr>
        <w:spacing w:before="60" w:after="60"/>
        <w:ind w:left="357" w:hanging="357"/>
        <w:rPr>
          <w:rFonts w:cs="Arial"/>
        </w:rPr>
      </w:pPr>
      <w:r w:rsidRPr="000F21B3">
        <w:rPr>
          <w:rFonts w:cs="Arial"/>
        </w:rPr>
        <w:lastRenderedPageBreak/>
        <w:t>enable</w:t>
      </w:r>
      <w:r w:rsidR="00EC3242" w:rsidRPr="000F21B3">
        <w:rPr>
          <w:rFonts w:cs="Arial"/>
        </w:rPr>
        <w:t xml:space="preserve"> police officers to tailor protection to meet victims’ needs</w:t>
      </w:r>
      <w:r w:rsidRPr="000F21B3">
        <w:rPr>
          <w:rFonts w:cs="Arial"/>
        </w:rPr>
        <w:t>;</w:t>
      </w:r>
    </w:p>
    <w:p w14:paraId="699721D3" w14:textId="77777777" w:rsidR="00EC3242" w:rsidRPr="000F21B3" w:rsidRDefault="00EC3242" w:rsidP="00EC3242">
      <w:pPr>
        <w:numPr>
          <w:ilvl w:val="0"/>
          <w:numId w:val="7"/>
        </w:numPr>
        <w:spacing w:before="60" w:after="60"/>
        <w:ind w:left="357" w:hanging="357"/>
        <w:rPr>
          <w:rFonts w:cs="Arial"/>
        </w:rPr>
      </w:pPr>
      <w:r w:rsidRPr="000F21B3">
        <w:rPr>
          <w:rFonts w:cs="Arial"/>
        </w:rPr>
        <w:t>make PPNs easier for police officers to use and simplif</w:t>
      </w:r>
      <w:r w:rsidR="00F96AB2" w:rsidRPr="000F21B3">
        <w:rPr>
          <w:rFonts w:cs="Arial"/>
        </w:rPr>
        <w:t>y</w:t>
      </w:r>
      <w:r w:rsidRPr="000F21B3">
        <w:rPr>
          <w:rFonts w:cs="Arial"/>
        </w:rPr>
        <w:t xml:space="preserve"> the current range of police responses</w:t>
      </w:r>
      <w:r w:rsidR="0004320F" w:rsidRPr="000F21B3">
        <w:rPr>
          <w:rFonts w:cs="Arial"/>
        </w:rPr>
        <w:t xml:space="preserve"> to domestic and family violence</w:t>
      </w:r>
      <w:r w:rsidRPr="000F21B3">
        <w:rPr>
          <w:rFonts w:cs="Arial"/>
        </w:rPr>
        <w:t>.</w:t>
      </w:r>
    </w:p>
    <w:p w14:paraId="65F99D6D" w14:textId="77777777" w:rsidR="00BD593B" w:rsidRPr="000F21B3" w:rsidRDefault="003279EB" w:rsidP="003279EB">
      <w:pPr>
        <w:spacing w:after="0"/>
        <w:rPr>
          <w:rFonts w:cs="Arial"/>
          <w:szCs w:val="22"/>
          <w:u w:val="single"/>
        </w:rPr>
      </w:pPr>
      <w:r w:rsidRPr="000F21B3">
        <w:rPr>
          <w:rFonts w:cs="Arial"/>
          <w:szCs w:val="22"/>
          <w:u w:val="single"/>
        </w:rPr>
        <w:t>T</w:t>
      </w:r>
      <w:r w:rsidR="00BD593B" w:rsidRPr="000F21B3">
        <w:rPr>
          <w:rFonts w:cs="Arial"/>
          <w:szCs w:val="22"/>
          <w:u w:val="single"/>
        </w:rPr>
        <w:t>ailoring conditions in DVOs</w:t>
      </w:r>
    </w:p>
    <w:p w14:paraId="34194F84" w14:textId="77777777" w:rsidR="00BD593B" w:rsidRPr="000F21B3" w:rsidRDefault="00BD593B" w:rsidP="00BD593B">
      <w:pPr>
        <w:numPr>
          <w:ilvl w:val="0"/>
          <w:numId w:val="7"/>
        </w:numPr>
        <w:spacing w:before="60" w:after="60"/>
        <w:ind w:left="357" w:hanging="357"/>
        <w:rPr>
          <w:rFonts w:cs="Arial"/>
        </w:rPr>
      </w:pPr>
      <w:r w:rsidRPr="000F21B3">
        <w:rPr>
          <w:rFonts w:cs="Arial"/>
        </w:rPr>
        <w:t xml:space="preserve">These changes improve </w:t>
      </w:r>
      <w:r w:rsidR="00CA1AA4">
        <w:rPr>
          <w:rFonts w:cs="Arial"/>
        </w:rPr>
        <w:t>the ability of a victim</w:t>
      </w:r>
      <w:r w:rsidRPr="000F21B3">
        <w:rPr>
          <w:rFonts w:cs="Arial"/>
        </w:rPr>
        <w:t xml:space="preserve"> to obtain tailored protection by requiring </w:t>
      </w:r>
      <w:r w:rsidR="00C82688">
        <w:rPr>
          <w:rFonts w:cs="Arial"/>
        </w:rPr>
        <w:t xml:space="preserve">a </w:t>
      </w:r>
      <w:r w:rsidRPr="000F21B3">
        <w:rPr>
          <w:rFonts w:cs="Arial"/>
        </w:rPr>
        <w:t xml:space="preserve">court to always consider </w:t>
      </w:r>
      <w:r w:rsidR="00F96AB2" w:rsidRPr="000F21B3">
        <w:rPr>
          <w:rFonts w:cs="Arial"/>
        </w:rPr>
        <w:t>whether</w:t>
      </w:r>
      <w:r w:rsidRPr="000F21B3">
        <w:rPr>
          <w:rFonts w:cs="Arial"/>
        </w:rPr>
        <w:t xml:space="preserve"> additional conditions should be included on the order. </w:t>
      </w:r>
    </w:p>
    <w:p w14:paraId="4A0C4A87" w14:textId="77777777" w:rsidR="00BD593B" w:rsidRPr="000F21B3" w:rsidRDefault="00BD593B" w:rsidP="00BD593B">
      <w:pPr>
        <w:spacing w:after="60"/>
        <w:rPr>
          <w:rFonts w:cs="Arial"/>
          <w:szCs w:val="22"/>
          <w:u w:val="single"/>
        </w:rPr>
      </w:pPr>
      <w:r w:rsidRPr="000F21B3">
        <w:rPr>
          <w:rFonts w:cs="Arial"/>
          <w:szCs w:val="22"/>
          <w:u w:val="single"/>
        </w:rPr>
        <w:t>Duration of protection orders</w:t>
      </w:r>
    </w:p>
    <w:p w14:paraId="5493F322" w14:textId="77777777" w:rsidR="00BD593B" w:rsidRPr="000F21B3" w:rsidRDefault="00BD593B" w:rsidP="00BD593B">
      <w:pPr>
        <w:numPr>
          <w:ilvl w:val="0"/>
          <w:numId w:val="7"/>
        </w:numPr>
        <w:spacing w:before="60" w:after="60"/>
        <w:ind w:left="357" w:hanging="357"/>
        <w:rPr>
          <w:rFonts w:cs="Arial"/>
        </w:rPr>
      </w:pPr>
      <w:r w:rsidRPr="000F21B3">
        <w:rPr>
          <w:rFonts w:cs="Arial"/>
        </w:rPr>
        <w:t xml:space="preserve">The </w:t>
      </w:r>
      <w:r w:rsidR="00C16C9F">
        <w:rPr>
          <w:rFonts w:cs="Arial"/>
        </w:rPr>
        <w:t>Amendment Act</w:t>
      </w:r>
      <w:r w:rsidRPr="000F21B3">
        <w:rPr>
          <w:rFonts w:cs="Arial"/>
        </w:rPr>
        <w:t xml:space="preserve"> removes the general requirement that a PO can only be made for a maximum of two years and broadens the court’s discretion to determine the appropriate length of an order. </w:t>
      </w:r>
    </w:p>
    <w:p w14:paraId="4AE3543D" w14:textId="77777777" w:rsidR="00BD593B" w:rsidRPr="000F21B3" w:rsidRDefault="00BD593B" w:rsidP="00BD593B">
      <w:pPr>
        <w:numPr>
          <w:ilvl w:val="0"/>
          <w:numId w:val="7"/>
        </w:numPr>
        <w:spacing w:before="60" w:after="60"/>
        <w:ind w:left="357" w:hanging="357"/>
        <w:rPr>
          <w:rFonts w:cs="Arial"/>
        </w:rPr>
      </w:pPr>
      <w:r w:rsidRPr="000F21B3">
        <w:rPr>
          <w:rFonts w:cs="Arial"/>
        </w:rPr>
        <w:t xml:space="preserve">If the court does not specify the duration of the order, the order will remain in place for five years from when the order is made. The </w:t>
      </w:r>
      <w:r w:rsidR="00C16C9F">
        <w:rPr>
          <w:rFonts w:cs="Arial"/>
        </w:rPr>
        <w:t>Amendment Act</w:t>
      </w:r>
      <w:r w:rsidRPr="000F21B3">
        <w:rPr>
          <w:rFonts w:cs="Arial"/>
        </w:rPr>
        <w:t xml:space="preserve"> also provides that </w:t>
      </w:r>
      <w:r w:rsidR="008739B1">
        <w:rPr>
          <w:rFonts w:cs="Arial"/>
        </w:rPr>
        <w:t xml:space="preserve">a </w:t>
      </w:r>
      <w:r w:rsidRPr="000F21B3">
        <w:rPr>
          <w:rFonts w:cs="Arial"/>
        </w:rPr>
        <w:t xml:space="preserve">court may only make </w:t>
      </w:r>
      <w:r w:rsidR="008739B1">
        <w:rPr>
          <w:rFonts w:cs="Arial"/>
        </w:rPr>
        <w:t xml:space="preserve">an </w:t>
      </w:r>
      <w:r w:rsidRPr="000F21B3">
        <w:rPr>
          <w:rFonts w:cs="Arial"/>
        </w:rPr>
        <w:t>order that last</w:t>
      </w:r>
      <w:r w:rsidR="008739B1">
        <w:rPr>
          <w:rFonts w:cs="Arial"/>
        </w:rPr>
        <w:t>s</w:t>
      </w:r>
      <w:r w:rsidRPr="000F21B3">
        <w:rPr>
          <w:rFonts w:cs="Arial"/>
        </w:rPr>
        <w:t xml:space="preserve"> for less than five years if there are reasons for doing so. </w:t>
      </w:r>
    </w:p>
    <w:p w14:paraId="0E238FCA" w14:textId="77777777" w:rsidR="00BD593B" w:rsidRPr="000F21B3" w:rsidRDefault="00BD593B" w:rsidP="00BD593B">
      <w:pPr>
        <w:numPr>
          <w:ilvl w:val="0"/>
          <w:numId w:val="7"/>
        </w:numPr>
        <w:spacing w:before="60" w:after="60"/>
        <w:ind w:left="357" w:hanging="357"/>
        <w:rPr>
          <w:rFonts w:cs="Arial"/>
        </w:rPr>
      </w:pPr>
      <w:r w:rsidRPr="000F21B3">
        <w:rPr>
          <w:rFonts w:cs="Arial"/>
        </w:rPr>
        <w:t xml:space="preserve">The </w:t>
      </w:r>
      <w:r w:rsidR="00C16C9F">
        <w:rPr>
          <w:rFonts w:cs="Arial"/>
        </w:rPr>
        <w:t>Amendment Act</w:t>
      </w:r>
      <w:r w:rsidRPr="000F21B3">
        <w:rPr>
          <w:rFonts w:cs="Arial"/>
        </w:rPr>
        <w:t xml:space="preserve"> aims to balance giving the court flexibility to determine the length of </w:t>
      </w:r>
      <w:r w:rsidR="00904635" w:rsidRPr="000F21B3">
        <w:rPr>
          <w:rFonts w:cs="Arial"/>
        </w:rPr>
        <w:t>PO</w:t>
      </w:r>
      <w:r w:rsidRPr="000F21B3">
        <w:rPr>
          <w:rFonts w:cs="Arial"/>
        </w:rPr>
        <w:t xml:space="preserve">s in individual cases with ensuring that victims have access to the long-term protection they need.   </w:t>
      </w:r>
    </w:p>
    <w:p w14:paraId="054FF3E1" w14:textId="77777777" w:rsidR="00BD593B" w:rsidRPr="000F21B3" w:rsidRDefault="00BD593B" w:rsidP="00BD593B">
      <w:pPr>
        <w:spacing w:after="60"/>
        <w:rPr>
          <w:rFonts w:cs="Arial"/>
          <w:szCs w:val="22"/>
          <w:u w:val="single"/>
        </w:rPr>
      </w:pPr>
      <w:r w:rsidRPr="000F21B3">
        <w:rPr>
          <w:rFonts w:cs="Arial"/>
          <w:szCs w:val="22"/>
          <w:u w:val="single"/>
        </w:rPr>
        <w:t xml:space="preserve">Achieving consistency with family law orders </w:t>
      </w:r>
    </w:p>
    <w:p w14:paraId="674BBAC1" w14:textId="77777777" w:rsidR="00BD593B" w:rsidRPr="000F21B3" w:rsidRDefault="00BD593B" w:rsidP="00BD593B">
      <w:pPr>
        <w:numPr>
          <w:ilvl w:val="0"/>
          <w:numId w:val="7"/>
        </w:numPr>
        <w:spacing w:before="60" w:after="60"/>
        <w:ind w:left="357" w:hanging="357"/>
        <w:rPr>
          <w:rFonts w:cs="Arial"/>
        </w:rPr>
      </w:pPr>
      <w:r w:rsidRPr="000F21B3">
        <w:rPr>
          <w:rFonts w:cs="Arial"/>
        </w:rPr>
        <w:t xml:space="preserve">The </w:t>
      </w:r>
      <w:r w:rsidR="00C16C9F">
        <w:rPr>
          <w:rFonts w:cs="Arial"/>
        </w:rPr>
        <w:t>Amendment Act</w:t>
      </w:r>
      <w:r w:rsidRPr="000F21B3">
        <w:rPr>
          <w:rFonts w:cs="Arial"/>
        </w:rPr>
        <w:t xml:space="preserve"> </w:t>
      </w:r>
      <w:r w:rsidR="006F284C" w:rsidRPr="000F21B3">
        <w:rPr>
          <w:rFonts w:cs="Arial"/>
        </w:rPr>
        <w:t>requires the court to always consider a</w:t>
      </w:r>
      <w:r w:rsidRPr="000F21B3">
        <w:rPr>
          <w:rFonts w:cs="Arial"/>
        </w:rPr>
        <w:t xml:space="preserve"> family law order that </w:t>
      </w:r>
      <w:r w:rsidR="006F284C" w:rsidRPr="000F21B3">
        <w:rPr>
          <w:rFonts w:cs="Arial"/>
        </w:rPr>
        <w:t xml:space="preserve">it is </w:t>
      </w:r>
      <w:r w:rsidRPr="000F21B3">
        <w:rPr>
          <w:rFonts w:cs="Arial"/>
        </w:rPr>
        <w:t xml:space="preserve">aware of and whether to exercise </w:t>
      </w:r>
      <w:r w:rsidR="00F96AB2" w:rsidRPr="000F21B3">
        <w:rPr>
          <w:rFonts w:cs="Arial"/>
        </w:rPr>
        <w:t>its</w:t>
      </w:r>
      <w:r w:rsidRPr="000F21B3">
        <w:rPr>
          <w:rFonts w:cs="Arial"/>
        </w:rPr>
        <w:t xml:space="preserve"> powers to revive, vary, discharge or suspend the order if it conflicts with the proposed DVO.</w:t>
      </w:r>
    </w:p>
    <w:p w14:paraId="5F486AE8" w14:textId="77777777" w:rsidR="00912DF7" w:rsidRPr="000F21B3" w:rsidRDefault="00912DF7" w:rsidP="00BD593B">
      <w:pPr>
        <w:numPr>
          <w:ilvl w:val="0"/>
          <w:numId w:val="7"/>
        </w:numPr>
        <w:spacing w:before="60" w:after="60"/>
        <w:ind w:left="357" w:hanging="357"/>
        <w:rPr>
          <w:rFonts w:cs="Arial"/>
        </w:rPr>
      </w:pPr>
      <w:r w:rsidRPr="000F21B3">
        <w:rPr>
          <w:rFonts w:cs="Arial"/>
        </w:rPr>
        <w:t xml:space="preserve">This </w:t>
      </w:r>
      <w:r w:rsidR="007B1ABF">
        <w:rPr>
          <w:rFonts w:cs="Arial"/>
        </w:rPr>
        <w:t xml:space="preserve">aims to </w:t>
      </w:r>
      <w:r w:rsidRPr="000F21B3">
        <w:rPr>
          <w:rFonts w:cs="Arial"/>
        </w:rPr>
        <w:t xml:space="preserve">improve consistency between DVOs and family law orders and set a clear expectation that </w:t>
      </w:r>
      <w:r w:rsidR="0025731D">
        <w:rPr>
          <w:rFonts w:cs="Arial"/>
        </w:rPr>
        <w:t xml:space="preserve">a </w:t>
      </w:r>
      <w:r w:rsidRPr="000F21B3">
        <w:rPr>
          <w:rFonts w:cs="Arial"/>
        </w:rPr>
        <w:t xml:space="preserve">court will </w:t>
      </w:r>
      <w:r w:rsidR="0025731D">
        <w:rPr>
          <w:rFonts w:cs="Arial"/>
        </w:rPr>
        <w:t>consider if a family law order should be</w:t>
      </w:r>
      <w:r w:rsidRPr="000F21B3">
        <w:rPr>
          <w:rFonts w:cs="Arial"/>
        </w:rPr>
        <w:t>, var</w:t>
      </w:r>
      <w:r w:rsidR="0025731D">
        <w:rPr>
          <w:rFonts w:cs="Arial"/>
        </w:rPr>
        <w:t>ied</w:t>
      </w:r>
      <w:r w:rsidRPr="000F21B3">
        <w:rPr>
          <w:rFonts w:cs="Arial"/>
        </w:rPr>
        <w:t>, discharge</w:t>
      </w:r>
      <w:r w:rsidR="0025731D">
        <w:rPr>
          <w:rFonts w:cs="Arial"/>
        </w:rPr>
        <w:t>d</w:t>
      </w:r>
      <w:r w:rsidRPr="000F21B3">
        <w:rPr>
          <w:rFonts w:cs="Arial"/>
        </w:rPr>
        <w:t xml:space="preserve"> or suspend</w:t>
      </w:r>
      <w:r w:rsidR="0025731D">
        <w:rPr>
          <w:rFonts w:cs="Arial"/>
        </w:rPr>
        <w:t xml:space="preserve">ed </w:t>
      </w:r>
      <w:r w:rsidR="007B1ABF">
        <w:rPr>
          <w:rFonts w:cs="Arial"/>
        </w:rPr>
        <w:t xml:space="preserve">if </w:t>
      </w:r>
      <w:r w:rsidR="0025731D">
        <w:rPr>
          <w:rFonts w:cs="Arial"/>
        </w:rPr>
        <w:t>it</w:t>
      </w:r>
      <w:r w:rsidR="007B1ABF">
        <w:rPr>
          <w:rFonts w:cs="Arial"/>
        </w:rPr>
        <w:t xml:space="preserve"> </w:t>
      </w:r>
      <w:r w:rsidRPr="000F21B3">
        <w:rPr>
          <w:rFonts w:cs="Arial"/>
        </w:rPr>
        <w:t>conflict</w:t>
      </w:r>
      <w:r w:rsidR="0025731D">
        <w:rPr>
          <w:rFonts w:cs="Arial"/>
        </w:rPr>
        <w:t>s</w:t>
      </w:r>
      <w:r w:rsidRPr="000F21B3">
        <w:rPr>
          <w:rFonts w:cs="Arial"/>
        </w:rPr>
        <w:t xml:space="preserve"> with a proposed DVO.</w:t>
      </w:r>
    </w:p>
    <w:p w14:paraId="783A3C97" w14:textId="77777777" w:rsidR="00BD593B" w:rsidRPr="000F21B3" w:rsidRDefault="00BD593B" w:rsidP="00BD593B">
      <w:pPr>
        <w:spacing w:after="60"/>
        <w:rPr>
          <w:rFonts w:cs="Arial"/>
          <w:szCs w:val="22"/>
          <w:u w:val="single"/>
        </w:rPr>
      </w:pPr>
      <w:r w:rsidRPr="000F21B3">
        <w:rPr>
          <w:rFonts w:cs="Arial"/>
          <w:szCs w:val="22"/>
          <w:u w:val="single"/>
        </w:rPr>
        <w:t>Consideration of a perpetrator’s compliance with a perpetrator intervention program</w:t>
      </w:r>
    </w:p>
    <w:p w14:paraId="6D3365CA" w14:textId="77777777" w:rsidR="005173EF" w:rsidRPr="000F21B3" w:rsidRDefault="00BD593B" w:rsidP="005173EF">
      <w:pPr>
        <w:numPr>
          <w:ilvl w:val="0"/>
          <w:numId w:val="7"/>
        </w:numPr>
        <w:spacing w:before="60" w:after="60"/>
        <w:ind w:left="357" w:hanging="357"/>
        <w:rPr>
          <w:rFonts w:cs="Arial"/>
        </w:rPr>
      </w:pPr>
      <w:r w:rsidRPr="000F21B3">
        <w:rPr>
          <w:rFonts w:cs="Arial"/>
        </w:rPr>
        <w:t xml:space="preserve">The </w:t>
      </w:r>
      <w:r w:rsidR="00C16C9F">
        <w:rPr>
          <w:rFonts w:cs="Arial"/>
        </w:rPr>
        <w:t>Amendment Act</w:t>
      </w:r>
      <w:r w:rsidRPr="000F21B3">
        <w:rPr>
          <w:rFonts w:cs="Arial"/>
        </w:rPr>
        <w:t xml:space="preserve"> provides that the court must consider a respondent’s non-compliance with a</w:t>
      </w:r>
      <w:r w:rsidR="008168E6">
        <w:rPr>
          <w:rFonts w:cs="Arial"/>
        </w:rPr>
        <w:t xml:space="preserve">n </w:t>
      </w:r>
      <w:r w:rsidRPr="000F21B3">
        <w:rPr>
          <w:rFonts w:cs="Arial"/>
        </w:rPr>
        <w:t>IO when deciding whether to make</w:t>
      </w:r>
      <w:r w:rsidR="005173EF" w:rsidRPr="000F21B3">
        <w:rPr>
          <w:rFonts w:cs="Arial"/>
        </w:rPr>
        <w:t xml:space="preserve"> a PO</w:t>
      </w:r>
      <w:r w:rsidRPr="000F21B3">
        <w:rPr>
          <w:rFonts w:cs="Arial"/>
        </w:rPr>
        <w:t xml:space="preserve"> or vary a </w:t>
      </w:r>
      <w:r w:rsidR="005173EF" w:rsidRPr="000F21B3">
        <w:rPr>
          <w:rFonts w:cs="Arial"/>
        </w:rPr>
        <w:t>DV</w:t>
      </w:r>
      <w:r w:rsidRPr="000F21B3">
        <w:rPr>
          <w:rFonts w:cs="Arial"/>
        </w:rPr>
        <w:t>O.</w:t>
      </w:r>
      <w:r w:rsidR="006F284C" w:rsidRPr="000F21B3">
        <w:rPr>
          <w:rFonts w:cs="Arial"/>
        </w:rPr>
        <w:t xml:space="preserve"> The court</w:t>
      </w:r>
      <w:r w:rsidRPr="000F21B3">
        <w:rPr>
          <w:rFonts w:cs="Arial"/>
        </w:rPr>
        <w:t xml:space="preserve"> may</w:t>
      </w:r>
      <w:r w:rsidR="005173EF" w:rsidRPr="000F21B3">
        <w:rPr>
          <w:rFonts w:cs="Arial"/>
        </w:rPr>
        <w:t xml:space="preserve"> also</w:t>
      </w:r>
      <w:r w:rsidRPr="000F21B3">
        <w:rPr>
          <w:rFonts w:cs="Arial"/>
        </w:rPr>
        <w:t xml:space="preserve"> consider a respondent’s compliance with a</w:t>
      </w:r>
      <w:r w:rsidR="008168E6">
        <w:rPr>
          <w:rFonts w:cs="Arial"/>
        </w:rPr>
        <w:t>n</w:t>
      </w:r>
      <w:r w:rsidRPr="000F21B3">
        <w:rPr>
          <w:rFonts w:cs="Arial"/>
        </w:rPr>
        <w:t xml:space="preserve"> IO, </w:t>
      </w:r>
      <w:r w:rsidR="005173EF" w:rsidRPr="000F21B3">
        <w:rPr>
          <w:rFonts w:cs="Arial"/>
        </w:rPr>
        <w:t>but must not refuse to make a PO or vary a DVO merely because the respondent has complied;</w:t>
      </w:r>
    </w:p>
    <w:p w14:paraId="67D4D6D0" w14:textId="77777777" w:rsidR="00BD593B" w:rsidRPr="000F21B3" w:rsidRDefault="00BD593B" w:rsidP="00BD593B">
      <w:pPr>
        <w:numPr>
          <w:ilvl w:val="0"/>
          <w:numId w:val="7"/>
        </w:numPr>
        <w:spacing w:before="60" w:after="60"/>
        <w:ind w:left="357" w:hanging="357"/>
        <w:rPr>
          <w:rFonts w:cs="Arial"/>
        </w:rPr>
      </w:pPr>
      <w:r w:rsidRPr="000F21B3">
        <w:rPr>
          <w:rFonts w:cs="Arial"/>
        </w:rPr>
        <w:t xml:space="preserve">This will ensure that </w:t>
      </w:r>
      <w:r w:rsidR="00906DE7">
        <w:rPr>
          <w:rFonts w:cs="Arial"/>
        </w:rPr>
        <w:t xml:space="preserve">a </w:t>
      </w:r>
      <w:r w:rsidRPr="000F21B3">
        <w:rPr>
          <w:rFonts w:cs="Arial"/>
        </w:rPr>
        <w:t>victim</w:t>
      </w:r>
      <w:r w:rsidR="00906DE7">
        <w:rPr>
          <w:rFonts w:cs="Arial"/>
        </w:rPr>
        <w:t>’</w:t>
      </w:r>
      <w:r w:rsidRPr="000F21B3">
        <w:rPr>
          <w:rFonts w:cs="Arial"/>
        </w:rPr>
        <w:t>s access to protection does not depend on whether or not the respondent has complied with a</w:t>
      </w:r>
      <w:r w:rsidR="008168E6">
        <w:rPr>
          <w:rFonts w:cs="Arial"/>
        </w:rPr>
        <w:t>n</w:t>
      </w:r>
      <w:r w:rsidRPr="000F21B3">
        <w:rPr>
          <w:rFonts w:cs="Arial"/>
        </w:rPr>
        <w:t xml:space="preserve"> IO and clarifies that making a</w:t>
      </w:r>
      <w:r w:rsidR="008168E6">
        <w:rPr>
          <w:rFonts w:cs="Arial"/>
        </w:rPr>
        <w:t xml:space="preserve">n </w:t>
      </w:r>
      <w:r w:rsidRPr="000F21B3">
        <w:rPr>
          <w:rFonts w:cs="Arial"/>
        </w:rPr>
        <w:t>IO should not be considered a viable alternative to a PO.</w:t>
      </w:r>
    </w:p>
    <w:p w14:paraId="6B41E112" w14:textId="77777777" w:rsidR="00BD593B" w:rsidRPr="000F21B3" w:rsidRDefault="00BD593B" w:rsidP="00BD593B">
      <w:pPr>
        <w:spacing w:after="60"/>
        <w:rPr>
          <w:rFonts w:cs="Arial"/>
          <w:szCs w:val="22"/>
          <w:u w:val="single"/>
        </w:rPr>
      </w:pPr>
      <w:r w:rsidRPr="000F21B3">
        <w:rPr>
          <w:rFonts w:cs="Arial"/>
          <w:szCs w:val="22"/>
          <w:u w:val="single"/>
        </w:rPr>
        <w:t>In</w:t>
      </w:r>
      <w:r w:rsidR="00682882" w:rsidRPr="000F21B3">
        <w:rPr>
          <w:rFonts w:cs="Arial"/>
          <w:szCs w:val="22"/>
          <w:u w:val="single"/>
        </w:rPr>
        <w:t>formation sharing</w:t>
      </w:r>
      <w:r w:rsidRPr="000F21B3">
        <w:rPr>
          <w:rFonts w:cs="Arial"/>
          <w:szCs w:val="22"/>
          <w:u w:val="single"/>
        </w:rPr>
        <w:t xml:space="preserve"> </w:t>
      </w:r>
    </w:p>
    <w:p w14:paraId="596464E0" w14:textId="77777777" w:rsidR="00BD593B" w:rsidRPr="000F21B3" w:rsidRDefault="00BD593B" w:rsidP="00BD593B">
      <w:pPr>
        <w:numPr>
          <w:ilvl w:val="0"/>
          <w:numId w:val="7"/>
        </w:numPr>
        <w:spacing w:before="60" w:after="60"/>
        <w:ind w:left="357" w:hanging="357"/>
        <w:rPr>
          <w:rFonts w:cs="Arial"/>
        </w:rPr>
      </w:pPr>
      <w:r w:rsidRPr="000F21B3">
        <w:rPr>
          <w:rFonts w:cs="Arial"/>
        </w:rPr>
        <w:t xml:space="preserve">The Taskforce recommended </w:t>
      </w:r>
      <w:r w:rsidR="00F96AB2" w:rsidRPr="000F21B3">
        <w:rPr>
          <w:rFonts w:cs="Arial"/>
        </w:rPr>
        <w:t xml:space="preserve">that </w:t>
      </w:r>
      <w:r w:rsidRPr="000F21B3">
        <w:rPr>
          <w:rFonts w:cs="Arial"/>
        </w:rPr>
        <w:t xml:space="preserve">enabling legislation </w:t>
      </w:r>
      <w:r w:rsidR="00F96AB2" w:rsidRPr="000F21B3">
        <w:rPr>
          <w:rFonts w:cs="Arial"/>
        </w:rPr>
        <w:t>is</w:t>
      </w:r>
      <w:r w:rsidRPr="000F21B3">
        <w:rPr>
          <w:rFonts w:cs="Arial"/>
        </w:rPr>
        <w:t xml:space="preserve"> introduced to allow information sharing between government and non-government agencies within </w:t>
      </w:r>
      <w:r w:rsidR="00682882" w:rsidRPr="000F21B3">
        <w:rPr>
          <w:rFonts w:cs="Arial"/>
        </w:rPr>
        <w:t>integrated service responses</w:t>
      </w:r>
      <w:r w:rsidRPr="000F21B3">
        <w:rPr>
          <w:rFonts w:cs="Arial"/>
        </w:rPr>
        <w:t>, including without consent if a risk assessment indicates it is necessary for safety reasons.</w:t>
      </w:r>
    </w:p>
    <w:p w14:paraId="7B7ED098" w14:textId="77777777" w:rsidR="00BD593B" w:rsidRPr="000F21B3" w:rsidRDefault="00BD593B" w:rsidP="00BD593B">
      <w:pPr>
        <w:numPr>
          <w:ilvl w:val="0"/>
          <w:numId w:val="7"/>
        </w:numPr>
        <w:spacing w:before="60" w:after="60"/>
        <w:ind w:left="357" w:hanging="357"/>
        <w:rPr>
          <w:rFonts w:cs="Arial"/>
        </w:rPr>
      </w:pPr>
      <w:r w:rsidRPr="000F21B3">
        <w:rPr>
          <w:rFonts w:cs="Arial"/>
        </w:rPr>
        <w:t xml:space="preserve">The </w:t>
      </w:r>
      <w:r w:rsidR="00C16C9F">
        <w:rPr>
          <w:rFonts w:cs="Arial"/>
        </w:rPr>
        <w:t>Amendment Act</w:t>
      </w:r>
      <w:r w:rsidRPr="000F21B3">
        <w:rPr>
          <w:rFonts w:cs="Arial"/>
        </w:rPr>
        <w:t xml:space="preserve"> </w:t>
      </w:r>
      <w:r w:rsidR="00F804D6" w:rsidRPr="000F21B3">
        <w:rPr>
          <w:rFonts w:cs="Arial"/>
        </w:rPr>
        <w:t>enables</w:t>
      </w:r>
      <w:r w:rsidRPr="000F21B3">
        <w:rPr>
          <w:rFonts w:cs="Arial"/>
        </w:rPr>
        <w:t xml:space="preserve"> information to be shared</w:t>
      </w:r>
      <w:r w:rsidR="005314BF" w:rsidRPr="000F21B3">
        <w:rPr>
          <w:rFonts w:cs="Arial"/>
        </w:rPr>
        <w:t>, without consent,</w:t>
      </w:r>
      <w:r w:rsidRPr="000F21B3">
        <w:rPr>
          <w:rFonts w:cs="Arial"/>
        </w:rPr>
        <w:t xml:space="preserve"> for the purposes of both assessing risk and managing serious threats t</w:t>
      </w:r>
      <w:r w:rsidR="00F96AB2" w:rsidRPr="000F21B3">
        <w:rPr>
          <w:rFonts w:cs="Arial"/>
        </w:rPr>
        <w:t>o peoples’</w:t>
      </w:r>
      <w:r w:rsidRPr="000F21B3">
        <w:rPr>
          <w:rFonts w:cs="Arial"/>
        </w:rPr>
        <w:t xml:space="preserve"> li</w:t>
      </w:r>
      <w:r w:rsidR="00F96AB2" w:rsidRPr="000F21B3">
        <w:rPr>
          <w:rFonts w:cs="Arial"/>
        </w:rPr>
        <w:t>ves</w:t>
      </w:r>
      <w:r w:rsidRPr="000F21B3">
        <w:rPr>
          <w:rFonts w:cs="Arial"/>
        </w:rPr>
        <w:t xml:space="preserve">, health or safety. Only information which is relevant to assessing the risk or addressing the threat can be shared. </w:t>
      </w:r>
    </w:p>
    <w:p w14:paraId="4B1554A6" w14:textId="77777777" w:rsidR="00F078D1" w:rsidRPr="000F21B3" w:rsidRDefault="00BD593B" w:rsidP="00BD593B">
      <w:pPr>
        <w:numPr>
          <w:ilvl w:val="0"/>
          <w:numId w:val="7"/>
        </w:numPr>
        <w:spacing w:before="60" w:after="60"/>
        <w:ind w:left="357" w:hanging="357"/>
        <w:rPr>
          <w:rFonts w:cs="Arial"/>
        </w:rPr>
      </w:pPr>
      <w:r w:rsidRPr="000F21B3">
        <w:rPr>
          <w:rFonts w:cs="Arial"/>
        </w:rPr>
        <w:t xml:space="preserve">The </w:t>
      </w:r>
      <w:r w:rsidR="00C16C9F">
        <w:rPr>
          <w:rFonts w:cs="Arial"/>
        </w:rPr>
        <w:t>Amendment Act</w:t>
      </w:r>
      <w:r w:rsidRPr="000F21B3">
        <w:rPr>
          <w:rFonts w:cs="Arial"/>
        </w:rPr>
        <w:t xml:space="preserve"> contains specific principles to confirm </w:t>
      </w:r>
      <w:r w:rsidR="00F96AB2" w:rsidRPr="000F21B3">
        <w:rPr>
          <w:rFonts w:cs="Arial"/>
        </w:rPr>
        <w:t xml:space="preserve">that </w:t>
      </w:r>
      <w:r w:rsidRPr="000F21B3">
        <w:rPr>
          <w:rFonts w:cs="Arial"/>
        </w:rPr>
        <w:t xml:space="preserve">the sharing of information with consent will remain the preferred approach, but prioritises the safety of victims and their families by enabling information sharing to occur without consent within a confined framework. </w:t>
      </w:r>
    </w:p>
    <w:p w14:paraId="0C5D40D8" w14:textId="77777777" w:rsidR="00BD593B" w:rsidRPr="000F21B3" w:rsidRDefault="00BD593B" w:rsidP="00BD593B">
      <w:pPr>
        <w:numPr>
          <w:ilvl w:val="0"/>
          <w:numId w:val="7"/>
        </w:numPr>
        <w:spacing w:before="60" w:after="60"/>
        <w:ind w:left="357" w:hanging="357"/>
        <w:rPr>
          <w:rFonts w:cs="Arial"/>
        </w:rPr>
      </w:pPr>
      <w:r w:rsidRPr="000F21B3">
        <w:rPr>
          <w:rFonts w:cs="Arial"/>
        </w:rPr>
        <w:t xml:space="preserve">The </w:t>
      </w:r>
      <w:r w:rsidR="00C16C9F">
        <w:rPr>
          <w:rFonts w:cs="Arial"/>
        </w:rPr>
        <w:t>Amendment Act</w:t>
      </w:r>
      <w:r w:rsidRPr="000F21B3">
        <w:rPr>
          <w:rFonts w:cs="Arial"/>
        </w:rPr>
        <w:t xml:space="preserve"> provides agencies with protection from liability for sharing information in accordance with the new provisions.</w:t>
      </w:r>
    </w:p>
    <w:p w14:paraId="708D5E74" w14:textId="77777777" w:rsidR="00F078D1" w:rsidRPr="000F21B3" w:rsidRDefault="00BD593B" w:rsidP="00FB237A">
      <w:pPr>
        <w:numPr>
          <w:ilvl w:val="0"/>
          <w:numId w:val="7"/>
        </w:numPr>
        <w:spacing w:before="60" w:after="60"/>
        <w:ind w:left="357" w:hanging="357"/>
        <w:rPr>
          <w:rFonts w:cs="Arial"/>
        </w:rPr>
      </w:pPr>
      <w:r w:rsidRPr="000F21B3">
        <w:rPr>
          <w:rFonts w:cs="Arial"/>
        </w:rPr>
        <w:t xml:space="preserve">The </w:t>
      </w:r>
      <w:r w:rsidR="00C16C9F">
        <w:rPr>
          <w:rFonts w:cs="Arial"/>
        </w:rPr>
        <w:t>Amendment Act</w:t>
      </w:r>
      <w:r w:rsidRPr="000F21B3">
        <w:rPr>
          <w:rFonts w:cs="Arial"/>
        </w:rPr>
        <w:t xml:space="preserve"> enables police to share a limited range of information (name, contact details and the nature of the threat) </w:t>
      </w:r>
      <w:r w:rsidR="006B3B44" w:rsidRPr="000F21B3">
        <w:rPr>
          <w:rFonts w:cs="Arial"/>
        </w:rPr>
        <w:t>for the purpose of referring</w:t>
      </w:r>
      <w:r w:rsidR="00F078D1" w:rsidRPr="000F21B3">
        <w:rPr>
          <w:rFonts w:cs="Arial"/>
        </w:rPr>
        <w:t xml:space="preserve"> either a victim or a perpetrator to</w:t>
      </w:r>
      <w:r w:rsidR="006B3B44" w:rsidRPr="000F21B3">
        <w:rPr>
          <w:rFonts w:cs="Arial"/>
        </w:rPr>
        <w:t xml:space="preserve"> a</w:t>
      </w:r>
      <w:r w:rsidR="00912DF7" w:rsidRPr="000F21B3">
        <w:rPr>
          <w:rFonts w:cs="Arial"/>
        </w:rPr>
        <w:t xml:space="preserve"> specialist</w:t>
      </w:r>
      <w:r w:rsidR="006B3B44" w:rsidRPr="000F21B3">
        <w:rPr>
          <w:rFonts w:cs="Arial"/>
        </w:rPr>
        <w:t xml:space="preserve"> </w:t>
      </w:r>
      <w:r w:rsidRPr="000F21B3">
        <w:rPr>
          <w:rFonts w:cs="Arial"/>
        </w:rPr>
        <w:t xml:space="preserve">domestic </w:t>
      </w:r>
      <w:r w:rsidR="00912DF7" w:rsidRPr="000F21B3">
        <w:rPr>
          <w:rFonts w:cs="Arial"/>
        </w:rPr>
        <w:t xml:space="preserve">and family </w:t>
      </w:r>
      <w:r w:rsidRPr="000F21B3">
        <w:rPr>
          <w:rFonts w:cs="Arial"/>
        </w:rPr>
        <w:t>violence</w:t>
      </w:r>
      <w:r w:rsidR="006B3B44" w:rsidRPr="000F21B3">
        <w:rPr>
          <w:rFonts w:cs="Arial"/>
        </w:rPr>
        <w:t xml:space="preserve"> service</w:t>
      </w:r>
      <w:r w:rsidRPr="000F21B3">
        <w:rPr>
          <w:rFonts w:cs="Arial"/>
        </w:rPr>
        <w:t xml:space="preserve"> </w:t>
      </w:r>
      <w:r w:rsidR="00912DF7" w:rsidRPr="000F21B3">
        <w:rPr>
          <w:rFonts w:cs="Arial"/>
        </w:rPr>
        <w:t>provider</w:t>
      </w:r>
      <w:r w:rsidR="00F078D1" w:rsidRPr="000F21B3">
        <w:rPr>
          <w:rFonts w:cs="Arial"/>
        </w:rPr>
        <w:t xml:space="preserve">. This will encourage the provision of </w:t>
      </w:r>
      <w:r w:rsidR="00F96AB2" w:rsidRPr="000F21B3">
        <w:rPr>
          <w:rFonts w:cs="Arial"/>
        </w:rPr>
        <w:t xml:space="preserve">early </w:t>
      </w:r>
      <w:r w:rsidR="00F078D1" w:rsidRPr="000F21B3">
        <w:rPr>
          <w:rFonts w:cs="Arial"/>
        </w:rPr>
        <w:t xml:space="preserve">support </w:t>
      </w:r>
      <w:r w:rsidR="00DB6D07" w:rsidRPr="000F21B3">
        <w:rPr>
          <w:rFonts w:cs="Arial"/>
        </w:rPr>
        <w:t>to both victims and perpetrators.</w:t>
      </w:r>
    </w:p>
    <w:p w14:paraId="7A6D8CFC" w14:textId="77777777" w:rsidR="001F04F5" w:rsidRPr="000F21B3" w:rsidRDefault="001F04F5">
      <w:pPr>
        <w:spacing w:before="60" w:after="60"/>
        <w:rPr>
          <w:u w:val="single"/>
        </w:rPr>
      </w:pPr>
      <w:r w:rsidRPr="000F21B3">
        <w:rPr>
          <w:u w:val="single"/>
        </w:rPr>
        <w:t>Mutual recognition of DVO</w:t>
      </w:r>
      <w:r w:rsidR="005173EF" w:rsidRPr="000F21B3">
        <w:rPr>
          <w:u w:val="single"/>
        </w:rPr>
        <w:t>s</w:t>
      </w:r>
      <w:r w:rsidRPr="000F21B3">
        <w:rPr>
          <w:u w:val="single"/>
        </w:rPr>
        <w:t xml:space="preserve"> made </w:t>
      </w:r>
      <w:r w:rsidR="005173EF" w:rsidRPr="000F21B3">
        <w:rPr>
          <w:u w:val="single"/>
        </w:rPr>
        <w:t>in</w:t>
      </w:r>
      <w:r w:rsidRPr="000F21B3">
        <w:rPr>
          <w:u w:val="single"/>
        </w:rPr>
        <w:t xml:space="preserve"> Australia</w:t>
      </w:r>
    </w:p>
    <w:p w14:paraId="57C6A1B2" w14:textId="77777777" w:rsidR="001F04F5" w:rsidRPr="000F21B3" w:rsidRDefault="001F04F5" w:rsidP="001F04F5">
      <w:pPr>
        <w:numPr>
          <w:ilvl w:val="0"/>
          <w:numId w:val="7"/>
        </w:numPr>
        <w:spacing w:before="60" w:after="60"/>
        <w:ind w:left="357" w:hanging="357"/>
        <w:rPr>
          <w:rFonts w:cs="Arial"/>
        </w:rPr>
      </w:pPr>
      <w:r w:rsidRPr="000F21B3">
        <w:rPr>
          <w:rFonts w:cs="Arial"/>
        </w:rPr>
        <w:t xml:space="preserve">The </w:t>
      </w:r>
      <w:r w:rsidR="00C16C9F">
        <w:rPr>
          <w:rFonts w:cs="Arial"/>
        </w:rPr>
        <w:t>Amendment Act</w:t>
      </w:r>
      <w:r w:rsidRPr="000F21B3">
        <w:rPr>
          <w:rFonts w:cs="Arial"/>
        </w:rPr>
        <w:t xml:space="preserve"> provides for the protection </w:t>
      </w:r>
      <w:r w:rsidR="000F21B3" w:rsidRPr="000F21B3">
        <w:rPr>
          <w:rFonts w:cs="Arial"/>
        </w:rPr>
        <w:t xml:space="preserve">provided by </w:t>
      </w:r>
      <w:r w:rsidRPr="000F21B3">
        <w:rPr>
          <w:rFonts w:cs="Arial"/>
        </w:rPr>
        <w:t xml:space="preserve">an interstate DVO </w:t>
      </w:r>
      <w:r w:rsidR="000F21B3" w:rsidRPr="000F21B3">
        <w:rPr>
          <w:rFonts w:cs="Arial"/>
        </w:rPr>
        <w:t xml:space="preserve">to automatically continue </w:t>
      </w:r>
      <w:r w:rsidRPr="000F21B3">
        <w:rPr>
          <w:rFonts w:cs="Arial"/>
        </w:rPr>
        <w:t>anywhere in Australia (provided it has been served)</w:t>
      </w:r>
      <w:r w:rsidR="00977BF1" w:rsidRPr="000F21B3">
        <w:rPr>
          <w:rFonts w:cs="Arial"/>
        </w:rPr>
        <w:t>.</w:t>
      </w:r>
    </w:p>
    <w:p w14:paraId="7A361722" w14:textId="77777777" w:rsidR="00BD593B" w:rsidRDefault="001F04F5" w:rsidP="00BD593B">
      <w:pPr>
        <w:numPr>
          <w:ilvl w:val="0"/>
          <w:numId w:val="7"/>
        </w:numPr>
        <w:spacing w:before="60" w:after="60"/>
        <w:ind w:left="357" w:hanging="357"/>
        <w:rPr>
          <w:rFonts w:cs="Arial"/>
        </w:rPr>
      </w:pPr>
      <w:r w:rsidRPr="000F21B3">
        <w:rPr>
          <w:rFonts w:cs="Arial"/>
        </w:rPr>
        <w:t xml:space="preserve">The </w:t>
      </w:r>
      <w:r w:rsidR="00C16C9F">
        <w:rPr>
          <w:rFonts w:cs="Arial"/>
        </w:rPr>
        <w:t>Amendment Act</w:t>
      </w:r>
      <w:r w:rsidRPr="000F21B3">
        <w:rPr>
          <w:rFonts w:cs="Arial"/>
        </w:rPr>
        <w:t xml:space="preserve"> streamlines processes so a victim</w:t>
      </w:r>
      <w:r w:rsidR="008C48AA" w:rsidRPr="000F21B3">
        <w:rPr>
          <w:rFonts w:cs="Arial"/>
        </w:rPr>
        <w:t xml:space="preserve"> who moves interstate</w:t>
      </w:r>
      <w:r w:rsidRPr="000F21B3">
        <w:rPr>
          <w:rFonts w:cs="Arial"/>
        </w:rPr>
        <w:t xml:space="preserve"> does not need to re-engage with police or the court.</w:t>
      </w:r>
    </w:p>
    <w:p w14:paraId="08225BA8" w14:textId="77777777" w:rsidR="003D668B" w:rsidRPr="000F21B3" w:rsidRDefault="003D668B" w:rsidP="004C55BC">
      <w:pPr>
        <w:rPr>
          <w:rFonts w:cs="Arial"/>
        </w:rPr>
      </w:pPr>
    </w:p>
    <w:sectPr w:rsidR="003D668B" w:rsidRPr="000F21B3" w:rsidSect="00515776">
      <w:headerReference w:type="default" r:id="rId7"/>
      <w:type w:val="continuous"/>
      <w:pgSz w:w="11906" w:h="16838"/>
      <w:pgMar w:top="1" w:right="849" w:bottom="1701" w:left="993" w:header="709" w:footer="1173"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E2C8E" w14:textId="77777777" w:rsidR="00593E8E" w:rsidRDefault="00593E8E">
      <w:r>
        <w:separator/>
      </w:r>
    </w:p>
  </w:endnote>
  <w:endnote w:type="continuationSeparator" w:id="0">
    <w:p w14:paraId="0E4317F8" w14:textId="77777777" w:rsidR="00593E8E" w:rsidRDefault="00593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27DBA" w14:textId="77777777" w:rsidR="00593E8E" w:rsidRDefault="00593E8E">
      <w:r>
        <w:separator/>
      </w:r>
    </w:p>
  </w:footnote>
  <w:footnote w:type="continuationSeparator" w:id="0">
    <w:p w14:paraId="224D1125" w14:textId="77777777" w:rsidR="00593E8E" w:rsidRDefault="00593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3455B" w14:textId="77777777" w:rsidR="005B1285" w:rsidRPr="00C16C9F" w:rsidRDefault="00BA13B6" w:rsidP="00CC2039">
    <w:pPr>
      <w:pStyle w:val="Heading1"/>
      <w:spacing w:before="60" w:after="60" w:line="240" w:lineRule="auto"/>
      <w:jc w:val="center"/>
      <w:rPr>
        <w:i/>
        <w:sz w:val="32"/>
        <w:szCs w:val="48"/>
      </w:rPr>
    </w:pPr>
    <w:r w:rsidRPr="00C16C9F">
      <w:rPr>
        <w:i/>
        <w:sz w:val="32"/>
        <w:szCs w:val="48"/>
      </w:rPr>
      <w:t>Domestic and Family Violence Protection</w:t>
    </w:r>
    <w:r w:rsidR="00645431" w:rsidRPr="00C16C9F">
      <w:rPr>
        <w:i/>
        <w:sz w:val="32"/>
        <w:szCs w:val="48"/>
      </w:rPr>
      <w:t xml:space="preserve"> </w:t>
    </w:r>
    <w:r w:rsidR="00912DF7" w:rsidRPr="00C16C9F">
      <w:rPr>
        <w:i/>
        <w:sz w:val="32"/>
        <w:szCs w:val="48"/>
      </w:rPr>
      <w:t xml:space="preserve">and Other Legislation </w:t>
    </w:r>
    <w:r w:rsidR="00211CB9" w:rsidRPr="00C16C9F">
      <w:rPr>
        <w:i/>
        <w:sz w:val="32"/>
        <w:szCs w:val="48"/>
      </w:rPr>
      <w:t xml:space="preserve">Amendment </w:t>
    </w:r>
    <w:r w:rsidR="00C16C9F" w:rsidRPr="00C16C9F">
      <w:rPr>
        <w:i/>
        <w:sz w:val="32"/>
        <w:szCs w:val="48"/>
      </w:rPr>
      <w:t>Act</w:t>
    </w:r>
    <w:r w:rsidR="00211CB9" w:rsidRPr="00C16C9F">
      <w:rPr>
        <w:i/>
        <w:sz w:val="32"/>
        <w:szCs w:val="48"/>
      </w:rPr>
      <w:t xml:space="preserve">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45A47"/>
    <w:multiLevelType w:val="hybridMultilevel"/>
    <w:tmpl w:val="39B40E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32987B22">
      <w:numFmt w:val="bullet"/>
      <w:lvlText w:val="-"/>
      <w:lvlJc w:val="left"/>
      <w:pPr>
        <w:ind w:left="2520" w:hanging="720"/>
      </w:pPr>
      <w:rPr>
        <w:rFonts w:ascii="Times New Roman" w:eastAsia="Times New Roman" w:hAnsi="Times New Roman"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EDB07E3"/>
    <w:multiLevelType w:val="hybridMultilevel"/>
    <w:tmpl w:val="CD66385C"/>
    <w:lvl w:ilvl="0" w:tplc="7F100B28">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BDA30E3"/>
    <w:multiLevelType w:val="hybridMultilevel"/>
    <w:tmpl w:val="144038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872C38"/>
    <w:multiLevelType w:val="hybridMultilevel"/>
    <w:tmpl w:val="A0CE880A"/>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6DD76B9"/>
    <w:multiLevelType w:val="hybridMultilevel"/>
    <w:tmpl w:val="CC08D48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15:restartNumberingAfterBreak="0">
    <w:nsid w:val="3EEC19A0"/>
    <w:multiLevelType w:val="hybridMultilevel"/>
    <w:tmpl w:val="4FBA2624"/>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0913269"/>
    <w:multiLevelType w:val="hybridMultilevel"/>
    <w:tmpl w:val="5A1093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1EE77FD"/>
    <w:multiLevelType w:val="hybridMultilevel"/>
    <w:tmpl w:val="EC8C3C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446F10"/>
    <w:multiLevelType w:val="hybridMultilevel"/>
    <w:tmpl w:val="152C94E2"/>
    <w:lvl w:ilvl="0" w:tplc="0C090001">
      <w:start w:val="1"/>
      <w:numFmt w:val="bullet"/>
      <w:lvlText w:val=""/>
      <w:lvlJc w:val="left"/>
      <w:pPr>
        <w:ind w:left="720" w:hanging="360"/>
      </w:pPr>
      <w:rPr>
        <w:rFonts w:ascii="Symbol" w:hAnsi="Symbol" w:hint="default"/>
      </w:rPr>
    </w:lvl>
    <w:lvl w:ilvl="1" w:tplc="581ED6F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BF466E5"/>
    <w:multiLevelType w:val="hybridMultilevel"/>
    <w:tmpl w:val="4E661688"/>
    <w:lvl w:ilvl="0" w:tplc="0C090001">
      <w:start w:val="1"/>
      <w:numFmt w:val="bullet"/>
      <w:lvlText w:val=""/>
      <w:lvlJc w:val="left"/>
      <w:pPr>
        <w:ind w:left="720" w:hanging="360"/>
      </w:pPr>
      <w:rPr>
        <w:rFonts w:ascii="Symbol" w:hAnsi="Symbol" w:hint="default"/>
      </w:rPr>
    </w:lvl>
    <w:lvl w:ilvl="1" w:tplc="581ED6F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95B0956"/>
    <w:multiLevelType w:val="hybridMultilevel"/>
    <w:tmpl w:val="CF8E07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6DB34755"/>
    <w:multiLevelType w:val="hybridMultilevel"/>
    <w:tmpl w:val="A802FECC"/>
    <w:lvl w:ilvl="0" w:tplc="AACA742C">
      <w:start w:val="1"/>
      <w:numFmt w:val="bullet"/>
      <w:lvlText w:val=""/>
      <w:lvlJc w:val="left"/>
      <w:pPr>
        <w:tabs>
          <w:tab w:val="num" w:pos="363"/>
        </w:tabs>
        <w:ind w:left="363" w:hanging="363"/>
      </w:pPr>
      <w:rPr>
        <w:rFonts w:ascii="Symbol" w:hAnsi="Symbol" w:hint="default"/>
      </w:rPr>
    </w:lvl>
    <w:lvl w:ilvl="1" w:tplc="581ED6F0">
      <w:start w:val="1"/>
      <w:numFmt w:val="bullet"/>
      <w:lvlText w:val="­"/>
      <w:lvlJc w:val="left"/>
      <w:pPr>
        <w:tabs>
          <w:tab w:val="num" w:pos="1440"/>
        </w:tabs>
        <w:ind w:left="1440" w:hanging="360"/>
      </w:pPr>
      <w:rPr>
        <w:rFonts w:ascii="Courier New" w:hAnsi="Courier New"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9"/>
  </w:num>
  <w:num w:numId="3">
    <w:abstractNumId w:val="2"/>
  </w:num>
  <w:num w:numId="4">
    <w:abstractNumId w:val="8"/>
  </w:num>
  <w:num w:numId="5">
    <w:abstractNumId w:val="11"/>
  </w:num>
  <w:num w:numId="6">
    <w:abstractNumId w:val="3"/>
  </w:num>
  <w:num w:numId="7">
    <w:abstractNumId w:val="6"/>
  </w:num>
  <w:num w:numId="8">
    <w:abstractNumId w:val="4"/>
  </w:num>
  <w:num w:numId="9">
    <w:abstractNumId w:val="5"/>
  </w:num>
  <w:num w:numId="10">
    <w:abstractNumId w:val="10"/>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2701"/>
    <w:rsid w:val="00013EDB"/>
    <w:rsid w:val="00014907"/>
    <w:rsid w:val="00014D8B"/>
    <w:rsid w:val="0001502E"/>
    <w:rsid w:val="000156A3"/>
    <w:rsid w:val="000156D7"/>
    <w:rsid w:val="000158F4"/>
    <w:rsid w:val="00020018"/>
    <w:rsid w:val="00020AE5"/>
    <w:rsid w:val="00021D78"/>
    <w:rsid w:val="0002320A"/>
    <w:rsid w:val="000253BB"/>
    <w:rsid w:val="000254AC"/>
    <w:rsid w:val="00025A5B"/>
    <w:rsid w:val="0002752A"/>
    <w:rsid w:val="000318F2"/>
    <w:rsid w:val="00031AB2"/>
    <w:rsid w:val="00031E75"/>
    <w:rsid w:val="0003274A"/>
    <w:rsid w:val="00033768"/>
    <w:rsid w:val="00035510"/>
    <w:rsid w:val="00041261"/>
    <w:rsid w:val="0004320F"/>
    <w:rsid w:val="000442EB"/>
    <w:rsid w:val="000528FC"/>
    <w:rsid w:val="00053E8F"/>
    <w:rsid w:val="00053F80"/>
    <w:rsid w:val="00054F95"/>
    <w:rsid w:val="00055EA0"/>
    <w:rsid w:val="000570F3"/>
    <w:rsid w:val="000610EA"/>
    <w:rsid w:val="00061396"/>
    <w:rsid w:val="00062951"/>
    <w:rsid w:val="00063F4D"/>
    <w:rsid w:val="000654DB"/>
    <w:rsid w:val="00065B95"/>
    <w:rsid w:val="0006692F"/>
    <w:rsid w:val="00070336"/>
    <w:rsid w:val="000708C2"/>
    <w:rsid w:val="000713E7"/>
    <w:rsid w:val="0007559F"/>
    <w:rsid w:val="0007574E"/>
    <w:rsid w:val="00077D38"/>
    <w:rsid w:val="00081A8B"/>
    <w:rsid w:val="000829FC"/>
    <w:rsid w:val="0008615F"/>
    <w:rsid w:val="00087D53"/>
    <w:rsid w:val="000915B0"/>
    <w:rsid w:val="00091807"/>
    <w:rsid w:val="00092B8A"/>
    <w:rsid w:val="00093226"/>
    <w:rsid w:val="000940F2"/>
    <w:rsid w:val="00095398"/>
    <w:rsid w:val="000957D1"/>
    <w:rsid w:val="000958D1"/>
    <w:rsid w:val="000A1A2A"/>
    <w:rsid w:val="000A1DC3"/>
    <w:rsid w:val="000A27A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1B3"/>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729"/>
    <w:rsid w:val="00125A9E"/>
    <w:rsid w:val="00127308"/>
    <w:rsid w:val="00130032"/>
    <w:rsid w:val="00130C1C"/>
    <w:rsid w:val="00133095"/>
    <w:rsid w:val="0013414A"/>
    <w:rsid w:val="0013444A"/>
    <w:rsid w:val="00135734"/>
    <w:rsid w:val="0013646B"/>
    <w:rsid w:val="00141A85"/>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2EB"/>
    <w:rsid w:val="00190BDD"/>
    <w:rsid w:val="001920CF"/>
    <w:rsid w:val="00192503"/>
    <w:rsid w:val="001A1697"/>
    <w:rsid w:val="001A18B0"/>
    <w:rsid w:val="001A1931"/>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4EFC"/>
    <w:rsid w:val="001D5559"/>
    <w:rsid w:val="001D7B03"/>
    <w:rsid w:val="001E043D"/>
    <w:rsid w:val="001E4ED6"/>
    <w:rsid w:val="001E5C4C"/>
    <w:rsid w:val="001E67EB"/>
    <w:rsid w:val="001F04F5"/>
    <w:rsid w:val="001F07EE"/>
    <w:rsid w:val="001F07F7"/>
    <w:rsid w:val="001F0888"/>
    <w:rsid w:val="001F0F8B"/>
    <w:rsid w:val="001F1A76"/>
    <w:rsid w:val="001F1E0A"/>
    <w:rsid w:val="001F1ED4"/>
    <w:rsid w:val="001F2430"/>
    <w:rsid w:val="001F2718"/>
    <w:rsid w:val="001F313E"/>
    <w:rsid w:val="001F3E21"/>
    <w:rsid w:val="001F7063"/>
    <w:rsid w:val="001F7A51"/>
    <w:rsid w:val="00202A31"/>
    <w:rsid w:val="00202FF5"/>
    <w:rsid w:val="0020536F"/>
    <w:rsid w:val="002056E6"/>
    <w:rsid w:val="00205967"/>
    <w:rsid w:val="0020637E"/>
    <w:rsid w:val="00207E14"/>
    <w:rsid w:val="00211CB9"/>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1745"/>
    <w:rsid w:val="0025261A"/>
    <w:rsid w:val="0025352A"/>
    <w:rsid w:val="00254821"/>
    <w:rsid w:val="002563CA"/>
    <w:rsid w:val="002571F1"/>
    <w:rsid w:val="0025731D"/>
    <w:rsid w:val="00257943"/>
    <w:rsid w:val="00260A6D"/>
    <w:rsid w:val="00261A32"/>
    <w:rsid w:val="00262A44"/>
    <w:rsid w:val="00262FB9"/>
    <w:rsid w:val="0026369C"/>
    <w:rsid w:val="002656D2"/>
    <w:rsid w:val="00266F37"/>
    <w:rsid w:val="0026779C"/>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B5D"/>
    <w:rsid w:val="002C6264"/>
    <w:rsid w:val="002C6EEF"/>
    <w:rsid w:val="002D00A4"/>
    <w:rsid w:val="002D0721"/>
    <w:rsid w:val="002D1465"/>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870"/>
    <w:rsid w:val="002F0A8B"/>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279EB"/>
    <w:rsid w:val="00333FC2"/>
    <w:rsid w:val="0033480A"/>
    <w:rsid w:val="00335E8D"/>
    <w:rsid w:val="003434D6"/>
    <w:rsid w:val="00343A95"/>
    <w:rsid w:val="0034438C"/>
    <w:rsid w:val="00344A78"/>
    <w:rsid w:val="00344DB7"/>
    <w:rsid w:val="00346B55"/>
    <w:rsid w:val="00346C84"/>
    <w:rsid w:val="003526F8"/>
    <w:rsid w:val="00353770"/>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68B"/>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68C"/>
    <w:rsid w:val="0042192A"/>
    <w:rsid w:val="00423575"/>
    <w:rsid w:val="00423825"/>
    <w:rsid w:val="00425FA4"/>
    <w:rsid w:val="00430015"/>
    <w:rsid w:val="004301CC"/>
    <w:rsid w:val="004313A1"/>
    <w:rsid w:val="00431A11"/>
    <w:rsid w:val="00431D35"/>
    <w:rsid w:val="0043226F"/>
    <w:rsid w:val="004346FA"/>
    <w:rsid w:val="00434A13"/>
    <w:rsid w:val="00435490"/>
    <w:rsid w:val="0043550B"/>
    <w:rsid w:val="00435529"/>
    <w:rsid w:val="00435621"/>
    <w:rsid w:val="004366A2"/>
    <w:rsid w:val="00441907"/>
    <w:rsid w:val="00441A36"/>
    <w:rsid w:val="00443858"/>
    <w:rsid w:val="00443AB1"/>
    <w:rsid w:val="0044470C"/>
    <w:rsid w:val="00445F7F"/>
    <w:rsid w:val="004466FD"/>
    <w:rsid w:val="004477E4"/>
    <w:rsid w:val="00450E5B"/>
    <w:rsid w:val="00452823"/>
    <w:rsid w:val="0045286A"/>
    <w:rsid w:val="00454795"/>
    <w:rsid w:val="00454AD2"/>
    <w:rsid w:val="00456F37"/>
    <w:rsid w:val="004573DB"/>
    <w:rsid w:val="00460670"/>
    <w:rsid w:val="00461540"/>
    <w:rsid w:val="004622C0"/>
    <w:rsid w:val="00462DFB"/>
    <w:rsid w:val="00463665"/>
    <w:rsid w:val="00464047"/>
    <w:rsid w:val="00465015"/>
    <w:rsid w:val="004656A1"/>
    <w:rsid w:val="0046600D"/>
    <w:rsid w:val="00466620"/>
    <w:rsid w:val="004713FE"/>
    <w:rsid w:val="004721A1"/>
    <w:rsid w:val="004733EA"/>
    <w:rsid w:val="0047419E"/>
    <w:rsid w:val="00476B61"/>
    <w:rsid w:val="00477A11"/>
    <w:rsid w:val="004802BB"/>
    <w:rsid w:val="0048169E"/>
    <w:rsid w:val="00481C76"/>
    <w:rsid w:val="00484BD9"/>
    <w:rsid w:val="00486191"/>
    <w:rsid w:val="004863D7"/>
    <w:rsid w:val="00491FBA"/>
    <w:rsid w:val="00492082"/>
    <w:rsid w:val="004952AC"/>
    <w:rsid w:val="0049578C"/>
    <w:rsid w:val="00495E9E"/>
    <w:rsid w:val="00495F66"/>
    <w:rsid w:val="00496E46"/>
    <w:rsid w:val="00497988"/>
    <w:rsid w:val="004A126A"/>
    <w:rsid w:val="004A1F0B"/>
    <w:rsid w:val="004A2D31"/>
    <w:rsid w:val="004A2F0B"/>
    <w:rsid w:val="004A6E75"/>
    <w:rsid w:val="004B2634"/>
    <w:rsid w:val="004B2771"/>
    <w:rsid w:val="004B27C9"/>
    <w:rsid w:val="004B2808"/>
    <w:rsid w:val="004B2A87"/>
    <w:rsid w:val="004C3C0D"/>
    <w:rsid w:val="004C3D65"/>
    <w:rsid w:val="004C52F3"/>
    <w:rsid w:val="004C55BC"/>
    <w:rsid w:val="004C5DC6"/>
    <w:rsid w:val="004C64E0"/>
    <w:rsid w:val="004D05E5"/>
    <w:rsid w:val="004D155C"/>
    <w:rsid w:val="004D2940"/>
    <w:rsid w:val="004D3897"/>
    <w:rsid w:val="004D3A62"/>
    <w:rsid w:val="004D51D1"/>
    <w:rsid w:val="004D5A2E"/>
    <w:rsid w:val="004D5D2F"/>
    <w:rsid w:val="004D713A"/>
    <w:rsid w:val="004D7D53"/>
    <w:rsid w:val="004E08CC"/>
    <w:rsid w:val="004E35C8"/>
    <w:rsid w:val="004E5206"/>
    <w:rsid w:val="004E5D7A"/>
    <w:rsid w:val="004E68E9"/>
    <w:rsid w:val="004E7444"/>
    <w:rsid w:val="004E761F"/>
    <w:rsid w:val="004E7FFE"/>
    <w:rsid w:val="004F165D"/>
    <w:rsid w:val="004F19A9"/>
    <w:rsid w:val="004F40EF"/>
    <w:rsid w:val="004F4E2E"/>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776"/>
    <w:rsid w:val="00515CD9"/>
    <w:rsid w:val="00515F08"/>
    <w:rsid w:val="005168B7"/>
    <w:rsid w:val="005168B9"/>
    <w:rsid w:val="005173EF"/>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14BF"/>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3588"/>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4E9"/>
    <w:rsid w:val="00562BBB"/>
    <w:rsid w:val="0056381D"/>
    <w:rsid w:val="005655FC"/>
    <w:rsid w:val="00565B18"/>
    <w:rsid w:val="00566686"/>
    <w:rsid w:val="00566733"/>
    <w:rsid w:val="005672CC"/>
    <w:rsid w:val="00573032"/>
    <w:rsid w:val="00577583"/>
    <w:rsid w:val="0057782F"/>
    <w:rsid w:val="005800C0"/>
    <w:rsid w:val="005821D4"/>
    <w:rsid w:val="00582B8E"/>
    <w:rsid w:val="00583995"/>
    <w:rsid w:val="00585815"/>
    <w:rsid w:val="00586A1C"/>
    <w:rsid w:val="00587104"/>
    <w:rsid w:val="005874CA"/>
    <w:rsid w:val="005907C1"/>
    <w:rsid w:val="00590D0C"/>
    <w:rsid w:val="00592779"/>
    <w:rsid w:val="00592C1A"/>
    <w:rsid w:val="00593E8E"/>
    <w:rsid w:val="005955DB"/>
    <w:rsid w:val="005A21C3"/>
    <w:rsid w:val="005A358A"/>
    <w:rsid w:val="005A4518"/>
    <w:rsid w:val="005A64D3"/>
    <w:rsid w:val="005B04B2"/>
    <w:rsid w:val="005B09E5"/>
    <w:rsid w:val="005B1285"/>
    <w:rsid w:val="005B29F6"/>
    <w:rsid w:val="005B3392"/>
    <w:rsid w:val="005B3427"/>
    <w:rsid w:val="005B3C68"/>
    <w:rsid w:val="005B4861"/>
    <w:rsid w:val="005B4B35"/>
    <w:rsid w:val="005B4F19"/>
    <w:rsid w:val="005B5215"/>
    <w:rsid w:val="005C36AF"/>
    <w:rsid w:val="005C3877"/>
    <w:rsid w:val="005C6478"/>
    <w:rsid w:val="005C6D12"/>
    <w:rsid w:val="005C6E87"/>
    <w:rsid w:val="005D12F4"/>
    <w:rsid w:val="005D2EDE"/>
    <w:rsid w:val="005D4B44"/>
    <w:rsid w:val="005D5996"/>
    <w:rsid w:val="005D64E0"/>
    <w:rsid w:val="005D6DBA"/>
    <w:rsid w:val="005D6F9D"/>
    <w:rsid w:val="005D7494"/>
    <w:rsid w:val="005D7565"/>
    <w:rsid w:val="005E1E6D"/>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D52"/>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45431"/>
    <w:rsid w:val="00645AEF"/>
    <w:rsid w:val="00645DBA"/>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1AD3"/>
    <w:rsid w:val="00673FDF"/>
    <w:rsid w:val="00676CAF"/>
    <w:rsid w:val="006771E9"/>
    <w:rsid w:val="0067778E"/>
    <w:rsid w:val="00680461"/>
    <w:rsid w:val="006804DF"/>
    <w:rsid w:val="006812E3"/>
    <w:rsid w:val="00682882"/>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2F0B"/>
    <w:rsid w:val="006B38CE"/>
    <w:rsid w:val="006B3B44"/>
    <w:rsid w:val="006B4416"/>
    <w:rsid w:val="006B5B47"/>
    <w:rsid w:val="006B5F51"/>
    <w:rsid w:val="006B7E8F"/>
    <w:rsid w:val="006C18D7"/>
    <w:rsid w:val="006C402E"/>
    <w:rsid w:val="006C4FBC"/>
    <w:rsid w:val="006C6050"/>
    <w:rsid w:val="006C64E9"/>
    <w:rsid w:val="006C6530"/>
    <w:rsid w:val="006D0FBE"/>
    <w:rsid w:val="006D140B"/>
    <w:rsid w:val="006D1812"/>
    <w:rsid w:val="006D2809"/>
    <w:rsid w:val="006D3682"/>
    <w:rsid w:val="006D45D6"/>
    <w:rsid w:val="006D68E6"/>
    <w:rsid w:val="006E0469"/>
    <w:rsid w:val="006E171A"/>
    <w:rsid w:val="006E1BEE"/>
    <w:rsid w:val="006E2EA3"/>
    <w:rsid w:val="006E3EBA"/>
    <w:rsid w:val="006E6343"/>
    <w:rsid w:val="006E6A62"/>
    <w:rsid w:val="006E7743"/>
    <w:rsid w:val="006F04D3"/>
    <w:rsid w:val="006F1E9A"/>
    <w:rsid w:val="006F263D"/>
    <w:rsid w:val="006F284C"/>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0A22"/>
    <w:rsid w:val="00742DC7"/>
    <w:rsid w:val="007430DB"/>
    <w:rsid w:val="0074685F"/>
    <w:rsid w:val="0075120E"/>
    <w:rsid w:val="00754A4B"/>
    <w:rsid w:val="00754EE8"/>
    <w:rsid w:val="0075588A"/>
    <w:rsid w:val="00755FCA"/>
    <w:rsid w:val="00756B74"/>
    <w:rsid w:val="00757439"/>
    <w:rsid w:val="0076206D"/>
    <w:rsid w:val="007628BE"/>
    <w:rsid w:val="00763406"/>
    <w:rsid w:val="007645C6"/>
    <w:rsid w:val="0076530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16C0"/>
    <w:rsid w:val="007A2A5E"/>
    <w:rsid w:val="007A2BEF"/>
    <w:rsid w:val="007A3D8B"/>
    <w:rsid w:val="007A401A"/>
    <w:rsid w:val="007A57FA"/>
    <w:rsid w:val="007A5855"/>
    <w:rsid w:val="007A7C47"/>
    <w:rsid w:val="007B0C49"/>
    <w:rsid w:val="007B1ABF"/>
    <w:rsid w:val="007B1C1E"/>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3217"/>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399D"/>
    <w:rsid w:val="00806966"/>
    <w:rsid w:val="00806E6A"/>
    <w:rsid w:val="00811199"/>
    <w:rsid w:val="00811DC7"/>
    <w:rsid w:val="008138C1"/>
    <w:rsid w:val="00813F77"/>
    <w:rsid w:val="008168E6"/>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95"/>
    <w:rsid w:val="008529F0"/>
    <w:rsid w:val="00852CF8"/>
    <w:rsid w:val="00852D17"/>
    <w:rsid w:val="0085331B"/>
    <w:rsid w:val="00856342"/>
    <w:rsid w:val="00856C90"/>
    <w:rsid w:val="008572A0"/>
    <w:rsid w:val="00860218"/>
    <w:rsid w:val="00860267"/>
    <w:rsid w:val="00861D1E"/>
    <w:rsid w:val="0086202D"/>
    <w:rsid w:val="00863899"/>
    <w:rsid w:val="008639A2"/>
    <w:rsid w:val="0086739B"/>
    <w:rsid w:val="008675B4"/>
    <w:rsid w:val="00870796"/>
    <w:rsid w:val="00871110"/>
    <w:rsid w:val="00872CD3"/>
    <w:rsid w:val="0087325B"/>
    <w:rsid w:val="008739B1"/>
    <w:rsid w:val="00875BDF"/>
    <w:rsid w:val="008765E5"/>
    <w:rsid w:val="00877B58"/>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8AA"/>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091"/>
    <w:rsid w:val="00903E57"/>
    <w:rsid w:val="00904635"/>
    <w:rsid w:val="0090472F"/>
    <w:rsid w:val="0090647A"/>
    <w:rsid w:val="009067A8"/>
    <w:rsid w:val="00906DE7"/>
    <w:rsid w:val="009071FC"/>
    <w:rsid w:val="0091153A"/>
    <w:rsid w:val="00911A43"/>
    <w:rsid w:val="00911C92"/>
    <w:rsid w:val="009127D5"/>
    <w:rsid w:val="00912DF7"/>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211"/>
    <w:rsid w:val="00943993"/>
    <w:rsid w:val="00943F7A"/>
    <w:rsid w:val="0094448C"/>
    <w:rsid w:val="009462EE"/>
    <w:rsid w:val="00946C36"/>
    <w:rsid w:val="00947B77"/>
    <w:rsid w:val="00947E61"/>
    <w:rsid w:val="00951F5B"/>
    <w:rsid w:val="00954CB5"/>
    <w:rsid w:val="00955A9B"/>
    <w:rsid w:val="00960C4C"/>
    <w:rsid w:val="00961ABE"/>
    <w:rsid w:val="009621E2"/>
    <w:rsid w:val="00962BEC"/>
    <w:rsid w:val="009630C3"/>
    <w:rsid w:val="0096492F"/>
    <w:rsid w:val="00964E50"/>
    <w:rsid w:val="00966553"/>
    <w:rsid w:val="009702D6"/>
    <w:rsid w:val="00972A76"/>
    <w:rsid w:val="00974484"/>
    <w:rsid w:val="00976440"/>
    <w:rsid w:val="00977BF1"/>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2D5"/>
    <w:rsid w:val="009A230D"/>
    <w:rsid w:val="009A43E8"/>
    <w:rsid w:val="009A592C"/>
    <w:rsid w:val="009A62D1"/>
    <w:rsid w:val="009B29A6"/>
    <w:rsid w:val="009B2B86"/>
    <w:rsid w:val="009B305D"/>
    <w:rsid w:val="009B3376"/>
    <w:rsid w:val="009B4134"/>
    <w:rsid w:val="009B43D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08C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0C00"/>
    <w:rsid w:val="00A929B8"/>
    <w:rsid w:val="00A946A2"/>
    <w:rsid w:val="00A94BB3"/>
    <w:rsid w:val="00A9531F"/>
    <w:rsid w:val="00A956A9"/>
    <w:rsid w:val="00AA003F"/>
    <w:rsid w:val="00AA0CFF"/>
    <w:rsid w:val="00AA533D"/>
    <w:rsid w:val="00AA60A2"/>
    <w:rsid w:val="00AA68D6"/>
    <w:rsid w:val="00AB0A10"/>
    <w:rsid w:val="00AB1703"/>
    <w:rsid w:val="00AB19BC"/>
    <w:rsid w:val="00AB2D8E"/>
    <w:rsid w:val="00AB35BD"/>
    <w:rsid w:val="00AB3A8A"/>
    <w:rsid w:val="00AB3D26"/>
    <w:rsid w:val="00AB6591"/>
    <w:rsid w:val="00AB6833"/>
    <w:rsid w:val="00AB7915"/>
    <w:rsid w:val="00AB7C7E"/>
    <w:rsid w:val="00AC0EC2"/>
    <w:rsid w:val="00AC3433"/>
    <w:rsid w:val="00AC5C6C"/>
    <w:rsid w:val="00AC676F"/>
    <w:rsid w:val="00AC6E7D"/>
    <w:rsid w:val="00AD0599"/>
    <w:rsid w:val="00AD071F"/>
    <w:rsid w:val="00AD16DB"/>
    <w:rsid w:val="00AD2EC4"/>
    <w:rsid w:val="00AD57FB"/>
    <w:rsid w:val="00AD6214"/>
    <w:rsid w:val="00AD6F72"/>
    <w:rsid w:val="00AE03C9"/>
    <w:rsid w:val="00AE41AD"/>
    <w:rsid w:val="00AE4239"/>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1846"/>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13B6"/>
    <w:rsid w:val="00BA4B33"/>
    <w:rsid w:val="00BA6C30"/>
    <w:rsid w:val="00BB0321"/>
    <w:rsid w:val="00BB14B4"/>
    <w:rsid w:val="00BB3AE9"/>
    <w:rsid w:val="00BB5483"/>
    <w:rsid w:val="00BB578B"/>
    <w:rsid w:val="00BB6D5A"/>
    <w:rsid w:val="00BB779E"/>
    <w:rsid w:val="00BB7B4A"/>
    <w:rsid w:val="00BC15C0"/>
    <w:rsid w:val="00BC1D1C"/>
    <w:rsid w:val="00BC3704"/>
    <w:rsid w:val="00BC5FC1"/>
    <w:rsid w:val="00BC6AE3"/>
    <w:rsid w:val="00BC72D4"/>
    <w:rsid w:val="00BD0C6C"/>
    <w:rsid w:val="00BD1500"/>
    <w:rsid w:val="00BD18C2"/>
    <w:rsid w:val="00BD1B5D"/>
    <w:rsid w:val="00BD1F47"/>
    <w:rsid w:val="00BD272B"/>
    <w:rsid w:val="00BD403B"/>
    <w:rsid w:val="00BD4FCD"/>
    <w:rsid w:val="00BD55B3"/>
    <w:rsid w:val="00BD593B"/>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317"/>
    <w:rsid w:val="00C14F1E"/>
    <w:rsid w:val="00C15462"/>
    <w:rsid w:val="00C16576"/>
    <w:rsid w:val="00C165EA"/>
    <w:rsid w:val="00C16C9F"/>
    <w:rsid w:val="00C17081"/>
    <w:rsid w:val="00C17BF0"/>
    <w:rsid w:val="00C24C1D"/>
    <w:rsid w:val="00C25738"/>
    <w:rsid w:val="00C25974"/>
    <w:rsid w:val="00C26C63"/>
    <w:rsid w:val="00C30009"/>
    <w:rsid w:val="00C30B97"/>
    <w:rsid w:val="00C31981"/>
    <w:rsid w:val="00C31DDB"/>
    <w:rsid w:val="00C31F16"/>
    <w:rsid w:val="00C33A80"/>
    <w:rsid w:val="00C3510D"/>
    <w:rsid w:val="00C3526E"/>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688"/>
    <w:rsid w:val="00C8283E"/>
    <w:rsid w:val="00C847D5"/>
    <w:rsid w:val="00C849F1"/>
    <w:rsid w:val="00C87460"/>
    <w:rsid w:val="00C91962"/>
    <w:rsid w:val="00C937FA"/>
    <w:rsid w:val="00C93C52"/>
    <w:rsid w:val="00C93F3B"/>
    <w:rsid w:val="00C9406D"/>
    <w:rsid w:val="00C9528D"/>
    <w:rsid w:val="00C96353"/>
    <w:rsid w:val="00C970DC"/>
    <w:rsid w:val="00C972F3"/>
    <w:rsid w:val="00C9738C"/>
    <w:rsid w:val="00CA0935"/>
    <w:rsid w:val="00CA0C5A"/>
    <w:rsid w:val="00CA0FB1"/>
    <w:rsid w:val="00CA1AA4"/>
    <w:rsid w:val="00CA22A3"/>
    <w:rsid w:val="00CA54E0"/>
    <w:rsid w:val="00CA5CC6"/>
    <w:rsid w:val="00CB0041"/>
    <w:rsid w:val="00CB253F"/>
    <w:rsid w:val="00CB2D98"/>
    <w:rsid w:val="00CB7A6B"/>
    <w:rsid w:val="00CB7BCF"/>
    <w:rsid w:val="00CC2039"/>
    <w:rsid w:val="00CC2FFE"/>
    <w:rsid w:val="00CC4468"/>
    <w:rsid w:val="00CD0933"/>
    <w:rsid w:val="00CD1B40"/>
    <w:rsid w:val="00CD3E17"/>
    <w:rsid w:val="00CD52BB"/>
    <w:rsid w:val="00CD75B0"/>
    <w:rsid w:val="00CD7622"/>
    <w:rsid w:val="00CD782A"/>
    <w:rsid w:val="00CE0EE5"/>
    <w:rsid w:val="00CE0EFD"/>
    <w:rsid w:val="00CE1E75"/>
    <w:rsid w:val="00CE3C83"/>
    <w:rsid w:val="00CE650F"/>
    <w:rsid w:val="00CE6BC3"/>
    <w:rsid w:val="00CE71AA"/>
    <w:rsid w:val="00CE79A3"/>
    <w:rsid w:val="00CE7D31"/>
    <w:rsid w:val="00CF0C27"/>
    <w:rsid w:val="00CF10FC"/>
    <w:rsid w:val="00CF1E63"/>
    <w:rsid w:val="00CF2166"/>
    <w:rsid w:val="00CF2B6C"/>
    <w:rsid w:val="00CF4676"/>
    <w:rsid w:val="00CF67EC"/>
    <w:rsid w:val="00CF6E62"/>
    <w:rsid w:val="00D00351"/>
    <w:rsid w:val="00D003D7"/>
    <w:rsid w:val="00D018CC"/>
    <w:rsid w:val="00D05A35"/>
    <w:rsid w:val="00D06F34"/>
    <w:rsid w:val="00D125FC"/>
    <w:rsid w:val="00D12BA4"/>
    <w:rsid w:val="00D1339D"/>
    <w:rsid w:val="00D1399A"/>
    <w:rsid w:val="00D13E2C"/>
    <w:rsid w:val="00D14B36"/>
    <w:rsid w:val="00D15621"/>
    <w:rsid w:val="00D2221E"/>
    <w:rsid w:val="00D25BAC"/>
    <w:rsid w:val="00D31225"/>
    <w:rsid w:val="00D32600"/>
    <w:rsid w:val="00D33E42"/>
    <w:rsid w:val="00D34752"/>
    <w:rsid w:val="00D35797"/>
    <w:rsid w:val="00D35DA2"/>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5F30"/>
    <w:rsid w:val="00D97FDB"/>
    <w:rsid w:val="00DA191A"/>
    <w:rsid w:val="00DA1F58"/>
    <w:rsid w:val="00DA2172"/>
    <w:rsid w:val="00DA289F"/>
    <w:rsid w:val="00DA29BB"/>
    <w:rsid w:val="00DA2A0E"/>
    <w:rsid w:val="00DA44C5"/>
    <w:rsid w:val="00DA5425"/>
    <w:rsid w:val="00DA54B6"/>
    <w:rsid w:val="00DA6204"/>
    <w:rsid w:val="00DB3AC1"/>
    <w:rsid w:val="00DB523C"/>
    <w:rsid w:val="00DB6D07"/>
    <w:rsid w:val="00DB71E7"/>
    <w:rsid w:val="00DC4F1D"/>
    <w:rsid w:val="00DC5179"/>
    <w:rsid w:val="00DC52B0"/>
    <w:rsid w:val="00DC6DD4"/>
    <w:rsid w:val="00DC7E16"/>
    <w:rsid w:val="00DD03AB"/>
    <w:rsid w:val="00DD170D"/>
    <w:rsid w:val="00DD3EA9"/>
    <w:rsid w:val="00DE0082"/>
    <w:rsid w:val="00DE1323"/>
    <w:rsid w:val="00DE649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69B"/>
    <w:rsid w:val="00E62AD4"/>
    <w:rsid w:val="00E62E07"/>
    <w:rsid w:val="00E62FBC"/>
    <w:rsid w:val="00E65413"/>
    <w:rsid w:val="00E65967"/>
    <w:rsid w:val="00E65A10"/>
    <w:rsid w:val="00E6710A"/>
    <w:rsid w:val="00E714D0"/>
    <w:rsid w:val="00E83B43"/>
    <w:rsid w:val="00E85BC9"/>
    <w:rsid w:val="00E8665B"/>
    <w:rsid w:val="00E86F3E"/>
    <w:rsid w:val="00E86F93"/>
    <w:rsid w:val="00E87AD2"/>
    <w:rsid w:val="00E9033A"/>
    <w:rsid w:val="00E91322"/>
    <w:rsid w:val="00E9166A"/>
    <w:rsid w:val="00E91AD3"/>
    <w:rsid w:val="00E93257"/>
    <w:rsid w:val="00E96131"/>
    <w:rsid w:val="00EA12A7"/>
    <w:rsid w:val="00EA12F5"/>
    <w:rsid w:val="00EA2548"/>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0A61"/>
    <w:rsid w:val="00EC1BC6"/>
    <w:rsid w:val="00EC2BDF"/>
    <w:rsid w:val="00EC3242"/>
    <w:rsid w:val="00EC33AF"/>
    <w:rsid w:val="00EC58FB"/>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078D1"/>
    <w:rsid w:val="00F106A0"/>
    <w:rsid w:val="00F11A7E"/>
    <w:rsid w:val="00F123F2"/>
    <w:rsid w:val="00F1590C"/>
    <w:rsid w:val="00F16B95"/>
    <w:rsid w:val="00F2021D"/>
    <w:rsid w:val="00F227E8"/>
    <w:rsid w:val="00F250B4"/>
    <w:rsid w:val="00F25849"/>
    <w:rsid w:val="00F25E1A"/>
    <w:rsid w:val="00F26C9C"/>
    <w:rsid w:val="00F27EDC"/>
    <w:rsid w:val="00F31EA8"/>
    <w:rsid w:val="00F33A82"/>
    <w:rsid w:val="00F33A9D"/>
    <w:rsid w:val="00F341FA"/>
    <w:rsid w:val="00F37F68"/>
    <w:rsid w:val="00F40AAE"/>
    <w:rsid w:val="00F41177"/>
    <w:rsid w:val="00F426E8"/>
    <w:rsid w:val="00F4345C"/>
    <w:rsid w:val="00F43517"/>
    <w:rsid w:val="00F464A2"/>
    <w:rsid w:val="00F46FE3"/>
    <w:rsid w:val="00F47D26"/>
    <w:rsid w:val="00F5125C"/>
    <w:rsid w:val="00F51A2F"/>
    <w:rsid w:val="00F523EB"/>
    <w:rsid w:val="00F52B97"/>
    <w:rsid w:val="00F56935"/>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4D6"/>
    <w:rsid w:val="00F808EF"/>
    <w:rsid w:val="00F813FD"/>
    <w:rsid w:val="00F8144F"/>
    <w:rsid w:val="00F8258A"/>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AB2"/>
    <w:rsid w:val="00F96CBE"/>
    <w:rsid w:val="00F9783C"/>
    <w:rsid w:val="00F97E2A"/>
    <w:rsid w:val="00FA076F"/>
    <w:rsid w:val="00FA1C91"/>
    <w:rsid w:val="00FA2655"/>
    <w:rsid w:val="00FA3785"/>
    <w:rsid w:val="00FA3976"/>
    <w:rsid w:val="00FA4DAF"/>
    <w:rsid w:val="00FA5A30"/>
    <w:rsid w:val="00FA70F4"/>
    <w:rsid w:val="00FB0E7E"/>
    <w:rsid w:val="00FB20E4"/>
    <w:rsid w:val="00FB237A"/>
    <w:rsid w:val="00FB3D2F"/>
    <w:rsid w:val="00FB3E6C"/>
    <w:rsid w:val="00FC0068"/>
    <w:rsid w:val="00FC1EDF"/>
    <w:rsid w:val="00FC2ED0"/>
    <w:rsid w:val="00FC3F91"/>
    <w:rsid w:val="00FC48E3"/>
    <w:rsid w:val="00FC498C"/>
    <w:rsid w:val="00FD274A"/>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5729D0"/>
  <w14:defaultImageDpi w14:val="0"/>
  <w15:docId w15:val="{0A22AD23-BEB0-4AA0-A5F0-4BA4480A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link w:val="Heading1Char"/>
    <w:uiPriority w:val="9"/>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link w:val="Heading2Char"/>
    <w:uiPriority w:val="9"/>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link w:val="Heading3Char"/>
    <w:uiPriority w:val="9"/>
    <w:qFormat/>
    <w:rsid w:val="00A72C57"/>
    <w:pPr>
      <w:keepNext/>
      <w:spacing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Header">
    <w:name w:val="header"/>
    <w:basedOn w:val="Normal"/>
    <w:link w:val="HeaderChar"/>
    <w:uiPriority w:val="99"/>
    <w:rsid w:val="00B2145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4"/>
      <w:szCs w:val="24"/>
    </w:rPr>
  </w:style>
  <w:style w:type="paragraph" w:styleId="Footer">
    <w:name w:val="footer"/>
    <w:basedOn w:val="Normal"/>
    <w:link w:val="FooterChar"/>
    <w:uiPriority w:val="99"/>
    <w:rsid w:val="00B2145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4"/>
      <w:szCs w:val="24"/>
    </w:r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paragraph" w:styleId="ListParagraph">
    <w:name w:val="List Paragraph"/>
    <w:aliases w:val="Bullet,List Paragraph1,List Paragraph11,Recommendation"/>
    <w:basedOn w:val="Normal"/>
    <w:link w:val="ListParagraphChar"/>
    <w:uiPriority w:val="34"/>
    <w:qFormat/>
    <w:rsid w:val="00435621"/>
    <w:pPr>
      <w:spacing w:after="0"/>
      <w:ind w:left="720"/>
      <w:contextualSpacing/>
    </w:pPr>
    <w:rPr>
      <w:rFonts w:eastAsia="SimSun"/>
      <w:sz w:val="23"/>
      <w:szCs w:val="23"/>
      <w:lang w:eastAsia="zh-CN"/>
    </w:rPr>
  </w:style>
  <w:style w:type="character" w:styleId="CommentReference">
    <w:name w:val="annotation reference"/>
    <w:basedOn w:val="DefaultParagraphFont"/>
    <w:uiPriority w:val="99"/>
    <w:rsid w:val="004733EA"/>
    <w:rPr>
      <w:rFonts w:cs="Times New Roman"/>
      <w:sz w:val="16"/>
    </w:rPr>
  </w:style>
  <w:style w:type="paragraph" w:styleId="CommentText">
    <w:name w:val="annotation text"/>
    <w:basedOn w:val="Normal"/>
    <w:link w:val="CommentTextChar"/>
    <w:uiPriority w:val="99"/>
    <w:rsid w:val="004733EA"/>
    <w:rPr>
      <w:sz w:val="20"/>
      <w:szCs w:val="20"/>
    </w:rPr>
  </w:style>
  <w:style w:type="character" w:customStyle="1" w:styleId="CommentTextChar">
    <w:name w:val="Comment Text Char"/>
    <w:basedOn w:val="DefaultParagraphFont"/>
    <w:link w:val="CommentText"/>
    <w:uiPriority w:val="99"/>
    <w:locked/>
    <w:rsid w:val="004733EA"/>
    <w:rPr>
      <w:rFonts w:ascii="Arial" w:hAnsi="Arial" w:cs="Times New Roman"/>
    </w:rPr>
  </w:style>
  <w:style w:type="paragraph" w:styleId="CommentSubject">
    <w:name w:val="annotation subject"/>
    <w:basedOn w:val="CommentText"/>
    <w:next w:val="CommentText"/>
    <w:link w:val="CommentSubjectChar"/>
    <w:uiPriority w:val="99"/>
    <w:rsid w:val="004733EA"/>
    <w:rPr>
      <w:b/>
      <w:bCs/>
    </w:rPr>
  </w:style>
  <w:style w:type="character" w:customStyle="1" w:styleId="CommentSubjectChar">
    <w:name w:val="Comment Subject Char"/>
    <w:basedOn w:val="CommentTextChar"/>
    <w:link w:val="CommentSubject"/>
    <w:uiPriority w:val="99"/>
    <w:locked/>
    <w:rsid w:val="004733EA"/>
    <w:rPr>
      <w:rFonts w:ascii="Arial" w:hAnsi="Arial" w:cs="Times New Roman"/>
      <w:b/>
    </w:rPr>
  </w:style>
  <w:style w:type="paragraph" w:styleId="BalloonText">
    <w:name w:val="Balloon Text"/>
    <w:basedOn w:val="Normal"/>
    <w:link w:val="BalloonTextChar"/>
    <w:uiPriority w:val="99"/>
    <w:rsid w:val="004733EA"/>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4733EA"/>
    <w:rPr>
      <w:rFonts w:ascii="Tahoma" w:hAnsi="Tahoma" w:cs="Times New Roman"/>
      <w:sz w:val="16"/>
    </w:rPr>
  </w:style>
  <w:style w:type="character" w:customStyle="1" w:styleId="ListParagraphChar">
    <w:name w:val="List Paragraph Char"/>
    <w:aliases w:val="Bullet Char,List Paragraph1 Char,List Paragraph11 Char,Recommendation Char"/>
    <w:link w:val="ListParagraph"/>
    <w:uiPriority w:val="34"/>
    <w:locked/>
    <w:rsid w:val="00740A22"/>
    <w:rPr>
      <w:rFonts w:ascii="Arial" w:eastAsia="SimSun" w:hAnsi="Arial"/>
      <w:sz w:val="23"/>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097176">
      <w:marLeft w:val="0"/>
      <w:marRight w:val="0"/>
      <w:marTop w:val="0"/>
      <w:marBottom w:val="0"/>
      <w:divBdr>
        <w:top w:val="none" w:sz="0" w:space="0" w:color="auto"/>
        <w:left w:val="none" w:sz="0" w:space="0" w:color="auto"/>
        <w:bottom w:val="none" w:sz="0" w:space="0" w:color="auto"/>
        <w:right w:val="none" w:sz="0" w:space="0" w:color="auto"/>
      </w:divBdr>
    </w:div>
    <w:div w:id="703097177">
      <w:marLeft w:val="0"/>
      <w:marRight w:val="0"/>
      <w:marTop w:val="0"/>
      <w:marBottom w:val="0"/>
      <w:divBdr>
        <w:top w:val="none" w:sz="0" w:space="0" w:color="auto"/>
        <w:left w:val="none" w:sz="0" w:space="0" w:color="auto"/>
        <w:bottom w:val="none" w:sz="0" w:space="0" w:color="auto"/>
        <w:right w:val="none" w:sz="0" w:space="0" w:color="auto"/>
      </w:divBdr>
    </w:div>
    <w:div w:id="7030971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1130</Words>
  <Characters>6446</Characters>
  <Application>Microsoft Office Word</Application>
  <DocSecurity>0</DocSecurity>
  <Lines>53</Lines>
  <Paragraphs>15</Paragraphs>
  <ScaleCrop>false</ScaleCrop>
  <Manager>Department of Communities, Child Safety and Disability Services</Manager>
  <Company>Queensland Government</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DCCSDS Fact Sheet portrait A4 blue</dc:title>
  <dc:subject>online templates</dc:subject>
  <dc:creator>Communications Services</dc:creator>
  <cp:keywords>fact sheet, template, A4, portrait, blue, 2 columns</cp:keywords>
  <dc:description/>
  <cp:lastModifiedBy>Brett Sycz</cp:lastModifiedBy>
  <cp:revision>2</cp:revision>
  <cp:lastPrinted>2017-05-31T04:28:00Z</cp:lastPrinted>
  <dcterms:created xsi:type="dcterms:W3CDTF">2021-03-31T02:21:00Z</dcterms:created>
  <dcterms:modified xsi:type="dcterms:W3CDTF">2021-03-31T02:21:00Z</dcterms:modified>
  <cp:category>template</cp:category>
</cp:coreProperties>
</file>