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image/vnd.ms-photo" Extension="wdp"/>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ms-office.chartcolorstyle+xml" PartName="/word/charts/colors1.xml"/>
  <Override ContentType="application/vnd.ms-office.chartcolorstyle+xml" PartName="/word/charts/colors2.xml"/>
  <Override ContentType="application/vnd.ms-office.chartstyle+xml" PartName="/word/charts/style1.xml"/>
  <Override ContentType="application/vnd.ms-office.chartstyle+xml" PartName="/word/charts/style2.xml"/>
  <Override ContentType="application/vnd.openxmlformats-officedocument.drawingml.diagramColors+xml" PartName="/word/diagrams/colors1.xml"/>
  <Override ContentType="application/vnd.openxmlformats-officedocument.drawingml.diagramColors+xml" PartName="/word/diagrams/colors2.xml"/>
  <Override ContentType="application/vnd.openxmlformats-officedocument.drawingml.diagramColors+xml" PartName="/word/diagrams/colors3.xml"/>
  <Override ContentType="application/vnd.openxmlformats-officedocument.drawingml.diagramColors+xml" PartName="/word/diagrams/colors4.xml"/>
  <Override ContentType="application/vnd.openxmlformats-officedocument.drawingml.diagramColors+xml" PartName="/word/diagrams/colors5.xml"/>
  <Override ContentType="application/vnd.openxmlformats-officedocument.drawingml.diagramColors+xml" PartName="/word/diagrams/colors6.xml"/>
  <Override ContentType="application/vnd.openxmlformats-officedocument.drawingml.diagramColors+xml" PartName="/word/diagrams/colors7.xml"/>
  <Override ContentType="application/vnd.openxmlformats-officedocument.drawingml.diagramColors+xml" PartName="/word/diagrams/colors8.xml"/>
  <Override ContentType="application/vnd.openxmlformats-officedocument.drawingml.diagramColors+xml" PartName="/word/diagrams/colors9.xml"/>
  <Override ContentType="application/vnd.openxmlformats-officedocument.drawingml.diagramColors+xml" PartName="/word/diagrams/colors10.xml"/>
  <Override ContentType="application/vnd.openxmlformats-officedocument.drawingml.diagramColors+xml" PartName="/word/diagrams/colors11.xml"/>
  <Override ContentType="application/vnd.openxmlformats-officedocument.drawingml.diagramColors+xml" PartName="/word/diagrams/colors12.xml"/>
  <Override ContentType="application/vnd.openxmlformats-officedocument.drawingml.diagramColors+xml" PartName="/word/diagrams/colors13.xml"/>
  <Override ContentType="application/vnd.openxmlformats-officedocument.drawingml.diagramData+xml" PartName="/word/diagrams/data1.xml"/>
  <Override ContentType="application/vnd.openxmlformats-officedocument.drawingml.diagramData+xml" PartName="/word/diagrams/data2.xml"/>
  <Override ContentType="application/vnd.openxmlformats-officedocument.drawingml.diagramData+xml" PartName="/word/diagrams/data3.xml"/>
  <Override ContentType="application/vnd.openxmlformats-officedocument.drawingml.diagramData+xml" PartName="/word/diagrams/data4.xml"/>
  <Override ContentType="application/vnd.openxmlformats-officedocument.drawingml.diagramData+xml" PartName="/word/diagrams/data5.xml"/>
  <Override ContentType="application/vnd.openxmlformats-officedocument.drawingml.diagramData+xml" PartName="/word/diagrams/data6.xml"/>
  <Override ContentType="application/vnd.openxmlformats-officedocument.drawingml.diagramData+xml" PartName="/word/diagrams/data7.xml"/>
  <Override ContentType="application/vnd.openxmlformats-officedocument.drawingml.diagramData+xml" PartName="/word/diagrams/data8.xml"/>
  <Override ContentType="application/vnd.openxmlformats-officedocument.drawingml.diagramData+xml" PartName="/word/diagrams/data9.xml"/>
  <Override ContentType="application/vnd.openxmlformats-officedocument.drawingml.diagramData+xml" PartName="/word/diagrams/data10.xml"/>
  <Override ContentType="application/vnd.openxmlformats-officedocument.drawingml.diagramData+xml" PartName="/word/diagrams/data11.xml"/>
  <Override ContentType="application/vnd.openxmlformats-officedocument.drawingml.diagramData+xml" PartName="/word/diagrams/data12.xml"/>
  <Override ContentType="application/vnd.openxmlformats-officedocument.drawingml.diagramData+xml" PartName="/word/diagrams/data13.xml"/>
  <Override ContentType="application/vnd.openxmlformats-officedocument.drawingml.diagramData+xml" PartName="/word/diagrams/data14.xml"/>
  <Override ContentType="application/vnd.openxmlformats-officedocument.drawingml.diagramData+xml" PartName="/word/diagrams/data15.xml"/>
  <Override ContentType="application/vnd.ms-office.drawingml.diagramDrawing+xml" PartName="/word/diagrams/drawing1.xml"/>
  <Override ContentType="application/vnd.ms-office.drawingml.diagramDrawing+xml" PartName="/word/diagrams/drawing2.xml"/>
  <Override ContentType="application/vnd.ms-office.drawingml.diagramDrawing+xml" PartName="/word/diagrams/drawing3.xml"/>
  <Override ContentType="application/vnd.ms-office.drawingml.diagramDrawing+xml" PartName="/word/diagrams/drawing4.xml"/>
  <Override ContentType="application/vnd.ms-office.drawingml.diagramDrawing+xml" PartName="/word/diagrams/drawing5.xml"/>
  <Override ContentType="application/vnd.ms-office.drawingml.diagramDrawing+xml" PartName="/word/diagrams/drawing6.xml"/>
  <Override ContentType="application/vnd.ms-office.drawingml.diagramDrawing+xml" PartName="/word/diagrams/drawing7.xml"/>
  <Override ContentType="application/vnd.ms-office.drawingml.diagramDrawing+xml" PartName="/word/diagrams/drawing8.xml"/>
  <Override ContentType="application/vnd.ms-office.drawingml.diagramDrawing+xml" PartName="/word/diagrams/drawing9.xml"/>
  <Override ContentType="application/vnd.ms-office.drawingml.diagramDrawing+xml" PartName="/word/diagrams/drawing10.xml"/>
  <Override ContentType="application/vnd.ms-office.drawingml.diagramDrawing+xml" PartName="/word/diagrams/drawing11.xml"/>
  <Override ContentType="application/vnd.ms-office.drawingml.diagramDrawing+xml" PartName="/word/diagrams/drawing12.xml"/>
  <Override ContentType="application/vnd.ms-office.drawingml.diagramDrawing+xml" PartName="/word/diagrams/drawing13.xml"/>
  <Override ContentType="application/vnd.openxmlformats-officedocument.drawingml.diagramLayout+xml" PartName="/word/diagrams/layout1.xml"/>
  <Override ContentType="application/vnd.openxmlformats-officedocument.drawingml.diagramLayout+xml" PartName="/word/diagrams/layout2.xml"/>
  <Override ContentType="application/vnd.openxmlformats-officedocument.drawingml.diagramLayout+xml" PartName="/word/diagrams/layout3.xml"/>
  <Override ContentType="application/vnd.openxmlformats-officedocument.drawingml.diagramLayout+xml" PartName="/word/diagrams/layout4.xml"/>
  <Override ContentType="application/vnd.openxmlformats-officedocument.drawingml.diagramLayout+xml" PartName="/word/diagrams/layout5.xml"/>
  <Override ContentType="application/vnd.openxmlformats-officedocument.drawingml.diagramLayout+xml" PartName="/word/diagrams/layout6.xml"/>
  <Override ContentType="application/vnd.openxmlformats-officedocument.drawingml.diagramLayout+xml" PartName="/word/diagrams/layout7.xml"/>
  <Override ContentType="application/vnd.openxmlformats-officedocument.drawingml.diagramLayout+xml" PartName="/word/diagrams/layout8.xml"/>
  <Override ContentType="application/vnd.openxmlformats-officedocument.drawingml.diagramLayout+xml" PartName="/word/diagrams/layout9.xml"/>
  <Override ContentType="application/vnd.openxmlformats-officedocument.drawingml.diagramLayout+xml" PartName="/word/diagrams/layout10.xml"/>
  <Override ContentType="application/vnd.openxmlformats-officedocument.drawingml.diagramLayout+xml" PartName="/word/diagrams/layout11.xml"/>
  <Override ContentType="application/vnd.openxmlformats-officedocument.drawingml.diagramLayout+xml" PartName="/word/diagrams/layout12.xml"/>
  <Override ContentType="application/vnd.openxmlformats-officedocument.drawingml.diagramLayout+xml" PartName="/word/diagrams/layout13.xml"/>
  <Override ContentType="application/vnd.openxmlformats-officedocument.drawingml.diagramStyle+xml" PartName="/word/diagrams/quickStyle1.xml"/>
  <Override ContentType="application/vnd.openxmlformats-officedocument.drawingml.diagramStyle+xml" PartName="/word/diagrams/quickStyle2.xml"/>
  <Override ContentType="application/vnd.openxmlformats-officedocument.drawingml.diagramStyle+xml" PartName="/word/diagrams/quickStyle3.xml"/>
  <Override ContentType="application/vnd.openxmlformats-officedocument.drawingml.diagramStyle+xml" PartName="/word/diagrams/quickStyle4.xml"/>
  <Override ContentType="application/vnd.openxmlformats-officedocument.drawingml.diagramStyle+xml" PartName="/word/diagrams/quickStyle5.xml"/>
  <Override ContentType="application/vnd.openxmlformats-officedocument.drawingml.diagramStyle+xml" PartName="/word/diagrams/quickStyle6.xml"/>
  <Override ContentType="application/vnd.openxmlformats-officedocument.drawingml.diagramStyle+xml" PartName="/word/diagrams/quickStyle7.xml"/>
  <Override ContentType="application/vnd.openxmlformats-officedocument.drawingml.diagramStyle+xml" PartName="/word/diagrams/quickStyle8.xml"/>
  <Override ContentType="application/vnd.openxmlformats-officedocument.drawingml.diagramStyle+xml" PartName="/word/diagrams/quickStyle9.xml"/>
  <Override ContentType="application/vnd.openxmlformats-officedocument.drawingml.diagramStyle+xml" PartName="/word/diagrams/quickStyle10.xml"/>
  <Override ContentType="application/vnd.openxmlformats-officedocument.drawingml.diagramStyle+xml" PartName="/word/diagrams/quickStyle11.xml"/>
  <Override ContentType="application/vnd.openxmlformats-officedocument.drawingml.diagramStyle+xml" PartName="/word/diagrams/quickStyle12.xml"/>
  <Override ContentType="application/vnd.openxmlformats-officedocument.drawingml.diagramStyle+xml" PartName="/word/diagrams/quickStyle13.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1F47CF" w14:textId="77777777" w:rsidR="00305C96" w:rsidRDefault="008F76A5">
      <w:pPr>
        <w:spacing w:after="0" w:line="240" w:lineRule="auto"/>
        <w:jc w:val="left"/>
        <w:rPr>
          <w:rFonts w:asciiTheme="majorHAnsi" w:hAnsiTheme="majorHAnsi"/>
        </w:rPr>
      </w:pPr>
      <w:r>
        <w:rPr>
          <w:rFonts w:asciiTheme="majorHAnsi" w:hAnsiTheme="majorHAnsi"/>
        </w:rPr>
        <w:br w:type="page"/>
      </w:r>
    </w:p>
    <w:p w14:paraId="1E721F9C" w14:textId="77777777" w:rsidR="00305C96" w:rsidRPr="00305C96" w:rsidRDefault="00305C96" w:rsidP="00250AC1">
      <w:pPr>
        <w:spacing w:before="100" w:beforeAutospacing="1" w:after="100" w:afterAutospacing="1" w:line="240" w:lineRule="auto"/>
        <w:ind w:left="181" w:hanging="181"/>
        <w:jc w:val="left"/>
        <w:rPr>
          <w:rFonts w:ascii="Calibri" w:eastAsia="Malgun Gothic" w:hAnsi="Calibri" w:cs="Times New Roman"/>
          <w:b/>
          <w:szCs w:val="22"/>
          <w:lang w:val="en-AU" w:eastAsia="ko-KR"/>
        </w:rPr>
      </w:pPr>
      <w:r w:rsidRPr="00305C96">
        <w:rPr>
          <w:rFonts w:ascii="Calibri" w:eastAsia="Malgun Gothic" w:hAnsi="Calibri" w:cs="Times New Roman"/>
          <w:b/>
          <w:szCs w:val="22"/>
          <w:lang w:val="en-AU" w:eastAsia="ko-KR"/>
        </w:rPr>
        <w:lastRenderedPageBreak/>
        <w:t>Copyright</w:t>
      </w:r>
    </w:p>
    <w:p w14:paraId="1B33653D" w14:textId="77777777" w:rsidR="00305C96" w:rsidRPr="00305C96" w:rsidRDefault="00305C96" w:rsidP="00305C96">
      <w:pPr>
        <w:spacing w:before="100" w:beforeAutospacing="1" w:after="100" w:afterAutospacing="1" w:line="240" w:lineRule="auto"/>
        <w:jc w:val="left"/>
        <w:rPr>
          <w:rFonts w:ascii="Calibri" w:eastAsia="Malgun Gothic" w:hAnsi="Calibri" w:cs="Times New Roman"/>
          <w:szCs w:val="22"/>
          <w:lang w:val="en-AU" w:eastAsia="ko-KR"/>
        </w:rPr>
      </w:pPr>
      <w:r w:rsidRPr="00305C96">
        <w:rPr>
          <w:rFonts w:ascii="Calibri" w:eastAsia="Malgun Gothic" w:hAnsi="Calibri" w:cs="Times New Roman"/>
          <w:szCs w:val="22"/>
          <w:lang w:val="en-AU" w:eastAsia="ko-KR"/>
        </w:rPr>
        <w:t xml:space="preserve">This publication is copyright under the </w:t>
      </w:r>
      <w:r w:rsidRPr="00305C96">
        <w:rPr>
          <w:rFonts w:ascii="Calibri" w:eastAsia="Malgun Gothic" w:hAnsi="Calibri" w:cs="Times New Roman"/>
          <w:i/>
          <w:szCs w:val="22"/>
          <w:lang w:val="en-AU" w:eastAsia="ko-KR"/>
        </w:rPr>
        <w:t>Copyright Act 1968</w:t>
      </w:r>
      <w:r w:rsidRPr="00305C96">
        <w:rPr>
          <w:rFonts w:ascii="Calibri" w:eastAsia="Malgun Gothic" w:hAnsi="Calibri" w:cs="Times New Roman"/>
          <w:szCs w:val="22"/>
          <w:lang w:val="en-AU" w:eastAsia="ko-KR"/>
        </w:rPr>
        <w:t>. Other than for the purposes of and subject to the conditions prescribed under the Act, no part of the publication may in any form or by any means be reproduced, stored in a retrieval system or transmitted without prior written permission. Any person or organisation wanting to reproduce material from this publication should obtain written permission from the copyright holders at the following address:</w:t>
      </w:r>
    </w:p>
    <w:p w14:paraId="1DBF862A" w14:textId="77777777" w:rsidR="00305C96" w:rsidRPr="00305C96" w:rsidRDefault="00305C96" w:rsidP="00184809">
      <w:pPr>
        <w:spacing w:after="0" w:line="240" w:lineRule="auto"/>
        <w:jc w:val="left"/>
        <w:rPr>
          <w:rFonts w:ascii="Calibri" w:eastAsia="Malgun Gothic" w:hAnsi="Calibri" w:cs="Times New Roman"/>
          <w:szCs w:val="22"/>
          <w:lang w:val="en-AU" w:eastAsia="ko-KR"/>
        </w:rPr>
      </w:pPr>
      <w:r w:rsidRPr="00305C96">
        <w:rPr>
          <w:rFonts w:ascii="Calibri" w:eastAsia="Malgun Gothic" w:hAnsi="Calibri" w:cs="Times New Roman"/>
          <w:szCs w:val="22"/>
          <w:lang w:val="en-AU" w:eastAsia="ko-KR"/>
        </w:rPr>
        <w:t>Office for Women</w:t>
      </w:r>
    </w:p>
    <w:p w14:paraId="578ACB27" w14:textId="4BDA18F2" w:rsidR="00305C96" w:rsidRPr="00305C96" w:rsidRDefault="00184809" w:rsidP="00184809">
      <w:pPr>
        <w:spacing w:after="0" w:line="240" w:lineRule="auto"/>
        <w:jc w:val="left"/>
        <w:rPr>
          <w:rFonts w:ascii="Calibri" w:eastAsia="Malgun Gothic" w:hAnsi="Calibri" w:cs="Times New Roman"/>
          <w:szCs w:val="22"/>
          <w:lang w:val="en-AU" w:eastAsia="ko-KR"/>
        </w:rPr>
      </w:pPr>
      <w:r>
        <w:rPr>
          <w:rFonts w:ascii="Calibri" w:eastAsia="Malgun Gothic" w:hAnsi="Calibri" w:cs="Times New Roman"/>
          <w:szCs w:val="22"/>
          <w:lang w:val="en-AU" w:eastAsia="ko-KR"/>
        </w:rPr>
        <w:t>Locked Bag</w:t>
      </w:r>
      <w:r w:rsidR="00305C96" w:rsidRPr="00305C96">
        <w:rPr>
          <w:rFonts w:ascii="Calibri" w:eastAsia="Malgun Gothic" w:hAnsi="Calibri" w:cs="Times New Roman"/>
          <w:szCs w:val="22"/>
          <w:lang w:val="en-AU" w:eastAsia="ko-KR"/>
        </w:rPr>
        <w:t xml:space="preserve"> 3405</w:t>
      </w:r>
    </w:p>
    <w:p w14:paraId="02A08577" w14:textId="77777777" w:rsidR="00305C96" w:rsidRPr="00305C96" w:rsidRDefault="00305C96" w:rsidP="00184809">
      <w:pPr>
        <w:spacing w:after="100" w:afterAutospacing="1" w:line="240" w:lineRule="auto"/>
        <w:jc w:val="left"/>
        <w:rPr>
          <w:rFonts w:ascii="Calibri" w:eastAsia="Malgun Gothic" w:hAnsi="Calibri" w:cs="Times New Roman"/>
          <w:szCs w:val="22"/>
          <w:lang w:val="en-AU" w:eastAsia="ko-KR"/>
        </w:rPr>
      </w:pPr>
      <w:r w:rsidRPr="00305C96">
        <w:rPr>
          <w:rFonts w:ascii="Calibri" w:eastAsia="Malgun Gothic" w:hAnsi="Calibri" w:cs="Times New Roman"/>
          <w:szCs w:val="22"/>
          <w:lang w:val="en-AU" w:eastAsia="ko-KR"/>
        </w:rPr>
        <w:t>BRISBANE QLD 4001</w:t>
      </w:r>
    </w:p>
    <w:p w14:paraId="632CE817" w14:textId="77777777" w:rsidR="00305C96" w:rsidRPr="00305C96" w:rsidRDefault="00305C96" w:rsidP="00305C96">
      <w:pPr>
        <w:spacing w:before="100" w:beforeAutospacing="1" w:after="100" w:afterAutospacing="1" w:line="240" w:lineRule="auto"/>
        <w:jc w:val="left"/>
        <w:rPr>
          <w:rFonts w:ascii="Calibri" w:eastAsia="Malgun Gothic" w:hAnsi="Calibri" w:cs="Times New Roman"/>
          <w:b/>
          <w:szCs w:val="22"/>
          <w:lang w:val="en-AU" w:eastAsia="ko-KR"/>
        </w:rPr>
      </w:pPr>
      <w:r w:rsidRPr="00305C96">
        <w:rPr>
          <w:rFonts w:ascii="Calibri" w:eastAsia="Malgun Gothic" w:hAnsi="Calibri" w:cs="Times New Roman"/>
          <w:b/>
          <w:szCs w:val="22"/>
          <w:lang w:val="en-AU" w:eastAsia="ko-KR"/>
        </w:rPr>
        <w:t>Disclaimer</w:t>
      </w:r>
    </w:p>
    <w:p w14:paraId="4CD0AD99" w14:textId="79D3230D" w:rsidR="00305C96" w:rsidRPr="00305C96" w:rsidRDefault="00305C96" w:rsidP="00305C96">
      <w:pPr>
        <w:spacing w:before="100" w:beforeAutospacing="1" w:after="100" w:afterAutospacing="1" w:line="240" w:lineRule="auto"/>
        <w:jc w:val="left"/>
        <w:rPr>
          <w:rFonts w:ascii="Calibri" w:eastAsia="Malgun Gothic" w:hAnsi="Calibri" w:cs="Times New Roman"/>
          <w:szCs w:val="22"/>
          <w:lang w:val="en-AU" w:eastAsia="ko-KR"/>
        </w:rPr>
      </w:pPr>
      <w:r w:rsidRPr="00305C96">
        <w:rPr>
          <w:rFonts w:ascii="Calibri" w:eastAsia="Malgun Gothic" w:hAnsi="Calibri" w:cs="Times New Roman"/>
          <w:szCs w:val="22"/>
          <w:lang w:val="en-AU" w:eastAsia="ko-KR"/>
        </w:rPr>
        <w:t xml:space="preserve">This publication is designed to provide general information. Every care has been taken to ensure the correctness of the information in the publication as at </w:t>
      </w:r>
      <w:r w:rsidR="001F2CF5">
        <w:rPr>
          <w:rFonts w:ascii="Calibri" w:eastAsia="Malgun Gothic" w:hAnsi="Calibri" w:cs="Times New Roman"/>
          <w:szCs w:val="22"/>
          <w:lang w:val="en-AU" w:eastAsia="ko-KR"/>
        </w:rPr>
        <w:t>July</w:t>
      </w:r>
      <w:r w:rsidRPr="008C002C">
        <w:rPr>
          <w:rFonts w:ascii="Calibri" w:eastAsia="Malgun Gothic" w:hAnsi="Calibri" w:cs="Times New Roman"/>
          <w:szCs w:val="22"/>
          <w:lang w:val="en-AU" w:eastAsia="ko-KR"/>
        </w:rPr>
        <w:t xml:space="preserve"> 2018</w:t>
      </w:r>
      <w:r w:rsidRPr="00305C96">
        <w:rPr>
          <w:rFonts w:ascii="Calibri" w:eastAsia="Malgun Gothic" w:hAnsi="Calibri" w:cs="Times New Roman"/>
          <w:szCs w:val="22"/>
          <w:lang w:val="en-AU" w:eastAsia="ko-KR"/>
        </w:rPr>
        <w:t>. No responsibility is accepted for any loss, damage or injury, financial or otherwise, suffered by any person acting or relying on information contained in the publication or omitted from it.</w:t>
      </w:r>
    </w:p>
    <w:p w14:paraId="7CA09EFE" w14:textId="74B1E062" w:rsidR="00305C96" w:rsidRPr="00305C96" w:rsidRDefault="00305C96" w:rsidP="00305C96">
      <w:pPr>
        <w:spacing w:before="100" w:beforeAutospacing="1" w:after="100" w:afterAutospacing="1" w:line="240" w:lineRule="auto"/>
        <w:jc w:val="left"/>
        <w:rPr>
          <w:rFonts w:ascii="Calibri" w:eastAsia="Malgun Gothic" w:hAnsi="Calibri" w:cs="Times New Roman"/>
          <w:szCs w:val="22"/>
          <w:lang w:val="en-AU" w:eastAsia="ko-KR"/>
        </w:rPr>
      </w:pPr>
      <w:r w:rsidRPr="00305C96">
        <w:rPr>
          <w:rFonts w:ascii="Calibri" w:eastAsia="Malgun Gothic" w:hAnsi="Calibri" w:cs="Times New Roman"/>
          <w:szCs w:val="22"/>
          <w:lang w:val="en-AU" w:eastAsia="ko-KR"/>
        </w:rPr>
        <w:t xml:space="preserve">Gender Analysis Toolkit was prepared by the Queensland Government Office for Women </w:t>
      </w:r>
    </w:p>
    <w:p w14:paraId="3900835D" w14:textId="77777777" w:rsidR="00305C96" w:rsidRPr="00305C96" w:rsidRDefault="00305C96" w:rsidP="00305C96">
      <w:pPr>
        <w:spacing w:before="100" w:beforeAutospacing="1" w:after="100" w:afterAutospacing="1" w:line="240" w:lineRule="auto"/>
        <w:ind w:left="181" w:hanging="181"/>
        <w:jc w:val="left"/>
        <w:rPr>
          <w:rFonts w:ascii="Calibri" w:eastAsia="Malgun Gothic" w:hAnsi="Calibri" w:cs="Times New Roman"/>
          <w:b/>
          <w:szCs w:val="22"/>
          <w:lang w:val="en-AU" w:eastAsia="ko-KR"/>
        </w:rPr>
      </w:pPr>
      <w:r w:rsidRPr="00305C96">
        <w:rPr>
          <w:rFonts w:ascii="Calibri" w:eastAsia="Malgun Gothic" w:hAnsi="Calibri" w:cs="Times New Roman"/>
          <w:b/>
          <w:szCs w:val="22"/>
          <w:lang w:val="en-AU" w:eastAsia="ko-KR"/>
        </w:rPr>
        <w:t>Enquiries</w:t>
      </w:r>
    </w:p>
    <w:p w14:paraId="63BC61D2" w14:textId="77777777" w:rsidR="00305C96" w:rsidRPr="00305C96" w:rsidRDefault="00305C96" w:rsidP="00305C96">
      <w:pPr>
        <w:spacing w:before="100" w:beforeAutospacing="1" w:after="100" w:afterAutospacing="1" w:line="240" w:lineRule="auto"/>
        <w:ind w:left="181" w:hanging="181"/>
        <w:jc w:val="left"/>
        <w:rPr>
          <w:rFonts w:ascii="Calibri" w:eastAsia="Malgun Gothic" w:hAnsi="Calibri" w:cs="Times New Roman"/>
          <w:szCs w:val="22"/>
          <w:lang w:val="en-AU" w:eastAsia="ko-KR"/>
        </w:rPr>
      </w:pPr>
      <w:r w:rsidRPr="00305C96">
        <w:rPr>
          <w:rFonts w:ascii="Calibri" w:eastAsia="Malgun Gothic" w:hAnsi="Calibri" w:cs="Times New Roman"/>
          <w:szCs w:val="22"/>
          <w:lang w:val="en-AU" w:eastAsia="ko-KR"/>
        </w:rPr>
        <w:t>Telephone:</w:t>
      </w:r>
      <w:r w:rsidRPr="00305C96">
        <w:rPr>
          <w:rFonts w:ascii="Calibri" w:eastAsia="Malgun Gothic" w:hAnsi="Calibri" w:cs="Times New Roman"/>
          <w:szCs w:val="22"/>
          <w:lang w:val="en-AU" w:eastAsia="ko-KR"/>
        </w:rPr>
        <w:tab/>
        <w:t>Women’s Infolink 1800 177 577 (Free-call statewide service)</w:t>
      </w:r>
    </w:p>
    <w:p w14:paraId="4D01A9BA" w14:textId="77777777" w:rsidR="00305C96" w:rsidRPr="00305C96" w:rsidRDefault="00305C96" w:rsidP="00305C96">
      <w:pPr>
        <w:spacing w:before="100" w:beforeAutospacing="1" w:after="100" w:afterAutospacing="1" w:line="240" w:lineRule="auto"/>
        <w:ind w:left="181" w:hanging="181"/>
        <w:jc w:val="left"/>
        <w:rPr>
          <w:rFonts w:ascii="Calibri" w:eastAsia="Malgun Gothic" w:hAnsi="Calibri" w:cs="Times New Roman"/>
          <w:szCs w:val="22"/>
          <w:lang w:val="en-AU" w:eastAsia="ko-KR"/>
        </w:rPr>
      </w:pPr>
      <w:r w:rsidRPr="00305C96">
        <w:rPr>
          <w:rFonts w:ascii="Calibri" w:eastAsia="Malgun Gothic" w:hAnsi="Calibri" w:cs="Times New Roman"/>
          <w:szCs w:val="22"/>
          <w:lang w:val="en-AU" w:eastAsia="ko-KR"/>
        </w:rPr>
        <w:t>Email:</w:t>
      </w:r>
      <w:r w:rsidRPr="00305C96">
        <w:rPr>
          <w:rFonts w:ascii="Calibri" w:eastAsia="Malgun Gothic" w:hAnsi="Calibri" w:cs="Times New Roman"/>
          <w:szCs w:val="22"/>
          <w:lang w:val="en-AU" w:eastAsia="ko-KR"/>
        </w:rPr>
        <w:tab/>
      </w:r>
      <w:r w:rsidRPr="00305C96">
        <w:rPr>
          <w:rFonts w:ascii="Calibri" w:eastAsia="Malgun Gothic" w:hAnsi="Calibri" w:cs="Times New Roman"/>
          <w:szCs w:val="22"/>
          <w:lang w:val="en-AU" w:eastAsia="ko-KR"/>
        </w:rPr>
        <w:tab/>
      </w:r>
      <w:hyperlink r:id="rId8" w:history="1">
        <w:r w:rsidRPr="00305C96">
          <w:rPr>
            <w:rFonts w:ascii="Calibri" w:eastAsia="Malgun Gothic" w:hAnsi="Calibri" w:cs="Times New Roman"/>
            <w:color w:val="0000FF"/>
            <w:szCs w:val="22"/>
            <w:u w:val="single"/>
            <w:lang w:val="en-AU" w:eastAsia="ko-KR"/>
          </w:rPr>
          <w:t>women@qld.gov.au</w:t>
        </w:r>
      </w:hyperlink>
      <w:r w:rsidRPr="00305C96">
        <w:rPr>
          <w:rFonts w:ascii="Calibri" w:eastAsia="Malgun Gothic" w:hAnsi="Calibri" w:cs="Times New Roman"/>
          <w:szCs w:val="22"/>
          <w:lang w:val="en-AU" w:eastAsia="ko-KR"/>
        </w:rPr>
        <w:t xml:space="preserve"> </w:t>
      </w:r>
    </w:p>
    <w:p w14:paraId="4CFD21F8" w14:textId="179469C1" w:rsidR="00305C96" w:rsidRPr="00480F75" w:rsidRDefault="00305C96" w:rsidP="00305C96">
      <w:pPr>
        <w:spacing w:after="0" w:line="240" w:lineRule="auto"/>
        <w:jc w:val="left"/>
        <w:rPr>
          <w:rFonts w:asciiTheme="majorHAnsi" w:eastAsia="Malgun Gothic" w:hAnsiTheme="majorHAnsi" w:cstheme="majorHAnsi"/>
          <w:szCs w:val="22"/>
          <w:lang w:val="en-AU" w:eastAsia="ko-KR"/>
        </w:rPr>
      </w:pPr>
      <w:r w:rsidRPr="00305C96">
        <w:rPr>
          <w:rFonts w:ascii="Calibri" w:eastAsia="Malgun Gothic" w:hAnsi="Calibri" w:cs="Times New Roman"/>
          <w:szCs w:val="22"/>
          <w:lang w:val="en-AU" w:eastAsia="ko-KR"/>
        </w:rPr>
        <w:t>Web:</w:t>
      </w:r>
      <w:r w:rsidRPr="00305C96">
        <w:rPr>
          <w:rFonts w:ascii="Calibri" w:eastAsia="Malgun Gothic" w:hAnsi="Calibri" w:cs="Times New Roman"/>
          <w:szCs w:val="22"/>
          <w:lang w:val="en-AU" w:eastAsia="ko-KR"/>
        </w:rPr>
        <w:tab/>
      </w:r>
      <w:r>
        <w:rPr>
          <w:rFonts w:ascii="Calibri" w:eastAsia="Malgun Gothic" w:hAnsi="Calibri" w:cs="Times New Roman"/>
          <w:szCs w:val="22"/>
          <w:lang w:val="en-AU" w:eastAsia="ko-KR"/>
        </w:rPr>
        <w:tab/>
      </w:r>
      <w:hyperlink r:id="rId9" w:history="1">
        <w:r w:rsidRPr="00480F75">
          <w:rPr>
            <w:rFonts w:ascii="Calibri" w:eastAsia="MS Mincho" w:hAnsi="Calibri" w:cs="Calibri"/>
            <w:color w:val="0563C1"/>
            <w:u w:val="single"/>
          </w:rPr>
          <w:t>www.qld.gov.au/women</w:t>
        </w:r>
      </w:hyperlink>
    </w:p>
    <w:p w14:paraId="43FB8F4C" w14:textId="77777777" w:rsidR="00305C96" w:rsidRPr="00305C96" w:rsidRDefault="00370A9A" w:rsidP="00305C96">
      <w:pPr>
        <w:pStyle w:val="Heading11"/>
        <w:spacing w:before="100" w:beforeAutospacing="1" w:after="100" w:afterAutospacing="1"/>
        <w:rPr>
          <w:b/>
          <w:color w:val="385623"/>
          <w:sz w:val="40"/>
          <w:szCs w:val="40"/>
        </w:rPr>
      </w:pPr>
      <w:r>
        <w:rPr>
          <w:rFonts w:asciiTheme="majorHAnsi" w:hAnsiTheme="majorHAnsi"/>
        </w:rPr>
        <w:br w:type="page"/>
      </w:r>
      <w:r w:rsidR="00305C96" w:rsidRPr="00305C96">
        <w:rPr>
          <w:b/>
          <w:color w:val="385623"/>
          <w:sz w:val="40"/>
          <w:szCs w:val="40"/>
        </w:rPr>
        <w:lastRenderedPageBreak/>
        <w:t>Contents</w:t>
      </w:r>
    </w:p>
    <w:p w14:paraId="2CCD4779" w14:textId="77777777" w:rsidR="008239A8" w:rsidRPr="0054022C" w:rsidRDefault="008239A8" w:rsidP="00354C8E">
      <w:pPr>
        <w:spacing w:after="80" w:line="360" w:lineRule="auto"/>
        <w:ind w:left="181" w:hanging="181"/>
        <w:jc w:val="left"/>
        <w:rPr>
          <w:rFonts w:ascii="Calibri" w:eastAsia="Malgun Gothic" w:hAnsi="Calibri" w:cs="Times New Roman"/>
          <w:b/>
          <w:sz w:val="24"/>
          <w:lang w:val="en-AU" w:eastAsia="ko-KR"/>
        </w:rPr>
      </w:pPr>
      <w:r w:rsidRPr="0054022C">
        <w:rPr>
          <w:rFonts w:ascii="Calibri" w:eastAsia="Malgun Gothic" w:hAnsi="Calibri" w:cs="Times New Roman"/>
          <w:b/>
          <w:sz w:val="24"/>
          <w:lang w:val="en-AU" w:eastAsia="ko-KR"/>
        </w:rPr>
        <w:t>Section 1: What is gender analysis?</w:t>
      </w:r>
    </w:p>
    <w:p w14:paraId="5D0AA40E" w14:textId="58465ACE" w:rsidR="00354C8E" w:rsidRDefault="0040775A" w:rsidP="00354C8E">
      <w:pPr>
        <w:pStyle w:val="ListParagraph"/>
        <w:numPr>
          <w:ilvl w:val="0"/>
          <w:numId w:val="38"/>
        </w:numPr>
        <w:spacing w:after="80" w:line="360" w:lineRule="auto"/>
        <w:ind w:left="714" w:hanging="357"/>
        <w:contextualSpacing w:val="0"/>
        <w:jc w:val="left"/>
        <w:rPr>
          <w:rFonts w:ascii="Calibri" w:eastAsia="Malgun Gothic" w:hAnsi="Calibri" w:cs="Times New Roman"/>
          <w:sz w:val="24"/>
          <w:lang w:val="en-AU" w:eastAsia="ko-KR"/>
        </w:rPr>
      </w:pPr>
      <w:r>
        <w:rPr>
          <w:rFonts w:ascii="Calibri" w:eastAsia="Malgun Gothic" w:hAnsi="Calibri" w:cs="Times New Roman"/>
          <w:sz w:val="24"/>
          <w:lang w:val="en-AU" w:eastAsia="ko-KR"/>
        </w:rPr>
        <w:t xml:space="preserve">Summary: </w:t>
      </w:r>
      <w:r w:rsidR="00354C8E">
        <w:rPr>
          <w:rFonts w:ascii="Calibri" w:eastAsia="Malgun Gothic" w:hAnsi="Calibri" w:cs="Times New Roman"/>
          <w:sz w:val="24"/>
          <w:lang w:val="en-AU" w:eastAsia="ko-KR"/>
        </w:rPr>
        <w:t>What is gender analysis?</w:t>
      </w:r>
    </w:p>
    <w:p w14:paraId="14FB39B2" w14:textId="7C449F33" w:rsidR="00354C8E" w:rsidRDefault="00354C8E" w:rsidP="00354C8E">
      <w:pPr>
        <w:pStyle w:val="ListParagraph"/>
        <w:numPr>
          <w:ilvl w:val="0"/>
          <w:numId w:val="38"/>
        </w:numPr>
        <w:spacing w:after="80" w:line="360" w:lineRule="auto"/>
        <w:ind w:left="714" w:hanging="357"/>
        <w:contextualSpacing w:val="0"/>
        <w:jc w:val="left"/>
        <w:rPr>
          <w:rFonts w:ascii="Calibri" w:eastAsia="Malgun Gothic" w:hAnsi="Calibri" w:cs="Times New Roman"/>
          <w:sz w:val="24"/>
          <w:lang w:val="en-AU" w:eastAsia="ko-KR"/>
        </w:rPr>
      </w:pPr>
      <w:r>
        <w:rPr>
          <w:rFonts w:ascii="Calibri" w:eastAsia="Malgun Gothic" w:hAnsi="Calibri" w:cs="Times New Roman"/>
          <w:sz w:val="24"/>
          <w:lang w:val="en-AU" w:eastAsia="ko-KR"/>
        </w:rPr>
        <w:t xml:space="preserve">About the </w:t>
      </w:r>
      <w:r w:rsidRPr="008C002C">
        <w:rPr>
          <w:rFonts w:ascii="Calibri" w:eastAsia="Malgun Gothic" w:hAnsi="Calibri" w:cs="Times New Roman"/>
          <w:sz w:val="24"/>
          <w:lang w:val="en-AU" w:eastAsia="ko-KR"/>
        </w:rPr>
        <w:t xml:space="preserve">Gender </w:t>
      </w:r>
      <w:r>
        <w:rPr>
          <w:rFonts w:ascii="Calibri" w:eastAsia="Malgun Gothic" w:hAnsi="Calibri" w:cs="Times New Roman"/>
          <w:sz w:val="24"/>
          <w:lang w:val="en-AU" w:eastAsia="ko-KR"/>
        </w:rPr>
        <w:t xml:space="preserve">Analysis Toolkit </w:t>
      </w:r>
    </w:p>
    <w:p w14:paraId="7265CBCA" w14:textId="079D8128" w:rsidR="008C002C" w:rsidRDefault="0087334F" w:rsidP="00354C8E">
      <w:pPr>
        <w:pStyle w:val="ListParagraph"/>
        <w:numPr>
          <w:ilvl w:val="0"/>
          <w:numId w:val="38"/>
        </w:numPr>
        <w:spacing w:after="80" w:line="360" w:lineRule="auto"/>
        <w:ind w:left="714" w:hanging="357"/>
        <w:contextualSpacing w:val="0"/>
        <w:jc w:val="left"/>
        <w:rPr>
          <w:rFonts w:ascii="Calibri" w:eastAsia="Malgun Gothic" w:hAnsi="Calibri" w:cs="Times New Roman"/>
          <w:sz w:val="24"/>
          <w:lang w:val="en-AU" w:eastAsia="ko-KR"/>
        </w:rPr>
      </w:pPr>
      <w:r>
        <w:rPr>
          <w:rFonts w:ascii="Calibri" w:eastAsia="Malgun Gothic" w:hAnsi="Calibri" w:cs="Times New Roman"/>
          <w:sz w:val="24"/>
          <w:lang w:val="en-AU" w:eastAsia="ko-KR"/>
        </w:rPr>
        <w:t>Gender analysis – Key terms, the context and process, priorities, and glossary</w:t>
      </w:r>
    </w:p>
    <w:p w14:paraId="4126DEB7" w14:textId="77777777" w:rsidR="008239A8" w:rsidRPr="0054022C" w:rsidRDefault="008239A8" w:rsidP="00354C8E">
      <w:pPr>
        <w:spacing w:after="80" w:line="360" w:lineRule="auto"/>
        <w:ind w:left="181" w:hanging="181"/>
        <w:jc w:val="left"/>
        <w:rPr>
          <w:rFonts w:ascii="Calibri" w:eastAsia="Malgun Gothic" w:hAnsi="Calibri" w:cs="Times New Roman"/>
          <w:b/>
          <w:sz w:val="24"/>
          <w:lang w:val="en-AU" w:eastAsia="ko-KR"/>
        </w:rPr>
      </w:pPr>
      <w:r w:rsidRPr="0054022C">
        <w:rPr>
          <w:rFonts w:ascii="Calibri" w:eastAsia="Malgun Gothic" w:hAnsi="Calibri" w:cs="Times New Roman"/>
          <w:b/>
          <w:sz w:val="24"/>
          <w:lang w:val="en-AU" w:eastAsia="ko-KR"/>
        </w:rPr>
        <w:t>Section 2: Why is gender analysis necessary?</w:t>
      </w:r>
    </w:p>
    <w:p w14:paraId="15EE4A28" w14:textId="13A46F64" w:rsidR="00FA07F6" w:rsidRDefault="00FA07F6" w:rsidP="00354C8E">
      <w:pPr>
        <w:pStyle w:val="ListParagraph"/>
        <w:numPr>
          <w:ilvl w:val="0"/>
          <w:numId w:val="38"/>
        </w:numPr>
        <w:spacing w:after="80" w:line="360" w:lineRule="auto"/>
        <w:ind w:left="714" w:hanging="357"/>
        <w:contextualSpacing w:val="0"/>
        <w:jc w:val="left"/>
        <w:rPr>
          <w:rFonts w:ascii="Calibri" w:eastAsia="Malgun Gothic" w:hAnsi="Calibri" w:cs="Times New Roman"/>
          <w:sz w:val="24"/>
          <w:lang w:val="en-AU" w:eastAsia="ko-KR"/>
        </w:rPr>
      </w:pPr>
      <w:r>
        <w:rPr>
          <w:rFonts w:ascii="Calibri" w:eastAsia="Malgun Gothic" w:hAnsi="Calibri" w:cs="Times New Roman"/>
          <w:sz w:val="24"/>
          <w:lang w:val="en-AU" w:eastAsia="ko-KR"/>
        </w:rPr>
        <w:t>Gender equality is the law</w:t>
      </w:r>
    </w:p>
    <w:p w14:paraId="719F9F05" w14:textId="060B0778" w:rsidR="00FA07F6" w:rsidRDefault="00FA07F6" w:rsidP="00354C8E">
      <w:pPr>
        <w:pStyle w:val="ListParagraph"/>
        <w:numPr>
          <w:ilvl w:val="0"/>
          <w:numId w:val="38"/>
        </w:numPr>
        <w:spacing w:after="80" w:line="360" w:lineRule="auto"/>
        <w:ind w:left="714" w:hanging="357"/>
        <w:contextualSpacing w:val="0"/>
        <w:jc w:val="left"/>
        <w:rPr>
          <w:rFonts w:ascii="Calibri" w:eastAsia="Malgun Gothic" w:hAnsi="Calibri" w:cs="Times New Roman"/>
          <w:sz w:val="24"/>
          <w:lang w:val="en-AU" w:eastAsia="ko-KR"/>
        </w:rPr>
      </w:pPr>
      <w:r>
        <w:rPr>
          <w:rFonts w:ascii="Calibri" w:eastAsia="Malgun Gothic" w:hAnsi="Calibri" w:cs="Times New Roman"/>
          <w:sz w:val="24"/>
          <w:lang w:val="en-AU" w:eastAsia="ko-KR"/>
        </w:rPr>
        <w:t>What are the benefits of gender analysis?</w:t>
      </w:r>
    </w:p>
    <w:p w14:paraId="34679D51" w14:textId="702A2E4E" w:rsidR="00FA07F6" w:rsidRPr="00D11F27" w:rsidRDefault="00FA07F6" w:rsidP="00354C8E">
      <w:pPr>
        <w:pStyle w:val="ListParagraph"/>
        <w:numPr>
          <w:ilvl w:val="0"/>
          <w:numId w:val="38"/>
        </w:numPr>
        <w:spacing w:after="80" w:line="360" w:lineRule="auto"/>
        <w:ind w:left="714" w:hanging="357"/>
        <w:contextualSpacing w:val="0"/>
        <w:jc w:val="left"/>
        <w:rPr>
          <w:rFonts w:ascii="Calibri" w:eastAsia="Malgun Gothic" w:hAnsi="Calibri" w:cs="Times New Roman"/>
          <w:sz w:val="24"/>
          <w:lang w:val="en-AU" w:eastAsia="ko-KR"/>
        </w:rPr>
      </w:pPr>
      <w:r>
        <w:rPr>
          <w:rFonts w:ascii="Calibri" w:eastAsia="Malgun Gothic" w:hAnsi="Calibri" w:cs="Times New Roman"/>
          <w:sz w:val="24"/>
          <w:lang w:val="en-AU" w:eastAsia="ko-KR"/>
        </w:rPr>
        <w:t>Examples: Applying a gender lens</w:t>
      </w:r>
    </w:p>
    <w:p w14:paraId="24B52FC7" w14:textId="5CF77119" w:rsidR="00305C96" w:rsidRPr="0054022C" w:rsidRDefault="008239A8" w:rsidP="00354C8E">
      <w:pPr>
        <w:spacing w:after="80" w:line="360" w:lineRule="auto"/>
        <w:ind w:left="181" w:hanging="181"/>
        <w:jc w:val="left"/>
        <w:rPr>
          <w:rFonts w:ascii="Calibri" w:eastAsia="Malgun Gothic" w:hAnsi="Calibri" w:cs="Times New Roman"/>
          <w:b/>
          <w:sz w:val="24"/>
          <w:lang w:val="en-AU" w:eastAsia="ko-KR"/>
        </w:rPr>
      </w:pPr>
      <w:r w:rsidRPr="0054022C">
        <w:rPr>
          <w:rFonts w:ascii="Calibri" w:eastAsia="Malgun Gothic" w:hAnsi="Calibri" w:cs="Times New Roman"/>
          <w:b/>
          <w:sz w:val="24"/>
          <w:lang w:val="en-AU" w:eastAsia="ko-KR"/>
        </w:rPr>
        <w:t>Section 3: How do I carry out gender analysis?</w:t>
      </w:r>
    </w:p>
    <w:p w14:paraId="6DBAFA24" w14:textId="77777777" w:rsidR="00FA07F6" w:rsidRPr="00FA07F6" w:rsidDel="00F8648D" w:rsidRDefault="00FA07F6" w:rsidP="00354C8E">
      <w:pPr>
        <w:pStyle w:val="ListParagraph"/>
        <w:numPr>
          <w:ilvl w:val="0"/>
          <w:numId w:val="38"/>
        </w:numPr>
        <w:spacing w:after="80" w:line="360" w:lineRule="auto"/>
        <w:ind w:left="714" w:hanging="357"/>
        <w:contextualSpacing w:val="0"/>
        <w:jc w:val="left"/>
        <w:rPr>
          <w:rFonts w:ascii="Calibri" w:eastAsia="Malgun Gothic" w:hAnsi="Calibri" w:cs="Times New Roman"/>
          <w:sz w:val="24"/>
          <w:lang w:val="en-AU" w:eastAsia="ko-KR"/>
        </w:rPr>
      </w:pPr>
      <w:r w:rsidRPr="00FA07F6" w:rsidDel="00F8648D">
        <w:rPr>
          <w:rFonts w:ascii="Calibri" w:eastAsia="Malgun Gothic" w:hAnsi="Calibri" w:cs="Times New Roman"/>
          <w:sz w:val="24"/>
          <w:lang w:val="en-AU" w:eastAsia="ko-KR"/>
        </w:rPr>
        <w:t>Gender analysis checklist</w:t>
      </w:r>
    </w:p>
    <w:p w14:paraId="5217870B" w14:textId="77777777" w:rsidR="00B441FB" w:rsidRPr="00B441FB" w:rsidRDefault="00B441FB" w:rsidP="00354C8E">
      <w:pPr>
        <w:pStyle w:val="ListParagraph"/>
        <w:numPr>
          <w:ilvl w:val="0"/>
          <w:numId w:val="38"/>
        </w:numPr>
        <w:spacing w:after="80" w:line="360" w:lineRule="auto"/>
        <w:ind w:left="714" w:hanging="357"/>
        <w:contextualSpacing w:val="0"/>
        <w:jc w:val="left"/>
        <w:rPr>
          <w:rFonts w:ascii="Calibri" w:eastAsia="Malgun Gothic" w:hAnsi="Calibri" w:cs="Times New Roman"/>
          <w:sz w:val="24"/>
          <w:lang w:val="en-AU" w:eastAsia="ko-KR"/>
        </w:rPr>
      </w:pPr>
      <w:r w:rsidRPr="00B441FB">
        <w:rPr>
          <w:rFonts w:ascii="Calibri" w:eastAsia="Malgun Gothic" w:hAnsi="Calibri" w:cs="Times New Roman"/>
          <w:sz w:val="24"/>
          <w:lang w:val="en-AU" w:eastAsia="ko-KR"/>
        </w:rPr>
        <w:t>The policy/program/service development cycle</w:t>
      </w:r>
    </w:p>
    <w:p w14:paraId="6BA48118" w14:textId="77777777" w:rsidR="00B441FB" w:rsidRPr="00B441FB" w:rsidRDefault="00B441FB" w:rsidP="00354C8E">
      <w:pPr>
        <w:pStyle w:val="ListParagraph"/>
        <w:numPr>
          <w:ilvl w:val="0"/>
          <w:numId w:val="38"/>
        </w:numPr>
        <w:spacing w:after="80" w:line="360" w:lineRule="auto"/>
        <w:ind w:left="714" w:hanging="357"/>
        <w:contextualSpacing w:val="0"/>
        <w:jc w:val="left"/>
        <w:rPr>
          <w:rFonts w:ascii="Calibri" w:eastAsia="Malgun Gothic" w:hAnsi="Calibri" w:cs="Times New Roman"/>
          <w:sz w:val="24"/>
          <w:lang w:val="en-AU" w:eastAsia="ko-KR"/>
        </w:rPr>
      </w:pPr>
      <w:r w:rsidRPr="00B441FB">
        <w:rPr>
          <w:rFonts w:ascii="Calibri" w:eastAsia="Malgun Gothic" w:hAnsi="Calibri" w:cs="Times New Roman"/>
          <w:sz w:val="24"/>
          <w:lang w:val="en-AU" w:eastAsia="ko-KR"/>
        </w:rPr>
        <w:t>Questions to get you started</w:t>
      </w:r>
    </w:p>
    <w:p w14:paraId="342DDFAE" w14:textId="77777777" w:rsidR="00FA07F6" w:rsidRPr="00FA07F6" w:rsidRDefault="00FA07F6" w:rsidP="00354C8E">
      <w:pPr>
        <w:pStyle w:val="ListParagraph"/>
        <w:numPr>
          <w:ilvl w:val="0"/>
          <w:numId w:val="38"/>
        </w:numPr>
        <w:spacing w:after="80" w:line="360" w:lineRule="auto"/>
        <w:ind w:left="714" w:hanging="357"/>
        <w:contextualSpacing w:val="0"/>
        <w:jc w:val="left"/>
        <w:rPr>
          <w:rFonts w:ascii="Calibri" w:eastAsia="Malgun Gothic" w:hAnsi="Calibri" w:cs="Times New Roman"/>
          <w:sz w:val="24"/>
          <w:lang w:val="en-AU" w:eastAsia="ko-KR"/>
        </w:rPr>
      </w:pPr>
      <w:r w:rsidRPr="00FA07F6">
        <w:rPr>
          <w:rFonts w:ascii="Calibri" w:eastAsia="Malgun Gothic" w:hAnsi="Calibri" w:cs="Times New Roman"/>
          <w:sz w:val="24"/>
          <w:lang w:val="en-AU" w:eastAsia="ko-KR"/>
        </w:rPr>
        <w:t>Gender statistics</w:t>
      </w:r>
    </w:p>
    <w:p w14:paraId="5EEAD30D" w14:textId="77777777" w:rsidR="00FA07F6" w:rsidRPr="00FA07F6" w:rsidRDefault="00FA07F6" w:rsidP="00354C8E">
      <w:pPr>
        <w:pStyle w:val="ListParagraph"/>
        <w:numPr>
          <w:ilvl w:val="0"/>
          <w:numId w:val="38"/>
        </w:numPr>
        <w:spacing w:after="80" w:line="360" w:lineRule="auto"/>
        <w:ind w:left="714" w:hanging="357"/>
        <w:contextualSpacing w:val="0"/>
        <w:jc w:val="left"/>
        <w:rPr>
          <w:rFonts w:ascii="Calibri" w:eastAsia="Malgun Gothic" w:hAnsi="Calibri" w:cs="Times New Roman"/>
          <w:sz w:val="24"/>
          <w:lang w:val="en-AU" w:eastAsia="ko-KR"/>
        </w:rPr>
      </w:pPr>
      <w:r w:rsidRPr="00FA07F6">
        <w:rPr>
          <w:rFonts w:ascii="Calibri" w:eastAsia="Malgun Gothic" w:hAnsi="Calibri" w:cs="Times New Roman"/>
          <w:sz w:val="24"/>
          <w:lang w:val="en-AU" w:eastAsia="ko-KR"/>
        </w:rPr>
        <w:t>Case study: Community Centre Breakfast Club</w:t>
      </w:r>
    </w:p>
    <w:p w14:paraId="51130297" w14:textId="2C6D51E5" w:rsidR="008239A8" w:rsidRPr="0054022C" w:rsidRDefault="008239A8" w:rsidP="00354C8E">
      <w:pPr>
        <w:spacing w:after="80" w:line="360" w:lineRule="auto"/>
        <w:ind w:left="181" w:hanging="181"/>
        <w:jc w:val="left"/>
        <w:rPr>
          <w:rFonts w:ascii="Calibri" w:eastAsia="Malgun Gothic" w:hAnsi="Calibri" w:cs="Times New Roman"/>
          <w:b/>
          <w:sz w:val="24"/>
          <w:lang w:val="en-AU" w:eastAsia="ko-KR"/>
        </w:rPr>
      </w:pPr>
      <w:r w:rsidRPr="0054022C">
        <w:rPr>
          <w:rFonts w:ascii="Calibri" w:eastAsia="Malgun Gothic" w:hAnsi="Calibri" w:cs="Times New Roman"/>
          <w:b/>
          <w:sz w:val="24"/>
          <w:lang w:val="en-AU" w:eastAsia="ko-KR"/>
        </w:rPr>
        <w:t>Section 4: How can I advocate for gender analysis?</w:t>
      </w:r>
    </w:p>
    <w:p w14:paraId="6484CD95" w14:textId="77777777" w:rsidR="00CE4F3E" w:rsidRDefault="00CE4F3E" w:rsidP="00354C8E">
      <w:pPr>
        <w:pStyle w:val="ListParagraph"/>
        <w:numPr>
          <w:ilvl w:val="0"/>
          <w:numId w:val="38"/>
        </w:numPr>
        <w:spacing w:after="80" w:line="360" w:lineRule="auto"/>
        <w:ind w:left="714" w:hanging="357"/>
        <w:contextualSpacing w:val="0"/>
        <w:jc w:val="left"/>
        <w:rPr>
          <w:rFonts w:ascii="Calibri" w:eastAsia="Malgun Gothic" w:hAnsi="Calibri" w:cs="Times New Roman"/>
          <w:sz w:val="24"/>
          <w:lang w:val="en-AU" w:eastAsia="ko-KR"/>
        </w:rPr>
      </w:pPr>
      <w:r w:rsidRPr="00CE4F3E">
        <w:rPr>
          <w:rFonts w:ascii="Calibri" w:eastAsia="Malgun Gothic" w:hAnsi="Calibri" w:cs="Times New Roman"/>
          <w:sz w:val="24"/>
          <w:lang w:val="en-AU" w:eastAsia="ko-KR"/>
        </w:rPr>
        <w:t>Advocacy and overcoming resistance</w:t>
      </w:r>
    </w:p>
    <w:p w14:paraId="1CF34C5A" w14:textId="3CC4CB5A" w:rsidR="00C071EA" w:rsidRPr="00CE4F3E" w:rsidRDefault="00C071EA" w:rsidP="00354C8E">
      <w:pPr>
        <w:pStyle w:val="ListParagraph"/>
        <w:numPr>
          <w:ilvl w:val="0"/>
          <w:numId w:val="38"/>
        </w:numPr>
        <w:spacing w:after="80" w:line="360" w:lineRule="auto"/>
        <w:ind w:left="714" w:hanging="357"/>
        <w:contextualSpacing w:val="0"/>
        <w:jc w:val="left"/>
        <w:rPr>
          <w:rFonts w:ascii="Calibri" w:eastAsia="Malgun Gothic" w:hAnsi="Calibri" w:cs="Times New Roman"/>
          <w:sz w:val="24"/>
          <w:lang w:val="en-AU" w:eastAsia="ko-KR"/>
        </w:rPr>
      </w:pPr>
      <w:r>
        <w:rPr>
          <w:rFonts w:ascii="Calibri" w:eastAsia="Malgun Gothic" w:hAnsi="Calibri" w:cs="Times New Roman"/>
          <w:sz w:val="24"/>
          <w:lang w:val="en-AU" w:eastAsia="ko-KR"/>
        </w:rPr>
        <w:t>Advocacy and being assertive</w:t>
      </w:r>
    </w:p>
    <w:p w14:paraId="484D9CBA" w14:textId="7E62DE1A" w:rsidR="00CE4F3E" w:rsidRPr="00D11F27" w:rsidRDefault="00CE4F3E" w:rsidP="00354C8E">
      <w:pPr>
        <w:pStyle w:val="ListParagraph"/>
        <w:numPr>
          <w:ilvl w:val="0"/>
          <w:numId w:val="38"/>
        </w:numPr>
        <w:spacing w:after="80" w:line="360" w:lineRule="auto"/>
        <w:ind w:left="714" w:hanging="357"/>
        <w:contextualSpacing w:val="0"/>
        <w:jc w:val="left"/>
        <w:rPr>
          <w:rFonts w:ascii="Calibri" w:eastAsia="Malgun Gothic" w:hAnsi="Calibri" w:cs="Times New Roman"/>
          <w:sz w:val="24"/>
          <w:lang w:val="en-AU" w:eastAsia="ko-KR"/>
        </w:rPr>
      </w:pPr>
      <w:r w:rsidRPr="00CE4F3E">
        <w:rPr>
          <w:rFonts w:ascii="Calibri" w:eastAsia="Malgun Gothic" w:hAnsi="Calibri" w:cs="Times New Roman"/>
          <w:sz w:val="24"/>
          <w:lang w:val="en-AU" w:eastAsia="ko-KR"/>
        </w:rPr>
        <w:t xml:space="preserve">Good practice example: </w:t>
      </w:r>
      <w:r w:rsidRPr="00CE4F3E">
        <w:rPr>
          <w:rFonts w:ascii="Calibri" w:eastAsia="Malgun Gothic" w:hAnsi="Calibri" w:cs="Times New Roman"/>
          <w:i/>
          <w:sz w:val="24"/>
          <w:lang w:val="en-AU" w:eastAsia="ko-KR"/>
        </w:rPr>
        <w:t>Towards Gender Parity: Women on Boards Initiative</w:t>
      </w:r>
    </w:p>
    <w:p w14:paraId="6D5336E1" w14:textId="7D44B03F" w:rsidR="008239A8" w:rsidRDefault="008239A8" w:rsidP="00354C8E">
      <w:pPr>
        <w:spacing w:after="80" w:line="360" w:lineRule="auto"/>
        <w:ind w:left="181" w:hanging="181"/>
        <w:jc w:val="left"/>
        <w:rPr>
          <w:rFonts w:ascii="Calibri" w:eastAsia="Malgun Gothic" w:hAnsi="Calibri" w:cs="Times New Roman"/>
          <w:b/>
          <w:sz w:val="24"/>
          <w:lang w:val="en-AU" w:eastAsia="ko-KR"/>
        </w:rPr>
      </w:pPr>
      <w:r w:rsidRPr="0054022C">
        <w:rPr>
          <w:rFonts w:ascii="Calibri" w:eastAsia="Malgun Gothic" w:hAnsi="Calibri" w:cs="Times New Roman"/>
          <w:b/>
          <w:sz w:val="24"/>
          <w:lang w:val="en-AU" w:eastAsia="ko-KR"/>
        </w:rPr>
        <w:t>Section 5: Gender analysis template</w:t>
      </w:r>
    </w:p>
    <w:p w14:paraId="48276E3C" w14:textId="77777777" w:rsidR="00A11162" w:rsidRPr="00A11162" w:rsidRDefault="00A11162" w:rsidP="00A11162">
      <w:pPr>
        <w:pStyle w:val="ListParagraph"/>
        <w:numPr>
          <w:ilvl w:val="0"/>
          <w:numId w:val="38"/>
        </w:numPr>
        <w:spacing w:after="80" w:line="360" w:lineRule="auto"/>
        <w:ind w:left="714" w:hanging="357"/>
        <w:contextualSpacing w:val="0"/>
        <w:jc w:val="left"/>
        <w:rPr>
          <w:rFonts w:ascii="Calibri" w:eastAsia="Malgun Gothic" w:hAnsi="Calibri" w:cs="Times New Roman"/>
          <w:sz w:val="24"/>
          <w:lang w:val="en-AU" w:eastAsia="ko-KR"/>
        </w:rPr>
      </w:pPr>
      <w:r w:rsidRPr="00A11162">
        <w:rPr>
          <w:rFonts w:ascii="Calibri" w:eastAsia="Malgun Gothic" w:hAnsi="Calibri" w:cs="Times New Roman"/>
          <w:sz w:val="24"/>
          <w:lang w:val="en-AU" w:eastAsia="ko-KR"/>
        </w:rPr>
        <w:t>The gender analysis framework</w:t>
      </w:r>
    </w:p>
    <w:p w14:paraId="2A161F48" w14:textId="2BBCC698" w:rsidR="00A11162" w:rsidRPr="00A11162" w:rsidRDefault="00A11162" w:rsidP="00A11162">
      <w:pPr>
        <w:pStyle w:val="ListParagraph"/>
        <w:numPr>
          <w:ilvl w:val="0"/>
          <w:numId w:val="38"/>
        </w:numPr>
        <w:spacing w:after="80" w:line="360" w:lineRule="auto"/>
        <w:ind w:left="714" w:hanging="357"/>
        <w:contextualSpacing w:val="0"/>
        <w:jc w:val="left"/>
        <w:rPr>
          <w:rFonts w:ascii="Calibri" w:eastAsia="Malgun Gothic" w:hAnsi="Calibri" w:cs="Times New Roman"/>
          <w:sz w:val="24"/>
          <w:lang w:val="en-AU" w:eastAsia="ko-KR"/>
        </w:rPr>
      </w:pPr>
      <w:r w:rsidRPr="00A11162">
        <w:rPr>
          <w:rFonts w:ascii="Calibri" w:eastAsia="Malgun Gothic" w:hAnsi="Calibri" w:cs="Times New Roman"/>
          <w:sz w:val="24"/>
          <w:lang w:val="en-AU" w:eastAsia="ko-KR"/>
        </w:rPr>
        <w:t>Template: Gender analysis framework</w:t>
      </w:r>
    </w:p>
    <w:p w14:paraId="01177DE0" w14:textId="4F2A51BB" w:rsidR="008239A8" w:rsidRPr="0054022C" w:rsidRDefault="008239A8" w:rsidP="00354C8E">
      <w:pPr>
        <w:spacing w:after="80" w:line="360" w:lineRule="auto"/>
        <w:ind w:left="181" w:hanging="181"/>
        <w:jc w:val="left"/>
        <w:rPr>
          <w:rFonts w:ascii="Calibri" w:eastAsia="Malgun Gothic" w:hAnsi="Calibri" w:cs="Times New Roman"/>
          <w:b/>
          <w:sz w:val="24"/>
          <w:lang w:val="en-AU" w:eastAsia="ko-KR"/>
        </w:rPr>
      </w:pPr>
      <w:r w:rsidRPr="0054022C">
        <w:rPr>
          <w:rFonts w:ascii="Calibri" w:eastAsia="Malgun Gothic" w:hAnsi="Calibri" w:cs="Times New Roman"/>
          <w:b/>
          <w:sz w:val="24"/>
          <w:lang w:val="en-AU" w:eastAsia="ko-KR"/>
        </w:rPr>
        <w:t>Section 6: Further information and feedback</w:t>
      </w:r>
    </w:p>
    <w:p w14:paraId="561FA93F" w14:textId="77777777" w:rsidR="0054022C" w:rsidRPr="0054022C" w:rsidRDefault="0054022C" w:rsidP="00354C8E">
      <w:pPr>
        <w:pStyle w:val="ListParagraph"/>
        <w:numPr>
          <w:ilvl w:val="0"/>
          <w:numId w:val="38"/>
        </w:numPr>
        <w:spacing w:after="80" w:line="360" w:lineRule="auto"/>
        <w:ind w:left="714" w:hanging="357"/>
        <w:contextualSpacing w:val="0"/>
        <w:jc w:val="left"/>
        <w:rPr>
          <w:rFonts w:ascii="Calibri" w:eastAsia="Malgun Gothic" w:hAnsi="Calibri" w:cs="Times New Roman"/>
          <w:sz w:val="24"/>
          <w:lang w:val="en-AU" w:eastAsia="ko-KR"/>
        </w:rPr>
      </w:pPr>
      <w:r w:rsidRPr="0054022C">
        <w:rPr>
          <w:rFonts w:ascii="Calibri" w:eastAsia="Malgun Gothic" w:hAnsi="Calibri" w:cs="Times New Roman"/>
          <w:sz w:val="24"/>
          <w:lang w:val="en-AU" w:eastAsia="ko-KR"/>
        </w:rPr>
        <w:t xml:space="preserve">Links and resources </w:t>
      </w:r>
    </w:p>
    <w:p w14:paraId="51A5F85A" w14:textId="6EEA372E" w:rsidR="0054022C" w:rsidRPr="0054022C" w:rsidRDefault="00FF1150" w:rsidP="00354C8E">
      <w:pPr>
        <w:pStyle w:val="ListParagraph"/>
        <w:numPr>
          <w:ilvl w:val="0"/>
          <w:numId w:val="38"/>
        </w:numPr>
        <w:spacing w:after="80" w:line="360" w:lineRule="auto"/>
        <w:ind w:left="714" w:hanging="357"/>
        <w:contextualSpacing w:val="0"/>
        <w:jc w:val="left"/>
        <w:rPr>
          <w:rFonts w:ascii="Calibri" w:eastAsia="Malgun Gothic" w:hAnsi="Calibri" w:cs="Times New Roman"/>
          <w:sz w:val="24"/>
          <w:lang w:val="en-AU" w:eastAsia="ko-KR"/>
        </w:rPr>
      </w:pPr>
      <w:r>
        <w:rPr>
          <w:rFonts w:ascii="Calibri" w:eastAsia="Malgun Gothic" w:hAnsi="Calibri" w:cs="Times New Roman"/>
          <w:sz w:val="24"/>
          <w:lang w:val="en-AU" w:eastAsia="ko-KR"/>
        </w:rPr>
        <w:t>A</w:t>
      </w:r>
      <w:r w:rsidR="0054022C" w:rsidRPr="0054022C">
        <w:rPr>
          <w:rFonts w:ascii="Calibri" w:eastAsia="Malgun Gothic" w:hAnsi="Calibri" w:cs="Times New Roman"/>
          <w:sz w:val="24"/>
          <w:lang w:val="en-AU" w:eastAsia="ko-KR"/>
        </w:rPr>
        <w:t>bout the Office for Women</w:t>
      </w:r>
    </w:p>
    <w:p w14:paraId="26CDC7B6" w14:textId="34093348" w:rsidR="00CE4F3E" w:rsidRPr="0054022C" w:rsidRDefault="0054022C" w:rsidP="00354C8E">
      <w:pPr>
        <w:pStyle w:val="ListParagraph"/>
        <w:numPr>
          <w:ilvl w:val="0"/>
          <w:numId w:val="38"/>
        </w:numPr>
        <w:spacing w:after="80" w:line="360" w:lineRule="auto"/>
        <w:ind w:left="714" w:hanging="357"/>
        <w:contextualSpacing w:val="0"/>
        <w:jc w:val="left"/>
        <w:rPr>
          <w:rFonts w:asciiTheme="majorHAnsi" w:hAnsiTheme="majorHAnsi"/>
        </w:rPr>
      </w:pPr>
      <w:r w:rsidRPr="0054022C">
        <w:rPr>
          <w:rFonts w:ascii="Calibri" w:eastAsia="Malgun Gothic" w:hAnsi="Calibri" w:cs="Times New Roman"/>
          <w:sz w:val="24"/>
          <w:lang w:val="en-AU" w:eastAsia="ko-KR"/>
        </w:rPr>
        <w:t>Gender Analysis Toolkit Feedback</w:t>
      </w:r>
      <w:r w:rsidR="00FF1150">
        <w:rPr>
          <w:rFonts w:ascii="Calibri" w:eastAsia="Malgun Gothic" w:hAnsi="Calibri" w:cs="Times New Roman"/>
          <w:sz w:val="24"/>
          <w:lang w:val="en-AU" w:eastAsia="ko-KR"/>
        </w:rPr>
        <w:t xml:space="preserve"> Form</w:t>
      </w:r>
      <w:r w:rsidR="00CE4F3E" w:rsidRPr="0054022C">
        <w:rPr>
          <w:rFonts w:asciiTheme="majorHAnsi" w:hAnsiTheme="majorHAnsi"/>
        </w:rPr>
        <w:br w:type="page"/>
      </w:r>
    </w:p>
    <w:p w14:paraId="41380799" w14:textId="7246BCE6" w:rsidR="00305C96" w:rsidRDefault="00305C96" w:rsidP="00305C96">
      <w:pPr>
        <w:spacing w:after="0" w:line="240" w:lineRule="auto"/>
        <w:jc w:val="left"/>
        <w:rPr>
          <w:rFonts w:asciiTheme="majorHAnsi" w:hAnsiTheme="majorHAnsi"/>
        </w:rPr>
      </w:pPr>
    </w:p>
    <w:p w14:paraId="53BCA553" w14:textId="77777777" w:rsidR="00370A9A" w:rsidRDefault="00370A9A">
      <w:pPr>
        <w:spacing w:after="0" w:line="240" w:lineRule="auto"/>
        <w:jc w:val="left"/>
        <w:rPr>
          <w:rFonts w:asciiTheme="majorHAnsi" w:hAnsiTheme="majorHAnsi"/>
        </w:rPr>
      </w:pPr>
    </w:p>
    <w:p w14:paraId="74730199" w14:textId="77777777" w:rsidR="008F76A5" w:rsidRDefault="008F76A5">
      <w:pPr>
        <w:spacing w:after="0" w:line="240" w:lineRule="auto"/>
        <w:jc w:val="left"/>
        <w:rPr>
          <w:rFonts w:asciiTheme="majorHAnsi" w:hAnsiTheme="majorHAnsi"/>
        </w:rPr>
      </w:pPr>
    </w:p>
    <w:p w14:paraId="3BEB26FB" w14:textId="01F43DB7" w:rsidR="00D629DB" w:rsidRDefault="004420AB" w:rsidP="00D629DB">
      <w:pPr>
        <w:jc w:val="right"/>
        <w:rPr>
          <w:b/>
          <w:color w:val="660066"/>
          <w:sz w:val="36"/>
          <w:szCs w:val="36"/>
        </w:rPr>
      </w:pPr>
      <w:r>
        <w:rPr>
          <w:b/>
          <w:noProof/>
          <w:color w:val="660066"/>
          <w:sz w:val="36"/>
          <w:szCs w:val="36"/>
          <w:lang w:val="en-AU" w:eastAsia="ko-KR"/>
        </w:rPr>
        <w:drawing>
          <wp:anchor distT="0" distB="0" distL="114300" distR="114300" simplePos="0" relativeHeight="251679744" behindDoc="1" locked="1" layoutInCell="1" allowOverlap="1" wp14:anchorId="040DDB0C" wp14:editId="282E25FA">
            <wp:simplePos x="0" y="0"/>
            <wp:positionH relativeFrom="column">
              <wp:posOffset>-914400</wp:posOffset>
            </wp:positionH>
            <wp:positionV relativeFrom="page">
              <wp:posOffset>-36195</wp:posOffset>
            </wp:positionV>
            <wp:extent cx="7584440" cy="10728325"/>
            <wp:effectExtent l="0" t="0" r="1016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8 GenericToolkit_2.jpg"/>
                    <pic:cNvPicPr/>
                  </pic:nvPicPr>
                  <pic:blipFill>
                    <a:blip r:embed="rId10">
                      <a:extLst>
                        <a:ext uri="{28A0092B-C50C-407E-A947-70E740481C1C}">
                          <a14:useLocalDpi xmlns:a14="http://schemas.microsoft.com/office/drawing/2010/main" val="0"/>
                        </a:ext>
                      </a:extLst>
                    </a:blip>
                    <a:stretch>
                      <a:fillRect/>
                    </a:stretch>
                  </pic:blipFill>
                  <pic:spPr>
                    <a:xfrm>
                      <a:off x="0" y="0"/>
                      <a:ext cx="7584440" cy="107283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474339A2" w14:textId="77777777" w:rsidR="00D629DB" w:rsidRDefault="00D629DB" w:rsidP="004420AB">
      <w:pPr>
        <w:rPr>
          <w:b/>
          <w:color w:val="660066"/>
          <w:sz w:val="36"/>
          <w:szCs w:val="36"/>
        </w:rPr>
      </w:pPr>
    </w:p>
    <w:p w14:paraId="7906DC82" w14:textId="77777777" w:rsidR="00D629DB" w:rsidRDefault="00D629DB" w:rsidP="00D629DB">
      <w:pPr>
        <w:jc w:val="right"/>
        <w:rPr>
          <w:b/>
          <w:color w:val="660066"/>
          <w:sz w:val="36"/>
          <w:szCs w:val="36"/>
        </w:rPr>
      </w:pPr>
    </w:p>
    <w:p w14:paraId="17464D35" w14:textId="77777777" w:rsidR="00D629DB" w:rsidRDefault="00D629DB" w:rsidP="00D629DB">
      <w:pPr>
        <w:jc w:val="right"/>
        <w:rPr>
          <w:b/>
          <w:color w:val="660066"/>
          <w:sz w:val="36"/>
          <w:szCs w:val="36"/>
        </w:rPr>
      </w:pPr>
    </w:p>
    <w:p w14:paraId="7F0CA5F8" w14:textId="77777777" w:rsidR="00D629DB" w:rsidRDefault="00D629DB" w:rsidP="00D629DB">
      <w:pPr>
        <w:jc w:val="right"/>
        <w:rPr>
          <w:b/>
          <w:color w:val="660066"/>
          <w:sz w:val="36"/>
          <w:szCs w:val="36"/>
        </w:rPr>
      </w:pPr>
    </w:p>
    <w:p w14:paraId="23481262" w14:textId="77777777" w:rsidR="00D629DB" w:rsidRDefault="00D629DB" w:rsidP="00D629DB">
      <w:pPr>
        <w:jc w:val="right"/>
        <w:rPr>
          <w:b/>
          <w:color w:val="660066"/>
          <w:sz w:val="36"/>
          <w:szCs w:val="36"/>
        </w:rPr>
      </w:pPr>
    </w:p>
    <w:p w14:paraId="1EF5F3AC" w14:textId="77777777" w:rsidR="00D629DB" w:rsidRDefault="00D629DB" w:rsidP="00D629DB">
      <w:pPr>
        <w:jc w:val="right"/>
        <w:rPr>
          <w:b/>
          <w:color w:val="660066"/>
          <w:sz w:val="36"/>
          <w:szCs w:val="36"/>
        </w:rPr>
      </w:pPr>
    </w:p>
    <w:p w14:paraId="5C91DE8E" w14:textId="77777777" w:rsidR="00D629DB" w:rsidRDefault="00D629DB" w:rsidP="00D629DB">
      <w:pPr>
        <w:jc w:val="right"/>
        <w:rPr>
          <w:b/>
          <w:color w:val="660066"/>
          <w:sz w:val="36"/>
          <w:szCs w:val="36"/>
        </w:rPr>
      </w:pPr>
    </w:p>
    <w:p w14:paraId="3BE2204A" w14:textId="77777777" w:rsidR="00D629DB" w:rsidRDefault="00D629DB" w:rsidP="00D629DB">
      <w:pPr>
        <w:jc w:val="right"/>
        <w:rPr>
          <w:b/>
          <w:color w:val="660066"/>
          <w:sz w:val="36"/>
          <w:szCs w:val="36"/>
        </w:rPr>
      </w:pPr>
    </w:p>
    <w:p w14:paraId="1EA0BC37" w14:textId="77777777" w:rsidR="00DB1ED6" w:rsidRDefault="00DB1ED6" w:rsidP="00DB1ED6">
      <w:pPr>
        <w:jc w:val="right"/>
        <w:rPr>
          <w:b/>
          <w:color w:val="660066"/>
          <w:sz w:val="36"/>
          <w:szCs w:val="36"/>
        </w:rPr>
      </w:pPr>
      <w:r>
        <w:rPr>
          <w:noProof/>
          <w:lang w:val="en-AU" w:eastAsia="ko-KR"/>
        </w:rPr>
        <mc:AlternateContent>
          <mc:Choice Requires="wps">
            <w:drawing>
              <wp:anchor distT="0" distB="0" distL="114300" distR="114300" simplePos="0" relativeHeight="251662336" behindDoc="0" locked="0" layoutInCell="1" allowOverlap="1" wp14:anchorId="3EB12A2C" wp14:editId="2DABB938">
                <wp:simplePos x="0" y="0"/>
                <wp:positionH relativeFrom="column">
                  <wp:posOffset>1600200</wp:posOffset>
                </wp:positionH>
                <wp:positionV relativeFrom="paragraph">
                  <wp:posOffset>152400</wp:posOffset>
                </wp:positionV>
                <wp:extent cx="5829300" cy="571500"/>
                <wp:effectExtent l="0" t="0" r="38100" b="38100"/>
                <wp:wrapNone/>
                <wp:docPr id="5" name="Text Box 5"/>
                <wp:cNvGraphicFramePr/>
                <a:graphic xmlns:a="http://schemas.openxmlformats.org/drawingml/2006/main">
                  <a:graphicData uri="http://schemas.microsoft.com/office/word/2010/wordprocessingShape">
                    <wps:wsp>
                      <wps:cNvSpPr txBox="1"/>
                      <wps:spPr>
                        <a:xfrm>
                          <a:off x="0" y="0"/>
                          <a:ext cx="5829300" cy="571500"/>
                        </a:xfrm>
                        <a:prstGeom prst="rect">
                          <a:avLst/>
                        </a:prstGeom>
                        <a:noFill/>
                        <a:ln w="6350" cap="rnd">
                          <a:solidFill>
                            <a:srgbClr val="660066"/>
                          </a:solidFill>
                          <a:roun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4AC490" w14:textId="77777777" w:rsidR="00BD7507" w:rsidRPr="009A05A1" w:rsidRDefault="00BD7507" w:rsidP="009A05A1">
                            <w:pPr>
                              <w:pStyle w:val="Title"/>
                              <w:jc w:val="left"/>
                              <w:rPr>
                                <w:sz w:val="44"/>
                                <w:szCs w:val="44"/>
                              </w:rPr>
                            </w:pPr>
                            <w:r w:rsidRPr="009A05A1">
                              <w:rPr>
                                <w:sz w:val="44"/>
                                <w:szCs w:val="44"/>
                              </w:rPr>
                              <w:t>GENDER ANALYSIS TOOLKIT</w:t>
                            </w:r>
                          </w:p>
                          <w:p w14:paraId="406392A4" w14:textId="77777777" w:rsidR="00BD7507" w:rsidRDefault="00BD7507" w:rsidP="00DB1ED6"/>
                        </w:txbxContent>
                      </wps:txbx>
                      <wps:bodyPr rot="0" spcFirstLastPara="0" vertOverflow="overflow" horzOverflow="overflow" vert="horz" wrap="square" lIns="180000" tIns="108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B12A2C" id="_x0000_t202" coordsize="21600,21600" o:spt="202" path="m,l,21600r21600,l21600,xe">
                <v:stroke joinstyle="miter"/>
                <v:path gradientshapeok="t" o:connecttype="rect"/>
              </v:shapetype>
              <v:shape id="Text Box 5" o:spid="_x0000_s1026" type="#_x0000_t202" style="position:absolute;left:0;text-align:left;margin-left:126pt;margin-top:12pt;width:459pt;height: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IOa1wIAAOsFAAAOAAAAZHJzL2Uyb0RvYy54bWysVEtv2zAMvg/YfxB0T22ncZoEdQo3RYYB&#10;RVusHXpWZCkxJouapCTuhv33UbKTPrZLh+XgkNJHivz4OL9oG0V2wroadEGzk5QSoTlUtV4X9OvD&#10;cjChxHmmK6ZAi4I+CUcv5h8/nO/NTAxhA6oSlqAT7WZ7U9CN92aWJI5vRMPcCRih8VKCbZhH1a6T&#10;yrI9em9UMkzTcbIHWxkLXDiHp1fdJZ1H/1IK7m+ldMITVVCMzcevjd9V+CbzczZbW2Y2Ne/DYP8Q&#10;RcNqjY8eXV0xz8jW1n+4ampuwYH0JxyaBKSsuYg5YDZZ+iab+w0zIuaC5DhzpMn9P7f8ZndnSV0V&#10;NKdEswZL9CBaTy6hJXlgZ2/cDEH3BmG+xWOs8uHc4WFIupW2Cf+YDsF75PnpyG1wxvEwnwynpyle&#10;cbzLz7IcZXSfPFsb6/wnAQ0JQkEt1i5SynbXznfQAyQ8pmFZKxXrpzTZF3R8mgf3DLvI6iqaOlB1&#10;FWDBwNn1aqEs2THshfEYm2fcR/AKZmGrq+45pYOdiG3UxYBa61GM55hZLPHPRX42LM/y6WBc5tlg&#10;lKWTQVmmw8HVskzLdLRcTEeXv/q3DvZJILYjMEr+SYngVekvQmJBIo8x7DAK4hg441xoH0uA3EV0&#10;QElM8j2GPT7mEfN7j3HHCFrEl0H7o3FTa7Ad9a/Drr4dQpYdHkv/Iu8g+nbVIu9BXEH1hP1moZtX&#10;Z/iyxqa4Zs7fMYsDioXGpeNv8SMVYPGhlyjZgP3xt/OAx7nBW0r2OPAFdd+3zApK1GeNE5VNUvzh&#10;iui0NKiU2KhNs9EIlVVURlhtVPS2WQB2UoYLzvAoBrxXB1FaaB5xO5XhXbximuPrBfUHceG7RYTb&#10;jYuyjCDcCob5a31veHAdCA5N/9A+Mmv6yfDYQzdwWA5s9mZAOmyw1FBuPcg6Ts8zrz31uFHi/PXb&#10;L6ysl3pEPe/o+W8AAAD//wMAUEsDBBQABgAIAAAAIQCAPp1e3QAAAAsBAAAPAAAAZHJzL2Rvd25y&#10;ZXYueG1sTE9NT8MwDL0j8R8iI3Fj6Sq+VJpOaBIcpk1oAwTHtDFpReNUSbaWf497gpOf7af3Ua4m&#10;14sThth5UrBcZCCQGm86sgreXp+u7kHEpMno3hMq+MEIq+r8rNSF8SPt8XRIVrAIxUIraFMaCilj&#10;06LTceEHJP59+eB04jVYaYIeWdz1Ms+yW+l0R+zQ6gHXLTbfh6NTEPYfL+++3o2bbd3Z563dbdaf&#10;RqnLi+nxAUTCKf2RYY7P0aHiTLU/komiV5Df5NwlMbjmOROWdxmjekZ8klUp/3eofgEAAP//AwBQ&#10;SwECLQAUAAYACAAAACEAtoM4kv4AAADhAQAAEwAAAAAAAAAAAAAAAAAAAAAAW0NvbnRlbnRfVHlw&#10;ZXNdLnhtbFBLAQItABQABgAIAAAAIQA4/SH/1gAAAJQBAAALAAAAAAAAAAAAAAAAAC8BAABfcmVs&#10;cy8ucmVsc1BLAQItABQABgAIAAAAIQC6CIOa1wIAAOsFAAAOAAAAAAAAAAAAAAAAAC4CAABkcnMv&#10;ZTJvRG9jLnhtbFBLAQItABQABgAIAAAAIQCAPp1e3QAAAAsBAAAPAAAAAAAAAAAAAAAAADEFAABk&#10;cnMvZG93bnJldi54bWxQSwUGAAAAAAQABADzAAAAOwYAAAAA&#10;" filled="f" strokecolor="#606" strokeweight=".5pt">
                <v:stroke joinstyle="round" endcap="round"/>
                <v:textbox inset="5mm,3mm">
                  <w:txbxContent>
                    <w:p w14:paraId="254AC490" w14:textId="77777777" w:rsidR="00BD7507" w:rsidRPr="009A05A1" w:rsidRDefault="00BD7507" w:rsidP="009A05A1">
                      <w:pPr>
                        <w:pStyle w:val="Title"/>
                        <w:jc w:val="left"/>
                        <w:rPr>
                          <w:sz w:val="44"/>
                          <w:szCs w:val="44"/>
                        </w:rPr>
                      </w:pPr>
                      <w:r w:rsidRPr="009A05A1">
                        <w:rPr>
                          <w:sz w:val="44"/>
                          <w:szCs w:val="44"/>
                        </w:rPr>
                        <w:t>GENDER ANALYSIS TOOLKIT</w:t>
                      </w:r>
                    </w:p>
                    <w:p w14:paraId="406392A4" w14:textId="77777777" w:rsidR="00BD7507" w:rsidRDefault="00BD7507" w:rsidP="00DB1ED6"/>
                  </w:txbxContent>
                </v:textbox>
              </v:shape>
            </w:pict>
          </mc:Fallback>
        </mc:AlternateContent>
      </w:r>
    </w:p>
    <w:p w14:paraId="17614148" w14:textId="77777777" w:rsidR="00DB1ED6" w:rsidRDefault="00DB1ED6" w:rsidP="00DB1ED6">
      <w:pPr>
        <w:jc w:val="right"/>
        <w:rPr>
          <w:b/>
          <w:color w:val="660066"/>
          <w:sz w:val="36"/>
          <w:szCs w:val="36"/>
        </w:rPr>
      </w:pPr>
    </w:p>
    <w:p w14:paraId="09121C95" w14:textId="77777777" w:rsidR="00DB1ED6" w:rsidRDefault="00DB1ED6" w:rsidP="00DB1ED6">
      <w:pPr>
        <w:jc w:val="right"/>
        <w:rPr>
          <w:b/>
          <w:color w:val="660066"/>
          <w:sz w:val="36"/>
          <w:szCs w:val="36"/>
        </w:rPr>
      </w:pPr>
    </w:p>
    <w:p w14:paraId="16DF472A" w14:textId="77777777" w:rsidR="00DB1ED6" w:rsidRDefault="00DB1ED6" w:rsidP="00DB1ED6">
      <w:pPr>
        <w:spacing w:after="0" w:line="240" w:lineRule="auto"/>
        <w:jc w:val="right"/>
        <w:rPr>
          <w:b/>
          <w:color w:val="660066"/>
          <w:sz w:val="36"/>
          <w:szCs w:val="36"/>
        </w:rPr>
      </w:pPr>
      <w:r w:rsidRPr="000B22AB">
        <w:rPr>
          <w:b/>
          <w:color w:val="660066"/>
          <w:sz w:val="36"/>
          <w:szCs w:val="36"/>
        </w:rPr>
        <w:t>Section 1</w:t>
      </w:r>
      <w:r w:rsidRPr="00250BFF">
        <w:rPr>
          <w:b/>
          <w:color w:val="FFFFFF" w:themeColor="background1"/>
          <w:sz w:val="36"/>
          <w:szCs w:val="36"/>
        </w:rPr>
        <w:t>1</w:t>
      </w:r>
    </w:p>
    <w:p w14:paraId="0EB9D13B" w14:textId="77777777" w:rsidR="00DB1ED6" w:rsidRPr="000B22AB" w:rsidRDefault="00DB1ED6" w:rsidP="00DB1ED6">
      <w:pPr>
        <w:spacing w:after="0" w:line="240" w:lineRule="auto"/>
        <w:jc w:val="right"/>
        <w:rPr>
          <w:b/>
          <w:color w:val="660066"/>
          <w:sz w:val="36"/>
          <w:szCs w:val="36"/>
        </w:rPr>
      </w:pPr>
      <w:r>
        <w:rPr>
          <w:b/>
          <w:color w:val="660066"/>
          <w:sz w:val="36"/>
          <w:szCs w:val="36"/>
        </w:rPr>
        <w:t xml:space="preserve"> </w:t>
      </w:r>
    </w:p>
    <w:p w14:paraId="099C760A" w14:textId="77777777" w:rsidR="00DB1ED6" w:rsidRDefault="00DB1ED6" w:rsidP="00DB1ED6">
      <w:pPr>
        <w:jc w:val="right"/>
        <w:rPr>
          <w:color w:val="660066"/>
          <w:sz w:val="56"/>
          <w:szCs w:val="56"/>
        </w:rPr>
      </w:pPr>
      <w:r w:rsidRPr="000B22AB">
        <w:rPr>
          <w:color w:val="660066"/>
          <w:sz w:val="56"/>
          <w:szCs w:val="56"/>
        </w:rPr>
        <w:t>What is gender analysis?</w:t>
      </w:r>
    </w:p>
    <w:p w14:paraId="09F6CDEB" w14:textId="77777777" w:rsidR="003738FB" w:rsidRDefault="003738FB" w:rsidP="00DB1ED6">
      <w:pPr>
        <w:jc w:val="right"/>
        <w:rPr>
          <w:color w:val="660066"/>
          <w:sz w:val="56"/>
          <w:szCs w:val="56"/>
        </w:rPr>
      </w:pPr>
    </w:p>
    <w:p w14:paraId="2200504B" w14:textId="77777777" w:rsidR="003738FB" w:rsidRDefault="003738FB" w:rsidP="003738FB">
      <w:pPr>
        <w:rPr>
          <w:rFonts w:ascii="Calibri" w:eastAsia="Malgun Gothic" w:hAnsi="Calibri" w:cs="Times New Roman"/>
          <w:szCs w:val="22"/>
          <w:lang w:val="en-AU" w:eastAsia="ko-KR"/>
        </w:rPr>
      </w:pPr>
    </w:p>
    <w:p w14:paraId="11F03A93" w14:textId="68CE80C8" w:rsidR="003738FB" w:rsidRDefault="003738FB" w:rsidP="003738FB">
      <w:pPr>
        <w:rPr>
          <w:color w:val="660066"/>
          <w:sz w:val="56"/>
          <w:szCs w:val="56"/>
        </w:rPr>
      </w:pPr>
      <w:r w:rsidRPr="00071944">
        <w:rPr>
          <w:rFonts w:ascii="Calibri" w:eastAsia="Malgun Gothic" w:hAnsi="Calibri" w:cs="Times New Roman"/>
          <w:szCs w:val="22"/>
          <w:lang w:val="en-AU" w:eastAsia="ko-KR"/>
        </w:rPr>
        <w:t>The Queensland Government is committed to gender equality in all a</w:t>
      </w:r>
      <w:r>
        <w:rPr>
          <w:rFonts w:ascii="Calibri" w:eastAsia="Malgun Gothic" w:hAnsi="Calibri" w:cs="Times New Roman"/>
          <w:szCs w:val="22"/>
          <w:lang w:val="en-AU" w:eastAsia="ko-KR"/>
        </w:rPr>
        <w:t>spects of society. We recognise t</w:t>
      </w:r>
      <w:r w:rsidRPr="00071944">
        <w:rPr>
          <w:rFonts w:ascii="Calibri" w:eastAsia="Malgun Gothic" w:hAnsi="Calibri" w:cs="Times New Roman"/>
          <w:szCs w:val="22"/>
          <w:lang w:val="en-AU" w:eastAsia="ko-KR"/>
        </w:rPr>
        <w:t>hat gender equality requires broad cultural change, including better understanding differences in</w:t>
      </w:r>
      <w:r>
        <w:rPr>
          <w:rFonts w:ascii="Calibri" w:eastAsia="Malgun Gothic" w:hAnsi="Calibri" w:cs="Times New Roman"/>
          <w:szCs w:val="22"/>
          <w:lang w:val="en-AU" w:eastAsia="ko-KR"/>
        </w:rPr>
        <w:t xml:space="preserve"> people’s lives</w:t>
      </w:r>
      <w:r w:rsidRPr="00071944">
        <w:rPr>
          <w:rFonts w:ascii="Calibri" w:eastAsia="Malgun Gothic" w:hAnsi="Calibri" w:cs="Times New Roman"/>
          <w:szCs w:val="22"/>
          <w:lang w:val="en-AU" w:eastAsia="ko-KR"/>
        </w:rPr>
        <w:t>. Applying a ‘gender lens’ is vital for developing e</w:t>
      </w:r>
      <w:r>
        <w:rPr>
          <w:rFonts w:ascii="Calibri" w:eastAsia="Malgun Gothic" w:hAnsi="Calibri" w:cs="Times New Roman"/>
          <w:szCs w:val="22"/>
          <w:lang w:val="en-AU" w:eastAsia="ko-KR"/>
        </w:rPr>
        <w:t xml:space="preserve">quitable policies, programs and </w:t>
      </w:r>
      <w:r w:rsidRPr="00071944">
        <w:rPr>
          <w:rFonts w:ascii="Calibri" w:eastAsia="Malgun Gothic" w:hAnsi="Calibri" w:cs="Times New Roman"/>
          <w:szCs w:val="22"/>
          <w:lang w:val="en-AU" w:eastAsia="ko-KR"/>
        </w:rPr>
        <w:t>services, and achieving gender equality</w:t>
      </w:r>
      <w:r w:rsidR="007154A4">
        <w:rPr>
          <w:rFonts w:ascii="Calibri" w:eastAsia="Malgun Gothic" w:hAnsi="Calibri" w:cs="Times New Roman"/>
          <w:szCs w:val="22"/>
          <w:lang w:val="en-AU" w:eastAsia="ko-KR"/>
        </w:rPr>
        <w:t>.</w:t>
      </w:r>
    </w:p>
    <w:p w14:paraId="52691A8C" w14:textId="77777777" w:rsidR="009A05A1" w:rsidRDefault="009A05A1" w:rsidP="00214B0D">
      <w:pPr>
        <w:spacing w:after="0" w:line="240" w:lineRule="auto"/>
        <w:jc w:val="left"/>
      </w:pPr>
      <w:r>
        <w:rPr>
          <w:color w:val="660066"/>
          <w:sz w:val="56"/>
          <w:szCs w:val="56"/>
        </w:rPr>
        <w:br w:type="page"/>
      </w:r>
    </w:p>
    <w:tbl>
      <w:tblPr>
        <w:tblStyle w:val="TableGrid"/>
        <w:tblW w:w="0" w:type="auto"/>
        <w:tblLook w:val="04A0" w:firstRow="1" w:lastRow="0" w:firstColumn="1" w:lastColumn="0" w:noHBand="0" w:noVBand="1"/>
      </w:tblPr>
      <w:tblGrid>
        <w:gridCol w:w="9016"/>
      </w:tblGrid>
      <w:tr w:rsidR="00365889" w:rsidRPr="00D16B03" w14:paraId="1558E5F4" w14:textId="77777777" w:rsidTr="00365889">
        <w:tc>
          <w:tcPr>
            <w:tcW w:w="9016" w:type="dxa"/>
            <w:tcBorders>
              <w:top w:val="nil"/>
              <w:left w:val="nil"/>
              <w:bottom w:val="nil"/>
              <w:right w:val="nil"/>
            </w:tcBorders>
            <w:shd w:val="clear" w:color="auto" w:fill="385623"/>
          </w:tcPr>
          <w:p w14:paraId="2E8A93E8" w14:textId="77777777" w:rsidR="00365889" w:rsidRPr="00D16B03" w:rsidRDefault="00365889" w:rsidP="00365889">
            <w:pPr>
              <w:spacing w:before="240" w:after="240" w:line="240" w:lineRule="auto"/>
              <w:jc w:val="left"/>
              <w:rPr>
                <w:rFonts w:ascii="Calibri" w:eastAsia="Malgun Gothic" w:hAnsi="Calibri" w:cs="Times New Roman"/>
                <w:b/>
                <w:color w:val="FFFFFF"/>
                <w:sz w:val="36"/>
                <w:szCs w:val="36"/>
              </w:rPr>
            </w:pPr>
            <w:r>
              <w:rPr>
                <w:rFonts w:ascii="Calibri" w:eastAsia="Malgun Gothic" w:hAnsi="Calibri" w:cs="Times New Roman"/>
                <w:noProof/>
                <w:color w:val="FFFFFF"/>
                <w:sz w:val="36"/>
                <w:szCs w:val="36"/>
              </w:rPr>
              <w:lastRenderedPageBreak/>
              <w:drawing>
                <wp:inline distT="0" distB="0" distL="0" distR="0" wp14:anchorId="059049E8" wp14:editId="0B700EBE">
                  <wp:extent cx="871855" cy="871855"/>
                  <wp:effectExtent l="0" t="0" r="4445" b="444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pic:spPr>
                      </pic:pic>
                    </a:graphicData>
                  </a:graphic>
                </wp:inline>
              </w:drawing>
            </w:r>
            <w:r w:rsidRPr="00E436A5">
              <w:rPr>
                <w:rFonts w:ascii="Calibri" w:eastAsia="Malgun Gothic" w:hAnsi="Calibri" w:cs="Times New Roman"/>
                <w:color w:val="FFFFFF"/>
                <w:sz w:val="40"/>
                <w:szCs w:val="40"/>
              </w:rPr>
              <w:t>SUMMARY: WHAT IS GENDER ANALYSIS?</w:t>
            </w:r>
          </w:p>
        </w:tc>
      </w:tr>
      <w:tr w:rsidR="00365889" w:rsidRPr="00D16B03" w14:paraId="05C5851C" w14:textId="77777777" w:rsidTr="00365889">
        <w:tc>
          <w:tcPr>
            <w:tcW w:w="9016" w:type="dxa"/>
            <w:tcBorders>
              <w:top w:val="nil"/>
              <w:left w:val="nil"/>
              <w:bottom w:val="nil"/>
              <w:right w:val="nil"/>
            </w:tcBorders>
            <w:shd w:val="clear" w:color="auto" w:fill="EFF6EA"/>
          </w:tcPr>
          <w:p w14:paraId="0E7A7DBD" w14:textId="77777777" w:rsidR="00365889" w:rsidRPr="00D16B03" w:rsidRDefault="00365889" w:rsidP="00365889">
            <w:pPr>
              <w:spacing w:before="240" w:after="240" w:line="240" w:lineRule="auto"/>
              <w:jc w:val="left"/>
              <w:rPr>
                <w:rFonts w:ascii="Calibri Light" w:eastAsia="Malgun Gothic" w:hAnsi="Calibri Light" w:cs="Times New Roman"/>
                <w:b/>
                <w:color w:val="385623"/>
                <w:sz w:val="28"/>
                <w:szCs w:val="28"/>
              </w:rPr>
            </w:pPr>
            <w:r w:rsidRPr="00D16B03">
              <w:rPr>
                <w:rFonts w:ascii="Calibri" w:eastAsia="Malgun Gothic" w:hAnsi="Calibri" w:cs="Times New Roman"/>
                <w:noProof/>
              </w:rPr>
              <w:drawing>
                <wp:anchor distT="0" distB="0" distL="114300" distR="114300" simplePos="0" relativeHeight="251712512" behindDoc="0" locked="0" layoutInCell="1" allowOverlap="1" wp14:anchorId="64F2511C" wp14:editId="3F1E80F4">
                  <wp:simplePos x="0" y="0"/>
                  <wp:positionH relativeFrom="column">
                    <wp:posOffset>2466975</wp:posOffset>
                  </wp:positionH>
                  <wp:positionV relativeFrom="paragraph">
                    <wp:posOffset>253365</wp:posOffset>
                  </wp:positionV>
                  <wp:extent cx="3174365" cy="2777490"/>
                  <wp:effectExtent l="0" t="0" r="0" b="0"/>
                  <wp:wrapSquare wrapText="bothSides"/>
                  <wp:docPr id="230" name="Diagram 2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Pr="00D16B03">
              <w:rPr>
                <w:rFonts w:ascii="Calibri Light" w:eastAsia="Malgun Gothic" w:hAnsi="Calibri Light" w:cs="Times New Roman"/>
                <w:b/>
                <w:color w:val="385623"/>
                <w:sz w:val="28"/>
                <w:szCs w:val="28"/>
              </w:rPr>
              <w:t xml:space="preserve">Gender analysis is a process that involves: </w:t>
            </w:r>
          </w:p>
          <w:p w14:paraId="0C3662B4" w14:textId="77777777" w:rsidR="00365889" w:rsidRPr="00D16B03" w:rsidRDefault="00365889" w:rsidP="00365889">
            <w:pPr>
              <w:numPr>
                <w:ilvl w:val="0"/>
                <w:numId w:val="8"/>
              </w:numPr>
              <w:spacing w:line="240" w:lineRule="auto"/>
              <w:ind w:left="714" w:hanging="357"/>
              <w:jc w:val="left"/>
              <w:rPr>
                <w:rFonts w:ascii="Calibri" w:eastAsia="Malgun Gothic" w:hAnsi="Calibri" w:cs="Times New Roman"/>
              </w:rPr>
            </w:pPr>
            <w:r w:rsidRPr="00D16B03">
              <w:rPr>
                <w:rFonts w:ascii="Calibri" w:eastAsia="Malgun Gothic" w:hAnsi="Calibri" w:cs="Times New Roman"/>
              </w:rPr>
              <w:t>assessing a given situation, context or work environment for gender equality issues</w:t>
            </w:r>
          </w:p>
          <w:p w14:paraId="1D7538DB" w14:textId="77777777" w:rsidR="00365889" w:rsidRPr="00D16B03" w:rsidRDefault="00365889" w:rsidP="00365889">
            <w:pPr>
              <w:numPr>
                <w:ilvl w:val="0"/>
                <w:numId w:val="8"/>
              </w:numPr>
              <w:spacing w:line="240" w:lineRule="auto"/>
              <w:ind w:left="714" w:hanging="357"/>
              <w:jc w:val="left"/>
              <w:rPr>
                <w:rFonts w:ascii="Calibri" w:eastAsia="Malgun Gothic" w:hAnsi="Calibri" w:cs="Times New Roman"/>
              </w:rPr>
            </w:pPr>
            <w:r w:rsidRPr="00D16B03">
              <w:rPr>
                <w:rFonts w:ascii="Calibri" w:eastAsia="Malgun Gothic" w:hAnsi="Calibri" w:cs="Times New Roman"/>
              </w:rPr>
              <w:t>developing responses that target gaps between people of different gender identities and address gender inequality.</w:t>
            </w:r>
          </w:p>
          <w:p w14:paraId="3512FC81" w14:textId="77777777" w:rsidR="00365889" w:rsidRPr="00D16B03" w:rsidRDefault="00365889" w:rsidP="00365889">
            <w:pPr>
              <w:spacing w:before="240" w:after="240" w:line="240" w:lineRule="auto"/>
              <w:jc w:val="left"/>
              <w:rPr>
                <w:rFonts w:ascii="Calibri Light" w:eastAsia="Malgun Gothic" w:hAnsi="Calibri Light" w:cs="Times New Roman"/>
                <w:b/>
                <w:color w:val="385623"/>
                <w:sz w:val="28"/>
                <w:szCs w:val="28"/>
              </w:rPr>
            </w:pPr>
            <w:r w:rsidRPr="00D16B03">
              <w:rPr>
                <w:rFonts w:ascii="Calibri Light" w:eastAsia="Malgun Gothic" w:hAnsi="Calibri Light" w:cs="Times New Roman"/>
                <w:b/>
                <w:color w:val="385623"/>
                <w:sz w:val="28"/>
                <w:szCs w:val="28"/>
              </w:rPr>
              <w:t xml:space="preserve">Gender analysis focuses on closing key gender gaps by: </w:t>
            </w:r>
          </w:p>
          <w:p w14:paraId="346DBDA0" w14:textId="77777777" w:rsidR="00365889" w:rsidRPr="00D16B03" w:rsidRDefault="00365889" w:rsidP="00365889">
            <w:pPr>
              <w:numPr>
                <w:ilvl w:val="0"/>
                <w:numId w:val="9"/>
              </w:numPr>
              <w:spacing w:line="240" w:lineRule="auto"/>
              <w:ind w:left="714" w:hanging="357"/>
              <w:jc w:val="left"/>
              <w:rPr>
                <w:rFonts w:ascii="Calibri" w:eastAsia="Malgun Gothic" w:hAnsi="Calibri" w:cs="Times New Roman"/>
              </w:rPr>
            </w:pPr>
            <w:r w:rsidRPr="00D16B03">
              <w:rPr>
                <w:rFonts w:ascii="Calibri" w:eastAsia="Malgun Gothic" w:hAnsi="Calibri" w:cs="Times New Roman"/>
              </w:rPr>
              <w:t>acknowledging that issues can affect women differently to men</w:t>
            </w:r>
          </w:p>
          <w:p w14:paraId="71107804" w14:textId="77777777" w:rsidR="00365889" w:rsidRPr="00D16B03" w:rsidRDefault="00365889" w:rsidP="00365889">
            <w:pPr>
              <w:numPr>
                <w:ilvl w:val="0"/>
                <w:numId w:val="9"/>
              </w:numPr>
              <w:spacing w:line="240" w:lineRule="auto"/>
              <w:ind w:left="714" w:hanging="357"/>
              <w:jc w:val="left"/>
              <w:rPr>
                <w:rFonts w:ascii="Calibri" w:eastAsia="Malgun Gothic" w:hAnsi="Calibri" w:cs="Times New Roman"/>
              </w:rPr>
            </w:pPr>
            <w:r w:rsidRPr="00D16B03">
              <w:rPr>
                <w:rFonts w:ascii="Calibri" w:eastAsia="Malgun Gothic" w:hAnsi="Calibri" w:cs="Times New Roman"/>
              </w:rPr>
              <w:t>acknowledging that differences in women’s and men’s lives mean that women’s needs and concerns are often different to men’s</w:t>
            </w:r>
          </w:p>
          <w:p w14:paraId="1FD929F1" w14:textId="77777777" w:rsidR="00365889" w:rsidRPr="00D16B03" w:rsidRDefault="00365889" w:rsidP="00365889">
            <w:pPr>
              <w:numPr>
                <w:ilvl w:val="0"/>
                <w:numId w:val="9"/>
              </w:numPr>
              <w:spacing w:line="240" w:lineRule="auto"/>
              <w:ind w:left="714" w:hanging="357"/>
              <w:jc w:val="left"/>
              <w:rPr>
                <w:rFonts w:ascii="Calibri" w:eastAsia="Malgun Gothic" w:hAnsi="Calibri" w:cs="Times New Roman"/>
              </w:rPr>
            </w:pPr>
            <w:r w:rsidRPr="00D16B03">
              <w:rPr>
                <w:rFonts w:ascii="Calibri" w:eastAsia="Malgun Gothic" w:hAnsi="Calibri" w:cs="Times New Roman"/>
              </w:rPr>
              <w:t>investigating the specific needs of women and the likely impact on them of policies, programs and services</w:t>
            </w:r>
          </w:p>
          <w:p w14:paraId="692AB905" w14:textId="77777777" w:rsidR="00365889" w:rsidRPr="00D16B03" w:rsidRDefault="00365889" w:rsidP="00365889">
            <w:pPr>
              <w:numPr>
                <w:ilvl w:val="0"/>
                <w:numId w:val="9"/>
              </w:numPr>
              <w:spacing w:line="240" w:lineRule="auto"/>
              <w:ind w:left="714" w:hanging="357"/>
              <w:jc w:val="left"/>
              <w:rPr>
                <w:rFonts w:ascii="Calibri" w:eastAsia="Malgun Gothic" w:hAnsi="Calibri" w:cs="Times New Roman"/>
              </w:rPr>
            </w:pPr>
            <w:r w:rsidRPr="00D16B03">
              <w:rPr>
                <w:rFonts w:ascii="Calibri" w:eastAsia="Malgun Gothic" w:hAnsi="Calibri" w:cs="Times New Roman"/>
              </w:rPr>
              <w:t>highlighting differences among women with regards to a range of identify factors, separate or together, including age, race, disability, religion, geographic location, sexual orientation or sexuality, gender identity and caring responsibilities</w:t>
            </w:r>
          </w:p>
          <w:p w14:paraId="2708F70B" w14:textId="77777777" w:rsidR="00365889" w:rsidRPr="00D16B03" w:rsidRDefault="00365889" w:rsidP="00365889">
            <w:pPr>
              <w:numPr>
                <w:ilvl w:val="0"/>
                <w:numId w:val="9"/>
              </w:numPr>
              <w:spacing w:line="240" w:lineRule="auto"/>
              <w:ind w:left="714" w:hanging="357"/>
              <w:jc w:val="left"/>
              <w:rPr>
                <w:rFonts w:ascii="Calibri" w:eastAsia="Malgun Gothic" w:hAnsi="Calibri" w:cs="Times New Roman"/>
              </w:rPr>
            </w:pPr>
            <w:r w:rsidRPr="00D16B03">
              <w:rPr>
                <w:rFonts w:ascii="Calibri" w:eastAsia="Malgun Gothic" w:hAnsi="Calibri" w:cs="Times New Roman"/>
              </w:rPr>
              <w:t>ensuring that the needs and issues of different groups of women with different social and cultural experiences are clearly identified and addressed in each step of the process of planning, implementing and evaluating policies, programs and services</w:t>
            </w:r>
          </w:p>
          <w:p w14:paraId="1DFA2F00" w14:textId="77777777" w:rsidR="00365889" w:rsidRPr="00D16B03" w:rsidRDefault="00365889" w:rsidP="00365889">
            <w:pPr>
              <w:numPr>
                <w:ilvl w:val="0"/>
                <w:numId w:val="9"/>
              </w:numPr>
              <w:spacing w:line="240" w:lineRule="auto"/>
              <w:ind w:left="714" w:hanging="357"/>
              <w:jc w:val="left"/>
              <w:rPr>
                <w:rFonts w:ascii="Calibri" w:eastAsia="Malgun Gothic" w:hAnsi="Calibri" w:cs="Times New Roman"/>
              </w:rPr>
            </w:pPr>
            <w:r w:rsidRPr="00D16B03">
              <w:rPr>
                <w:rFonts w:ascii="Calibri" w:eastAsia="Malgun Gothic" w:hAnsi="Calibri" w:cs="Times New Roman"/>
              </w:rPr>
              <w:t>seeking and articulating the viewpoints of women and making their input a critical part of developing policies, programs and services</w:t>
            </w:r>
          </w:p>
          <w:p w14:paraId="21E9C9DA" w14:textId="77777777" w:rsidR="00365889" w:rsidRPr="00D16B03" w:rsidRDefault="00365889" w:rsidP="00365889">
            <w:pPr>
              <w:numPr>
                <w:ilvl w:val="0"/>
                <w:numId w:val="9"/>
              </w:numPr>
              <w:spacing w:line="240" w:lineRule="auto"/>
              <w:ind w:left="714" w:hanging="357"/>
              <w:jc w:val="left"/>
              <w:rPr>
                <w:rFonts w:ascii="Calibri" w:eastAsia="Malgun Gothic" w:hAnsi="Calibri" w:cs="Times New Roman"/>
              </w:rPr>
            </w:pPr>
            <w:r w:rsidRPr="00D16B03">
              <w:rPr>
                <w:rFonts w:ascii="Calibri" w:eastAsia="Malgun Gothic" w:hAnsi="Calibri" w:cs="Times New Roman"/>
              </w:rPr>
              <w:t>recognising that policies, programs and services can impact differently on women, men and people with other gender identities, and promoting gender sensitive practices in policies, programs and service delivery</w:t>
            </w:r>
          </w:p>
          <w:p w14:paraId="20F1622D" w14:textId="77777777" w:rsidR="00365889" w:rsidRPr="00D16B03" w:rsidRDefault="00365889" w:rsidP="00365889">
            <w:pPr>
              <w:numPr>
                <w:ilvl w:val="0"/>
                <w:numId w:val="9"/>
              </w:numPr>
              <w:spacing w:line="240" w:lineRule="auto"/>
              <w:ind w:left="714" w:hanging="357"/>
              <w:jc w:val="left"/>
              <w:rPr>
                <w:rFonts w:ascii="Calibri" w:eastAsia="Malgun Gothic" w:hAnsi="Calibri" w:cs="Times New Roman"/>
              </w:rPr>
            </w:pPr>
            <w:r w:rsidRPr="00D16B03">
              <w:rPr>
                <w:rFonts w:ascii="Calibri" w:eastAsia="Malgun Gothic" w:hAnsi="Calibri" w:cs="Times New Roman"/>
              </w:rPr>
              <w:t>understanding that simply treating everyone the same may not be sufficient to address gender inequality</w:t>
            </w:r>
          </w:p>
          <w:p w14:paraId="675011BE" w14:textId="77777777" w:rsidR="00365889" w:rsidRPr="00D16B03" w:rsidRDefault="00365889" w:rsidP="00365889">
            <w:pPr>
              <w:numPr>
                <w:ilvl w:val="0"/>
                <w:numId w:val="9"/>
              </w:numPr>
              <w:spacing w:line="240" w:lineRule="auto"/>
              <w:ind w:left="714" w:hanging="357"/>
              <w:jc w:val="left"/>
              <w:rPr>
                <w:rFonts w:ascii="Calibri" w:eastAsia="Malgun Gothic" w:hAnsi="Calibri" w:cs="Times New Roman"/>
              </w:rPr>
            </w:pPr>
            <w:r w:rsidRPr="00D16B03">
              <w:rPr>
                <w:rFonts w:ascii="Calibri" w:eastAsia="Malgun Gothic" w:hAnsi="Calibri" w:cs="Times New Roman"/>
              </w:rPr>
              <w:t>promoting women’s participation in social and economic life, which will benefit the community at large.</w:t>
            </w:r>
          </w:p>
        </w:tc>
      </w:tr>
    </w:tbl>
    <w:p w14:paraId="0DD6DA01" w14:textId="7B9148DA" w:rsidR="00071944" w:rsidRDefault="00FE176D" w:rsidP="00B76666">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240" w:line="240" w:lineRule="auto"/>
        <w:jc w:val="left"/>
        <w:rPr>
          <w:lang w:val="en-AU"/>
        </w:rPr>
      </w:pPr>
      <w:r w:rsidRPr="00FE176D">
        <w:rPr>
          <w:rFonts w:ascii="Calibri" w:eastAsia="Malgun Gothic" w:hAnsi="Calibri" w:cs="Times New Roman"/>
          <w:b/>
          <w:color w:val="385623"/>
          <w:sz w:val="40"/>
          <w:szCs w:val="40"/>
          <w:lang w:val="en-AU" w:eastAsia="ko-KR"/>
        </w:rPr>
        <w:lastRenderedPageBreak/>
        <w:t>ABOUT THE GENDER ANALYSIS TOOLKIT</w:t>
      </w:r>
      <w:r w:rsidRPr="00977BC1">
        <w:rPr>
          <w:b/>
          <w:lang w:val="en-AU"/>
        </w:rPr>
        <w:t xml:space="preserve"> </w:t>
      </w:r>
      <w:r w:rsidR="00EB619F" w:rsidRPr="00977BC1">
        <w:rPr>
          <w:b/>
          <w:lang w:val="en-AU"/>
        </w:rPr>
        <w:t xml:space="preserve">                </w:t>
      </w:r>
      <w:r w:rsidR="00EB619F">
        <w:rPr>
          <w:noProof/>
          <w:lang w:val="en-AU" w:eastAsia="ko-KR"/>
        </w:rPr>
        <w:drawing>
          <wp:inline distT="0" distB="0" distL="0" distR="0" wp14:anchorId="44E2C3D7" wp14:editId="720E23E6">
            <wp:extent cx="594670" cy="628651"/>
            <wp:effectExtent l="152400" t="133350" r="53340" b="133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8931926">
                      <a:off x="0" y="0"/>
                      <a:ext cx="594670" cy="628651"/>
                    </a:xfrm>
                    <a:prstGeom prst="rect">
                      <a:avLst/>
                    </a:prstGeom>
                    <a:noFill/>
                  </pic:spPr>
                </pic:pic>
              </a:graphicData>
            </a:graphic>
          </wp:inline>
        </w:drawing>
      </w:r>
    </w:p>
    <w:p w14:paraId="210583F5" w14:textId="076FD041" w:rsidR="00071944" w:rsidRPr="00071944" w:rsidRDefault="00071944" w:rsidP="00071944">
      <w:pPr>
        <w:spacing w:before="100" w:beforeAutospacing="1" w:after="100" w:afterAutospacing="1" w:line="240" w:lineRule="auto"/>
        <w:jc w:val="left"/>
        <w:rPr>
          <w:rFonts w:ascii="Calibri" w:eastAsia="Malgun Gothic" w:hAnsi="Calibri" w:cs="Times New Roman"/>
          <w:szCs w:val="22"/>
          <w:lang w:val="en-AU" w:eastAsia="ko-KR"/>
        </w:rPr>
      </w:pPr>
      <w:r w:rsidRPr="00071944">
        <w:rPr>
          <w:rFonts w:ascii="Calibri" w:eastAsia="Malgun Gothic" w:hAnsi="Calibri" w:cs="Times New Roman"/>
          <w:szCs w:val="22"/>
          <w:lang w:val="en-AU" w:eastAsia="ko-KR"/>
        </w:rPr>
        <w:t>This toolkit is a practical, step-by-step guide to help individuals and organisations better understand what underpins and how to address gender inequality.</w:t>
      </w:r>
    </w:p>
    <w:p w14:paraId="6BA418DB" w14:textId="77777777" w:rsidR="00071944" w:rsidRPr="00071944" w:rsidRDefault="00071944" w:rsidP="00071944">
      <w:pPr>
        <w:keepNext/>
        <w:keepLines/>
        <w:spacing w:before="100" w:beforeAutospacing="1" w:after="100" w:afterAutospacing="1" w:line="240" w:lineRule="auto"/>
        <w:ind w:left="181" w:hanging="181"/>
        <w:jc w:val="left"/>
        <w:outlineLvl w:val="2"/>
        <w:rPr>
          <w:rFonts w:ascii="Calibri Light" w:eastAsia="Malgun Gothic" w:hAnsi="Calibri Light" w:cs="Times New Roman"/>
          <w:b/>
          <w:color w:val="385623"/>
          <w:sz w:val="28"/>
          <w:szCs w:val="28"/>
          <w:lang w:val="en-AU" w:eastAsia="ko-KR"/>
        </w:rPr>
      </w:pPr>
      <w:r w:rsidRPr="00071944">
        <w:rPr>
          <w:rFonts w:ascii="Calibri Light" w:eastAsia="Malgun Gothic" w:hAnsi="Calibri Light" w:cs="Times New Roman"/>
          <w:b/>
          <w:color w:val="385623"/>
          <w:sz w:val="28"/>
          <w:szCs w:val="28"/>
          <w:lang w:val="en-AU" w:eastAsia="ko-KR"/>
        </w:rPr>
        <w:t>Aim</w:t>
      </w:r>
    </w:p>
    <w:p w14:paraId="115A7502" w14:textId="77777777" w:rsidR="00071944" w:rsidRPr="00071944" w:rsidRDefault="00071944" w:rsidP="00A40F92">
      <w:pPr>
        <w:spacing w:before="100" w:beforeAutospacing="1" w:after="100" w:afterAutospacing="1" w:line="240" w:lineRule="auto"/>
        <w:jc w:val="left"/>
        <w:rPr>
          <w:rFonts w:ascii="Calibri" w:eastAsia="Malgun Gothic" w:hAnsi="Calibri" w:cs="Times New Roman"/>
          <w:szCs w:val="22"/>
          <w:lang w:val="en-AU" w:eastAsia="ko-KR"/>
        </w:rPr>
      </w:pPr>
      <w:r w:rsidRPr="00071944">
        <w:rPr>
          <w:rFonts w:ascii="Calibri" w:eastAsia="Malgun Gothic" w:hAnsi="Calibri" w:cs="Times New Roman"/>
          <w:szCs w:val="22"/>
          <w:lang w:val="en-AU" w:eastAsia="ko-KR"/>
        </w:rPr>
        <w:t>The aim of the toolkit is to help individuals and organisations:</w:t>
      </w:r>
    </w:p>
    <w:p w14:paraId="5647937C" w14:textId="77777777" w:rsidR="00071944" w:rsidRPr="00071944" w:rsidRDefault="00071944" w:rsidP="00242C10">
      <w:pPr>
        <w:numPr>
          <w:ilvl w:val="0"/>
          <w:numId w:val="2"/>
        </w:numPr>
        <w:spacing w:line="240" w:lineRule="auto"/>
        <w:ind w:left="357" w:hanging="357"/>
        <w:jc w:val="left"/>
        <w:rPr>
          <w:rFonts w:ascii="Calibri" w:eastAsia="Malgun Gothic" w:hAnsi="Calibri" w:cs="Times New Roman"/>
          <w:szCs w:val="22"/>
          <w:lang w:val="en-AU" w:eastAsia="ko-KR"/>
        </w:rPr>
      </w:pPr>
      <w:r w:rsidRPr="00071944">
        <w:rPr>
          <w:rFonts w:ascii="Calibri" w:eastAsia="Malgun Gothic" w:hAnsi="Calibri" w:cs="Times New Roman"/>
          <w:szCs w:val="22"/>
          <w:lang w:val="en-AU" w:eastAsia="ko-KR"/>
        </w:rPr>
        <w:t>realise the benefits of gender analysis</w:t>
      </w:r>
    </w:p>
    <w:p w14:paraId="12F1DA03" w14:textId="77777777" w:rsidR="00071944" w:rsidRPr="00071944" w:rsidRDefault="00071944" w:rsidP="00242C10">
      <w:pPr>
        <w:numPr>
          <w:ilvl w:val="0"/>
          <w:numId w:val="2"/>
        </w:numPr>
        <w:spacing w:line="240" w:lineRule="auto"/>
        <w:ind w:left="357" w:hanging="357"/>
        <w:jc w:val="left"/>
        <w:rPr>
          <w:rFonts w:ascii="Calibri" w:eastAsia="Malgun Gothic" w:hAnsi="Calibri" w:cs="Times New Roman"/>
          <w:szCs w:val="22"/>
          <w:lang w:val="en-AU" w:eastAsia="ko-KR"/>
        </w:rPr>
      </w:pPr>
      <w:r w:rsidRPr="00071944">
        <w:rPr>
          <w:rFonts w:ascii="Calibri" w:eastAsia="Malgun Gothic" w:hAnsi="Calibri" w:cs="Times New Roman"/>
          <w:szCs w:val="22"/>
          <w:lang w:val="en-AU" w:eastAsia="ko-KR"/>
        </w:rPr>
        <w:t>apply the process of gender analysis in their lives and work</w:t>
      </w:r>
    </w:p>
    <w:p w14:paraId="63455006" w14:textId="77777777" w:rsidR="00071944" w:rsidRPr="00071944" w:rsidRDefault="00071944" w:rsidP="00242C10">
      <w:pPr>
        <w:numPr>
          <w:ilvl w:val="0"/>
          <w:numId w:val="2"/>
        </w:numPr>
        <w:spacing w:line="240" w:lineRule="auto"/>
        <w:ind w:left="357" w:hanging="357"/>
        <w:jc w:val="left"/>
        <w:rPr>
          <w:rFonts w:ascii="Calibri" w:eastAsia="Malgun Gothic" w:hAnsi="Calibri" w:cs="Times New Roman"/>
          <w:szCs w:val="22"/>
          <w:lang w:val="en-AU" w:eastAsia="ko-KR"/>
        </w:rPr>
      </w:pPr>
      <w:r w:rsidRPr="00071944">
        <w:rPr>
          <w:rFonts w:ascii="Calibri" w:eastAsia="Malgun Gothic" w:hAnsi="Calibri" w:cs="Times New Roman"/>
          <w:szCs w:val="22"/>
          <w:lang w:val="en-AU" w:eastAsia="ko-KR"/>
        </w:rPr>
        <w:t>better understand the implications of policies, programs and service delivery for people of different genders</w:t>
      </w:r>
    </w:p>
    <w:p w14:paraId="751BD316" w14:textId="77777777" w:rsidR="00071944" w:rsidRPr="00071944" w:rsidRDefault="00071944" w:rsidP="00242C10">
      <w:pPr>
        <w:numPr>
          <w:ilvl w:val="0"/>
          <w:numId w:val="2"/>
        </w:numPr>
        <w:spacing w:line="240" w:lineRule="auto"/>
        <w:ind w:left="357" w:hanging="357"/>
        <w:jc w:val="left"/>
        <w:rPr>
          <w:rFonts w:ascii="Calibri" w:eastAsia="Malgun Gothic" w:hAnsi="Calibri" w:cs="Times New Roman"/>
          <w:szCs w:val="22"/>
          <w:lang w:val="en-AU" w:eastAsia="ko-KR"/>
        </w:rPr>
      </w:pPr>
      <w:r w:rsidRPr="00071944">
        <w:rPr>
          <w:rFonts w:ascii="Calibri" w:eastAsia="Malgun Gothic" w:hAnsi="Calibri" w:cs="Times New Roman"/>
          <w:szCs w:val="22"/>
          <w:lang w:val="en-AU" w:eastAsia="ko-KR"/>
        </w:rPr>
        <w:t>take account of gender as an integral factor in the development, implementation and evaluation of policies, programs and services.</w:t>
      </w:r>
    </w:p>
    <w:p w14:paraId="477DFC30" w14:textId="77777777" w:rsidR="00071944" w:rsidRPr="00071944" w:rsidRDefault="00071944" w:rsidP="00EB619F">
      <w:pPr>
        <w:keepNext/>
        <w:keepLines/>
        <w:spacing w:before="100" w:beforeAutospacing="1" w:after="100" w:afterAutospacing="1" w:line="240" w:lineRule="auto"/>
        <w:ind w:left="181" w:hanging="181"/>
        <w:jc w:val="left"/>
        <w:outlineLvl w:val="2"/>
        <w:rPr>
          <w:rFonts w:ascii="Calibri Light" w:eastAsia="Malgun Gothic" w:hAnsi="Calibri Light" w:cs="Times New Roman"/>
          <w:b/>
          <w:color w:val="385623"/>
          <w:sz w:val="28"/>
          <w:szCs w:val="28"/>
          <w:lang w:val="en-AU" w:eastAsia="ko-KR"/>
        </w:rPr>
      </w:pPr>
      <w:r w:rsidRPr="00071944">
        <w:rPr>
          <w:rFonts w:ascii="Calibri Light" w:eastAsia="Malgun Gothic" w:hAnsi="Calibri Light" w:cs="Times New Roman"/>
          <w:b/>
          <w:color w:val="385623"/>
          <w:sz w:val="28"/>
          <w:szCs w:val="28"/>
          <w:lang w:val="en-AU" w:eastAsia="ko-KR"/>
        </w:rPr>
        <w:t>Who is this toolkit for?</w:t>
      </w:r>
    </w:p>
    <w:p w14:paraId="47408764" w14:textId="77777777" w:rsidR="00071944" w:rsidRPr="00071944" w:rsidRDefault="00071944" w:rsidP="00071944">
      <w:pPr>
        <w:spacing w:before="100" w:beforeAutospacing="1" w:after="100" w:afterAutospacing="1" w:line="240" w:lineRule="auto"/>
        <w:jc w:val="left"/>
        <w:rPr>
          <w:rFonts w:ascii="Calibri" w:eastAsia="Malgun Gothic" w:hAnsi="Calibri" w:cs="Times New Roman"/>
          <w:szCs w:val="22"/>
          <w:lang w:val="en-AU" w:eastAsia="ko-KR"/>
        </w:rPr>
      </w:pPr>
      <w:r w:rsidRPr="00071944">
        <w:rPr>
          <w:rFonts w:ascii="Calibri" w:eastAsia="Malgun Gothic" w:hAnsi="Calibri" w:cs="Times New Roman"/>
          <w:szCs w:val="22"/>
          <w:lang w:val="en-AU" w:eastAsia="ko-KR"/>
        </w:rPr>
        <w:t>This toolkit is intended for use by the whole Queensland community, to help them factor gender issues into their work and everyday life. Any member of the public who is interested in learning about gender issues and impact should find the toolkit useful.</w:t>
      </w:r>
    </w:p>
    <w:p w14:paraId="1196EBE3" w14:textId="77777777" w:rsidR="00071944" w:rsidRPr="00071944" w:rsidRDefault="00071944" w:rsidP="00071944">
      <w:pPr>
        <w:spacing w:before="100" w:beforeAutospacing="1" w:after="100" w:afterAutospacing="1" w:line="240" w:lineRule="auto"/>
        <w:jc w:val="left"/>
        <w:rPr>
          <w:rFonts w:ascii="Calibri" w:eastAsia="Malgun Gothic" w:hAnsi="Calibri" w:cs="Times New Roman"/>
          <w:szCs w:val="22"/>
          <w:lang w:val="en-AU" w:eastAsia="ko-KR"/>
        </w:rPr>
      </w:pPr>
      <w:r w:rsidRPr="00071944">
        <w:rPr>
          <w:rFonts w:ascii="Calibri" w:eastAsia="Malgun Gothic" w:hAnsi="Calibri" w:cs="Times New Roman"/>
          <w:szCs w:val="22"/>
          <w:lang w:val="en-AU" w:eastAsia="ko-KR"/>
        </w:rPr>
        <w:t xml:space="preserve">For organisations wanting to incorporate gender perspectives into their work, this toolkit will help identify those gender issues that should be considered in the design and delivery of policies, programs and services.  </w:t>
      </w:r>
    </w:p>
    <w:p w14:paraId="65E40DCC" w14:textId="77777777" w:rsidR="00071944" w:rsidRPr="00071944" w:rsidRDefault="00071944" w:rsidP="00071944">
      <w:pPr>
        <w:keepNext/>
        <w:keepLines/>
        <w:spacing w:before="100" w:beforeAutospacing="1" w:after="100" w:afterAutospacing="1" w:line="240" w:lineRule="auto"/>
        <w:jc w:val="left"/>
        <w:outlineLvl w:val="2"/>
        <w:rPr>
          <w:rFonts w:ascii="Calibri Light" w:eastAsia="Malgun Gothic" w:hAnsi="Calibri Light" w:cs="Times New Roman"/>
          <w:b/>
          <w:color w:val="385623"/>
          <w:sz w:val="28"/>
          <w:szCs w:val="28"/>
          <w:lang w:val="en-AU" w:eastAsia="ko-KR"/>
        </w:rPr>
      </w:pPr>
      <w:r w:rsidRPr="00071944">
        <w:rPr>
          <w:rFonts w:ascii="Calibri Light" w:eastAsia="Malgun Gothic" w:hAnsi="Calibri Light" w:cs="Times New Roman"/>
          <w:b/>
          <w:color w:val="385623"/>
          <w:sz w:val="28"/>
          <w:szCs w:val="28"/>
          <w:lang w:val="en-AU" w:eastAsia="ko-KR"/>
        </w:rPr>
        <w:t>Scope</w:t>
      </w:r>
    </w:p>
    <w:p w14:paraId="78F23CFF" w14:textId="7094C402" w:rsidR="00071944" w:rsidRPr="00071944" w:rsidRDefault="00071944" w:rsidP="00071944">
      <w:pPr>
        <w:spacing w:after="240" w:line="240" w:lineRule="auto"/>
        <w:jc w:val="left"/>
        <w:rPr>
          <w:rFonts w:ascii="Calibri" w:eastAsia="Malgun Gothic" w:hAnsi="Calibri" w:cs="Times New Roman"/>
          <w:szCs w:val="22"/>
          <w:lang w:val="en-AU" w:eastAsia="ko-KR"/>
        </w:rPr>
      </w:pPr>
      <w:r w:rsidRPr="00071944">
        <w:rPr>
          <w:rFonts w:ascii="Calibri" w:eastAsia="Malgun Gothic" w:hAnsi="Calibri" w:cs="Times New Roman"/>
          <w:szCs w:val="22"/>
          <w:lang w:val="en-AU" w:eastAsia="ko-KR"/>
        </w:rPr>
        <w:t>The toolkit complements, and should be used in conjunction with other policy, program and service guides. It does not address all issues to be considered in the formulation of policy advice or program and service delivery.</w:t>
      </w:r>
    </w:p>
    <w:p w14:paraId="27D2BDA5" w14:textId="0FA4CA8F" w:rsidR="00071944" w:rsidRPr="00071944" w:rsidRDefault="00071944" w:rsidP="00071944">
      <w:pPr>
        <w:spacing w:after="240" w:line="240" w:lineRule="auto"/>
        <w:jc w:val="left"/>
        <w:rPr>
          <w:rFonts w:ascii="Calibri" w:eastAsia="Malgun Gothic" w:hAnsi="Calibri" w:cs="Times New Roman"/>
          <w:szCs w:val="22"/>
          <w:lang w:val="en-AU" w:eastAsia="ko-KR"/>
        </w:rPr>
      </w:pPr>
      <w:r w:rsidRPr="00071944">
        <w:rPr>
          <w:rFonts w:ascii="Calibri" w:eastAsia="Malgun Gothic" w:hAnsi="Calibri" w:cs="Times New Roman"/>
          <w:szCs w:val="22"/>
          <w:lang w:val="en-AU" w:eastAsia="ko-KR"/>
        </w:rPr>
        <w:t>While the toolkit promotes broad diversity and inclusion, its focus is on gender. It does not cover other diversity and inclusion factors, such as age, disability, race, ethnicity and geographic location.</w:t>
      </w:r>
      <w:r>
        <w:rPr>
          <w:rFonts w:ascii="Calibri" w:eastAsia="Malgun Gothic" w:hAnsi="Calibri" w:cs="Times New Roman"/>
          <w:szCs w:val="22"/>
          <w:lang w:val="en-AU" w:eastAsia="ko-KR"/>
        </w:rPr>
        <w:t xml:space="preserve"> </w:t>
      </w:r>
      <w:r w:rsidRPr="00071944">
        <w:rPr>
          <w:rFonts w:ascii="Calibri" w:eastAsia="Malgun Gothic" w:hAnsi="Calibri" w:cs="Times New Roman"/>
          <w:szCs w:val="22"/>
          <w:lang w:val="en-AU" w:eastAsia="ko-KR"/>
        </w:rPr>
        <w:t>The toolkit recognises the diversity of sexual orientation and gender identity.</w:t>
      </w:r>
      <w:r w:rsidRPr="00071944">
        <w:rPr>
          <w:rFonts w:ascii="Calibri" w:eastAsia="Malgun Gothic" w:hAnsi="Calibri" w:cs="Times New Roman"/>
          <w:szCs w:val="22"/>
          <w:vertAlign w:val="superscript"/>
          <w:lang w:val="en-AU" w:eastAsia="ko-KR"/>
        </w:rPr>
        <w:endnoteReference w:id="1"/>
      </w:r>
      <w:r w:rsidRPr="00071944">
        <w:rPr>
          <w:rFonts w:ascii="Calibri" w:eastAsia="Malgun Gothic" w:hAnsi="Calibri" w:cs="Times New Roman"/>
          <w:szCs w:val="22"/>
          <w:lang w:val="en-AU" w:eastAsia="ko-KR"/>
        </w:rPr>
        <w:t xml:space="preserve"> However, its central focus is on the inequities and inequalities between women and men. Therefore, some of the information and examples in the toolkit may relate to two genders only – women and men.</w:t>
      </w:r>
    </w:p>
    <w:p w14:paraId="5AC23D4E" w14:textId="77777777" w:rsidR="00071944" w:rsidRPr="00071944" w:rsidRDefault="00071944" w:rsidP="00071944">
      <w:pPr>
        <w:spacing w:after="240" w:line="240" w:lineRule="auto"/>
        <w:jc w:val="left"/>
        <w:rPr>
          <w:rFonts w:ascii="Calibri" w:eastAsia="Malgun Gothic" w:hAnsi="Calibri" w:cs="Times New Roman"/>
          <w:szCs w:val="22"/>
          <w:lang w:val="en-AU" w:eastAsia="ko-KR"/>
        </w:rPr>
      </w:pPr>
      <w:r w:rsidRPr="00071944">
        <w:rPr>
          <w:rFonts w:ascii="Calibri" w:eastAsia="Malgun Gothic" w:hAnsi="Calibri" w:cs="Times New Roman"/>
          <w:szCs w:val="22"/>
          <w:lang w:val="en-AU" w:eastAsia="ko-KR"/>
        </w:rPr>
        <w:t>The toolkit covers all aspects of society, but gives priority to areas where women face historical and social disadvantage, and are not given opportunities at the same levels as those offered to men.</w:t>
      </w:r>
    </w:p>
    <w:p w14:paraId="68B6C3CF" w14:textId="5A56191A" w:rsidR="00071944" w:rsidRPr="00071944" w:rsidRDefault="00071944" w:rsidP="00071944">
      <w:pPr>
        <w:spacing w:before="100" w:beforeAutospacing="1" w:after="100" w:afterAutospacing="1" w:line="240" w:lineRule="auto"/>
        <w:jc w:val="left"/>
        <w:rPr>
          <w:rFonts w:ascii="Calibri" w:eastAsia="Malgun Gothic" w:hAnsi="Calibri" w:cs="Times New Roman"/>
          <w:szCs w:val="22"/>
          <w:lang w:val="en-AU" w:eastAsia="ko-KR"/>
        </w:rPr>
      </w:pPr>
      <w:r w:rsidRPr="00071944">
        <w:rPr>
          <w:rFonts w:ascii="Calibri" w:eastAsia="Malgun Gothic" w:hAnsi="Calibri" w:cs="Times New Roman"/>
          <w:szCs w:val="22"/>
          <w:lang w:val="en-AU" w:eastAsia="ko-KR"/>
        </w:rPr>
        <w:t xml:space="preserve">The toolkit builds on the excellent gender analysis work developed </w:t>
      </w:r>
      <w:r>
        <w:rPr>
          <w:rFonts w:ascii="Calibri" w:eastAsia="Malgun Gothic" w:hAnsi="Calibri" w:cs="Times New Roman"/>
          <w:szCs w:val="22"/>
          <w:lang w:val="en-AU" w:eastAsia="ko-KR"/>
        </w:rPr>
        <w:t>Australia-wide and internationally</w:t>
      </w:r>
      <w:r w:rsidRPr="00071944">
        <w:rPr>
          <w:rFonts w:ascii="Calibri" w:eastAsia="Malgun Gothic" w:hAnsi="Calibri" w:cs="Times New Roman"/>
          <w:szCs w:val="22"/>
          <w:lang w:val="en-AU" w:eastAsia="ko-KR"/>
        </w:rPr>
        <w:t xml:space="preserve"> (see Section 6 Further information).</w:t>
      </w:r>
    </w:p>
    <w:p w14:paraId="203247EF" w14:textId="77777777" w:rsidR="00071944" w:rsidRPr="00071944" w:rsidRDefault="00071944" w:rsidP="00A40F92">
      <w:pPr>
        <w:keepNext/>
        <w:keepLines/>
        <w:spacing w:before="100" w:beforeAutospacing="1" w:after="100" w:afterAutospacing="1" w:line="240" w:lineRule="auto"/>
        <w:jc w:val="left"/>
        <w:outlineLvl w:val="2"/>
        <w:rPr>
          <w:rFonts w:ascii="Calibri Light" w:eastAsia="Malgun Gothic" w:hAnsi="Calibri Light" w:cs="Times New Roman"/>
          <w:b/>
          <w:color w:val="385623"/>
          <w:sz w:val="28"/>
          <w:szCs w:val="28"/>
          <w:lang w:val="en-AU" w:eastAsia="ko-KR"/>
        </w:rPr>
      </w:pPr>
      <w:r w:rsidRPr="00071944">
        <w:rPr>
          <w:rFonts w:ascii="Calibri Light" w:eastAsia="Malgun Gothic" w:hAnsi="Calibri Light" w:cs="Times New Roman"/>
          <w:b/>
          <w:color w:val="385623"/>
          <w:sz w:val="28"/>
          <w:szCs w:val="28"/>
          <w:lang w:val="en-AU" w:eastAsia="ko-KR"/>
        </w:rPr>
        <w:lastRenderedPageBreak/>
        <w:t>Outcomes</w:t>
      </w:r>
    </w:p>
    <w:p w14:paraId="43FE707E" w14:textId="77777777" w:rsidR="00071944" w:rsidRPr="00071944" w:rsidRDefault="00071944" w:rsidP="00071944">
      <w:pPr>
        <w:spacing w:after="240" w:line="240" w:lineRule="auto"/>
        <w:jc w:val="left"/>
        <w:rPr>
          <w:rFonts w:ascii="Calibri" w:eastAsia="Malgun Gothic" w:hAnsi="Calibri" w:cs="Times New Roman"/>
          <w:szCs w:val="22"/>
          <w:lang w:val="en-AU" w:eastAsia="ko-KR"/>
        </w:rPr>
      </w:pPr>
      <w:r w:rsidRPr="00071944">
        <w:rPr>
          <w:rFonts w:ascii="Calibri" w:eastAsia="Malgun Gothic" w:hAnsi="Calibri" w:cs="Times New Roman"/>
          <w:szCs w:val="22"/>
          <w:lang w:val="en-AU" w:eastAsia="ko-KR"/>
        </w:rPr>
        <w:t>Expected outcomes of the toolkit include:</w:t>
      </w:r>
    </w:p>
    <w:p w14:paraId="132E755B" w14:textId="77777777" w:rsidR="00071944" w:rsidRPr="00071944" w:rsidRDefault="00071944" w:rsidP="00242C10">
      <w:pPr>
        <w:numPr>
          <w:ilvl w:val="0"/>
          <w:numId w:val="1"/>
        </w:numPr>
        <w:spacing w:after="80" w:line="240" w:lineRule="auto"/>
        <w:ind w:hanging="357"/>
        <w:jc w:val="left"/>
        <w:rPr>
          <w:rFonts w:ascii="Calibri" w:eastAsia="Malgun Gothic" w:hAnsi="Calibri" w:cs="Times New Roman"/>
          <w:szCs w:val="22"/>
          <w:lang w:val="en-AU" w:eastAsia="ko-KR"/>
        </w:rPr>
      </w:pPr>
      <w:r w:rsidRPr="00071944">
        <w:rPr>
          <w:rFonts w:ascii="Calibri" w:eastAsia="Malgun Gothic" w:hAnsi="Calibri" w:cs="Times New Roman"/>
          <w:b/>
          <w:szCs w:val="22"/>
          <w:lang w:val="en-AU" w:eastAsia="ko-KR"/>
        </w:rPr>
        <w:t>increased ‘gender competence’</w:t>
      </w:r>
      <w:r w:rsidRPr="00071944">
        <w:rPr>
          <w:rFonts w:ascii="Calibri" w:eastAsia="Malgun Gothic" w:hAnsi="Calibri" w:cs="Times New Roman"/>
          <w:szCs w:val="22"/>
          <w:vertAlign w:val="superscript"/>
          <w:lang w:val="en-AU" w:eastAsia="ko-KR"/>
        </w:rPr>
        <w:endnoteReference w:id="2"/>
      </w:r>
      <w:r w:rsidRPr="00071944">
        <w:rPr>
          <w:rFonts w:ascii="Calibri" w:eastAsia="Malgun Gothic" w:hAnsi="Calibri" w:cs="Times New Roman"/>
          <w:szCs w:val="22"/>
          <w:lang w:val="en-AU" w:eastAsia="ko-KR"/>
        </w:rPr>
        <w:t xml:space="preserve"> of users, including: </w:t>
      </w:r>
    </w:p>
    <w:p w14:paraId="7858E6E4" w14:textId="77777777" w:rsidR="00071944" w:rsidRPr="00071944" w:rsidRDefault="00071944" w:rsidP="00242C10">
      <w:pPr>
        <w:numPr>
          <w:ilvl w:val="0"/>
          <w:numId w:val="4"/>
        </w:numPr>
        <w:spacing w:after="80" w:line="240" w:lineRule="auto"/>
        <w:jc w:val="left"/>
        <w:rPr>
          <w:rFonts w:ascii="Calibri" w:eastAsia="Malgun Gothic" w:hAnsi="Calibri" w:cs="Times New Roman"/>
          <w:szCs w:val="22"/>
          <w:lang w:val="en-AU" w:eastAsia="ko-KR"/>
        </w:rPr>
      </w:pPr>
      <w:r w:rsidRPr="00071944">
        <w:rPr>
          <w:rFonts w:ascii="Calibri" w:eastAsia="Malgun Gothic" w:hAnsi="Calibri" w:cs="Times New Roman"/>
          <w:szCs w:val="22"/>
          <w:lang w:val="en-AU" w:eastAsia="ko-KR"/>
        </w:rPr>
        <w:t xml:space="preserve">understanding how gender perspectives are relevant to your work and responsibilities </w:t>
      </w:r>
    </w:p>
    <w:p w14:paraId="059EB9EF" w14:textId="59063F6C" w:rsidR="00071944" w:rsidRPr="00071944" w:rsidRDefault="003738FB" w:rsidP="00242C10">
      <w:pPr>
        <w:numPr>
          <w:ilvl w:val="0"/>
          <w:numId w:val="4"/>
        </w:numPr>
        <w:spacing w:after="80" w:line="240" w:lineRule="auto"/>
        <w:jc w:val="left"/>
        <w:rPr>
          <w:rFonts w:ascii="Calibri" w:eastAsia="Malgun Gothic" w:hAnsi="Calibri" w:cs="Times New Roman"/>
          <w:szCs w:val="22"/>
          <w:lang w:val="en-AU" w:eastAsia="ko-KR"/>
        </w:rPr>
      </w:pPr>
      <w:r>
        <w:rPr>
          <w:rFonts w:ascii="Calibri" w:eastAsia="Malgun Gothic" w:hAnsi="Calibri" w:cs="Times New Roman"/>
          <w:szCs w:val="22"/>
          <w:lang w:val="en-AU" w:eastAsia="ko-KR"/>
        </w:rPr>
        <w:t xml:space="preserve">ensuring </w:t>
      </w:r>
      <w:r w:rsidR="00071944" w:rsidRPr="00071944">
        <w:rPr>
          <w:rFonts w:ascii="Calibri" w:eastAsia="Malgun Gothic" w:hAnsi="Calibri" w:cs="Times New Roman"/>
          <w:szCs w:val="22"/>
          <w:lang w:val="en-AU" w:eastAsia="ko-KR"/>
        </w:rPr>
        <w:t>gender differences and inequalities are among the key factors considered in daily activities</w:t>
      </w:r>
    </w:p>
    <w:p w14:paraId="354FB81A" w14:textId="77777777" w:rsidR="00071944" w:rsidRPr="00071944" w:rsidRDefault="00071944" w:rsidP="00242C10">
      <w:pPr>
        <w:numPr>
          <w:ilvl w:val="0"/>
          <w:numId w:val="3"/>
        </w:numPr>
        <w:spacing w:after="80" w:line="240" w:lineRule="auto"/>
        <w:jc w:val="left"/>
        <w:rPr>
          <w:rFonts w:ascii="Calibri" w:eastAsia="Malgun Gothic" w:hAnsi="Calibri" w:cs="Times New Roman"/>
          <w:szCs w:val="22"/>
          <w:lang w:val="en-AU" w:eastAsia="ko-KR"/>
        </w:rPr>
      </w:pPr>
      <w:r w:rsidRPr="00071944">
        <w:rPr>
          <w:rFonts w:ascii="Calibri" w:eastAsia="Malgun Gothic" w:hAnsi="Calibri" w:cs="Times New Roman"/>
          <w:szCs w:val="22"/>
          <w:lang w:val="en-AU" w:eastAsia="ko-KR"/>
        </w:rPr>
        <w:t xml:space="preserve">enabling </w:t>
      </w:r>
      <w:r w:rsidRPr="00071944">
        <w:rPr>
          <w:rFonts w:ascii="Calibri" w:eastAsia="Malgun Gothic" w:hAnsi="Calibri" w:cs="Times New Roman"/>
          <w:b/>
          <w:szCs w:val="22"/>
          <w:lang w:val="en-AU" w:eastAsia="ko-KR"/>
        </w:rPr>
        <w:t xml:space="preserve">sustainable outcomes </w:t>
      </w:r>
      <w:r w:rsidRPr="00071944">
        <w:rPr>
          <w:rFonts w:ascii="Calibri" w:eastAsia="Malgun Gothic" w:hAnsi="Calibri" w:cs="Times New Roman"/>
          <w:szCs w:val="22"/>
          <w:lang w:val="en-AU" w:eastAsia="ko-KR"/>
        </w:rPr>
        <w:t>for people of all genders in the delivery of policies, programs and services</w:t>
      </w:r>
    </w:p>
    <w:p w14:paraId="4E5692B7" w14:textId="77777777" w:rsidR="00071944" w:rsidRPr="00071944" w:rsidRDefault="00071944" w:rsidP="00242C10">
      <w:pPr>
        <w:numPr>
          <w:ilvl w:val="0"/>
          <w:numId w:val="3"/>
        </w:numPr>
        <w:spacing w:after="80" w:line="240" w:lineRule="auto"/>
        <w:jc w:val="left"/>
        <w:rPr>
          <w:rFonts w:ascii="Calibri" w:eastAsia="Malgun Gothic" w:hAnsi="Calibri" w:cs="Times New Roman"/>
          <w:szCs w:val="22"/>
          <w:lang w:val="en-AU" w:eastAsia="ko-KR"/>
        </w:rPr>
      </w:pPr>
      <w:r w:rsidRPr="00071944">
        <w:rPr>
          <w:rFonts w:ascii="Calibri" w:eastAsia="Malgun Gothic" w:hAnsi="Calibri" w:cs="Times New Roman"/>
          <w:b/>
          <w:szCs w:val="22"/>
          <w:lang w:val="en-AU" w:eastAsia="ko-KR"/>
        </w:rPr>
        <w:t>clear definition of issues and target groups</w:t>
      </w:r>
      <w:r w:rsidRPr="00071944">
        <w:rPr>
          <w:rFonts w:ascii="Calibri" w:eastAsia="Malgun Gothic" w:hAnsi="Calibri" w:cs="Times New Roman"/>
          <w:szCs w:val="22"/>
          <w:lang w:val="en-AU" w:eastAsia="ko-KR"/>
        </w:rPr>
        <w:t xml:space="preserve"> so that the experiences of people of all genders are taken into account</w:t>
      </w:r>
    </w:p>
    <w:p w14:paraId="6A474514" w14:textId="77777777" w:rsidR="00071944" w:rsidRPr="00071944" w:rsidRDefault="00071944" w:rsidP="00242C10">
      <w:pPr>
        <w:numPr>
          <w:ilvl w:val="0"/>
          <w:numId w:val="3"/>
        </w:numPr>
        <w:spacing w:after="80" w:line="240" w:lineRule="auto"/>
        <w:jc w:val="left"/>
        <w:rPr>
          <w:rFonts w:ascii="Calibri" w:eastAsia="Malgun Gothic" w:hAnsi="Calibri" w:cs="Times New Roman"/>
          <w:szCs w:val="22"/>
          <w:lang w:val="en-AU" w:eastAsia="ko-KR"/>
        </w:rPr>
      </w:pPr>
      <w:r w:rsidRPr="00071944">
        <w:rPr>
          <w:rFonts w:ascii="Calibri" w:eastAsia="Malgun Gothic" w:hAnsi="Calibri" w:cs="Times New Roman"/>
          <w:szCs w:val="22"/>
          <w:lang w:val="en-AU" w:eastAsia="ko-KR"/>
        </w:rPr>
        <w:t xml:space="preserve">greater organisational </w:t>
      </w:r>
      <w:r w:rsidRPr="00071944">
        <w:rPr>
          <w:rFonts w:ascii="Calibri" w:eastAsia="Malgun Gothic" w:hAnsi="Calibri" w:cs="Times New Roman"/>
          <w:b/>
          <w:szCs w:val="22"/>
          <w:lang w:val="en-AU" w:eastAsia="ko-KR"/>
        </w:rPr>
        <w:t>efficiency and effectiveness</w:t>
      </w:r>
      <w:r w:rsidRPr="00071944">
        <w:rPr>
          <w:rFonts w:ascii="Calibri" w:eastAsia="Malgun Gothic" w:hAnsi="Calibri" w:cs="Times New Roman"/>
          <w:szCs w:val="22"/>
          <w:lang w:val="en-AU" w:eastAsia="ko-KR"/>
        </w:rPr>
        <w:t xml:space="preserve"> by ensuring that policies, programs and services are tailored to clients and the risk of unintended outcomes is reduced</w:t>
      </w:r>
    </w:p>
    <w:p w14:paraId="4B31FEDC" w14:textId="77777777" w:rsidR="00071944" w:rsidRPr="00071944" w:rsidRDefault="00071944" w:rsidP="00242C10">
      <w:pPr>
        <w:numPr>
          <w:ilvl w:val="0"/>
          <w:numId w:val="3"/>
        </w:numPr>
        <w:spacing w:after="80" w:line="240" w:lineRule="auto"/>
        <w:jc w:val="left"/>
        <w:rPr>
          <w:rFonts w:ascii="Calibri" w:eastAsia="Malgun Gothic" w:hAnsi="Calibri" w:cs="Times New Roman"/>
          <w:szCs w:val="22"/>
          <w:lang w:val="en-AU" w:eastAsia="ko-KR"/>
        </w:rPr>
      </w:pPr>
      <w:r w:rsidRPr="00071944">
        <w:rPr>
          <w:rFonts w:ascii="Calibri" w:eastAsia="Malgun Gothic" w:hAnsi="Calibri" w:cs="Times New Roman"/>
          <w:szCs w:val="22"/>
          <w:lang w:val="en-AU" w:eastAsia="ko-KR"/>
        </w:rPr>
        <w:t xml:space="preserve">stronger </w:t>
      </w:r>
      <w:r w:rsidRPr="00071944">
        <w:rPr>
          <w:rFonts w:ascii="Calibri" w:eastAsia="Malgun Gothic" w:hAnsi="Calibri" w:cs="Times New Roman"/>
          <w:b/>
          <w:szCs w:val="22"/>
          <w:lang w:val="en-AU" w:eastAsia="ko-KR"/>
        </w:rPr>
        <w:t>partnerships</w:t>
      </w:r>
      <w:r w:rsidRPr="00071944">
        <w:rPr>
          <w:rFonts w:ascii="Calibri" w:eastAsia="Malgun Gothic" w:hAnsi="Calibri" w:cs="Times New Roman"/>
          <w:szCs w:val="22"/>
          <w:lang w:val="en-AU" w:eastAsia="ko-KR"/>
        </w:rPr>
        <w:t xml:space="preserve"> across the community.</w:t>
      </w:r>
    </w:p>
    <w:p w14:paraId="580B1BA8" w14:textId="77777777" w:rsidR="00071944" w:rsidRPr="00071944" w:rsidRDefault="00071944" w:rsidP="00071944">
      <w:pPr>
        <w:keepNext/>
        <w:keepLines/>
        <w:spacing w:before="100" w:beforeAutospacing="1" w:after="100" w:afterAutospacing="1" w:line="240" w:lineRule="auto"/>
        <w:ind w:left="181" w:hanging="181"/>
        <w:jc w:val="left"/>
        <w:outlineLvl w:val="2"/>
        <w:rPr>
          <w:rFonts w:ascii="Calibri Light" w:eastAsia="Malgun Gothic" w:hAnsi="Calibri Light" w:cs="Times New Roman"/>
          <w:b/>
          <w:color w:val="385623"/>
          <w:sz w:val="28"/>
          <w:szCs w:val="28"/>
          <w:lang w:val="en-AU" w:eastAsia="ko-KR"/>
        </w:rPr>
      </w:pPr>
      <w:r w:rsidRPr="00071944">
        <w:rPr>
          <w:rFonts w:ascii="Calibri Light" w:eastAsia="Malgun Gothic" w:hAnsi="Calibri Light" w:cs="Times New Roman"/>
          <w:b/>
          <w:color w:val="385623"/>
          <w:sz w:val="28"/>
          <w:szCs w:val="28"/>
          <w:lang w:val="en-AU" w:eastAsia="ko-KR"/>
        </w:rPr>
        <w:t xml:space="preserve">Getting started </w:t>
      </w:r>
    </w:p>
    <w:p w14:paraId="6CC7BEEF" w14:textId="5148D6D0" w:rsidR="00A40F92" w:rsidRDefault="00071944" w:rsidP="00A40F92">
      <w:pPr>
        <w:spacing w:after="240" w:line="240" w:lineRule="auto"/>
        <w:jc w:val="left"/>
        <w:rPr>
          <w:rFonts w:ascii="Calibri" w:eastAsia="Malgun Gothic" w:hAnsi="Calibri" w:cs="Times New Roman"/>
          <w:szCs w:val="22"/>
          <w:lang w:val="en-AU" w:eastAsia="ko-KR"/>
        </w:rPr>
      </w:pPr>
      <w:r w:rsidRPr="00071944">
        <w:rPr>
          <w:rFonts w:ascii="Calibri" w:eastAsia="Malgun Gothic" w:hAnsi="Calibri" w:cs="Times New Roman"/>
          <w:szCs w:val="22"/>
          <w:lang w:val="en-AU" w:eastAsia="ko-KR"/>
        </w:rPr>
        <w:t xml:space="preserve">The toolkit consists of </w:t>
      </w:r>
      <w:r>
        <w:rPr>
          <w:rFonts w:ascii="Calibri" w:eastAsia="Malgun Gothic" w:hAnsi="Calibri" w:cs="Times New Roman"/>
          <w:szCs w:val="22"/>
          <w:lang w:val="en-AU" w:eastAsia="ko-KR"/>
        </w:rPr>
        <w:t xml:space="preserve">the following </w:t>
      </w:r>
      <w:r w:rsidRPr="00071944">
        <w:rPr>
          <w:rFonts w:ascii="Calibri" w:eastAsia="Malgun Gothic" w:hAnsi="Calibri" w:cs="Times New Roman"/>
          <w:szCs w:val="22"/>
          <w:lang w:val="en-AU" w:eastAsia="ko-KR"/>
        </w:rPr>
        <w:t>six sections</w:t>
      </w:r>
      <w:r>
        <w:rPr>
          <w:rFonts w:ascii="Calibri" w:eastAsia="Malgun Gothic" w:hAnsi="Calibri" w:cs="Times New Roman"/>
          <w:szCs w:val="22"/>
          <w:lang w:val="en-AU" w:eastAsia="ko-KR"/>
        </w:rPr>
        <w:t>.</w:t>
      </w:r>
      <w:r w:rsidRPr="00071944">
        <w:rPr>
          <w:rFonts w:ascii="Calibri" w:eastAsia="Malgun Gothic" w:hAnsi="Calibri" w:cs="Times New Roman"/>
          <w:szCs w:val="22"/>
          <w:lang w:val="en-AU" w:eastAsia="ko-KR"/>
        </w:rPr>
        <w:t xml:space="preserve"> </w:t>
      </w:r>
      <w:r w:rsidR="008C002C" w:rsidRPr="00A40F92">
        <w:rPr>
          <w:rFonts w:ascii="Calibri" w:eastAsia="Malgun Gothic" w:hAnsi="Calibri" w:cs="Times New Roman"/>
          <w:szCs w:val="22"/>
          <w:lang w:val="en-AU" w:eastAsia="ko-KR"/>
        </w:rPr>
        <w:t>You may wish to work with your colleagues when using the toolkit so that your workplace has a consistent approach to gender analysis.</w:t>
      </w:r>
    </w:p>
    <w:p w14:paraId="16DFAE4C" w14:textId="45F4B6E2" w:rsidR="00071944" w:rsidRPr="00071944" w:rsidRDefault="00071944" w:rsidP="00242C10">
      <w:pPr>
        <w:numPr>
          <w:ilvl w:val="0"/>
          <w:numId w:val="5"/>
        </w:numPr>
        <w:spacing w:line="240" w:lineRule="auto"/>
        <w:ind w:left="357" w:hanging="357"/>
        <w:jc w:val="left"/>
        <w:rPr>
          <w:rFonts w:ascii="Calibri" w:eastAsia="Malgun Gothic" w:hAnsi="Calibri" w:cs="Times New Roman"/>
          <w:szCs w:val="22"/>
          <w:lang w:val="en-AU" w:eastAsia="ko-KR"/>
        </w:rPr>
      </w:pPr>
      <w:r w:rsidRPr="00071944">
        <w:rPr>
          <w:rFonts w:ascii="Calibri" w:eastAsia="Malgun Gothic" w:hAnsi="Calibri" w:cs="Times New Roman"/>
          <w:b/>
          <w:color w:val="385623"/>
          <w:szCs w:val="22"/>
          <w:lang w:val="en-AU" w:eastAsia="ko-KR"/>
        </w:rPr>
        <w:t>What is gender analysis?</w:t>
      </w:r>
      <w:r w:rsidRPr="00071944">
        <w:rPr>
          <w:rFonts w:ascii="Calibri" w:eastAsia="Malgun Gothic" w:hAnsi="Calibri" w:cs="Times New Roman"/>
          <w:color w:val="385623"/>
          <w:szCs w:val="22"/>
          <w:lang w:val="en-AU" w:eastAsia="ko-KR"/>
        </w:rPr>
        <w:t xml:space="preserve"> </w:t>
      </w:r>
      <w:r w:rsidRPr="00071944">
        <w:rPr>
          <w:rFonts w:ascii="Calibri" w:eastAsia="Malgun Gothic" w:hAnsi="Calibri" w:cs="Times New Roman"/>
          <w:szCs w:val="22"/>
          <w:lang w:val="en-AU" w:eastAsia="ko-KR"/>
        </w:rPr>
        <w:t>outlines the background and key concepts in gender analysis.</w:t>
      </w:r>
    </w:p>
    <w:p w14:paraId="1E2E54F4" w14:textId="77777777" w:rsidR="00071944" w:rsidRPr="00071944" w:rsidRDefault="00071944" w:rsidP="00242C10">
      <w:pPr>
        <w:numPr>
          <w:ilvl w:val="0"/>
          <w:numId w:val="5"/>
        </w:numPr>
        <w:spacing w:line="240" w:lineRule="auto"/>
        <w:ind w:left="357" w:hanging="357"/>
        <w:jc w:val="left"/>
        <w:rPr>
          <w:rFonts w:ascii="Calibri" w:eastAsia="Malgun Gothic" w:hAnsi="Calibri" w:cs="Times New Roman"/>
          <w:szCs w:val="22"/>
          <w:lang w:val="en-AU" w:eastAsia="ko-KR"/>
        </w:rPr>
      </w:pPr>
      <w:r w:rsidRPr="00071944">
        <w:rPr>
          <w:rFonts w:ascii="Calibri" w:eastAsia="Malgun Gothic" w:hAnsi="Calibri" w:cs="Times New Roman"/>
          <w:b/>
          <w:color w:val="385623"/>
          <w:szCs w:val="22"/>
          <w:lang w:val="en-AU" w:eastAsia="ko-KR"/>
        </w:rPr>
        <w:t>Why is gender analysis necessary?</w:t>
      </w:r>
      <w:r w:rsidRPr="00071944">
        <w:rPr>
          <w:rFonts w:ascii="Calibri" w:eastAsia="Malgun Gothic" w:hAnsi="Calibri" w:cs="Times New Roman"/>
          <w:szCs w:val="22"/>
          <w:lang w:val="en-AU" w:eastAsia="ko-KR"/>
        </w:rPr>
        <w:t xml:space="preserve"> presents our obligations to gender equality, and the benefits of gender analysis.</w:t>
      </w:r>
    </w:p>
    <w:p w14:paraId="727DE915" w14:textId="561ABB1D" w:rsidR="00071944" w:rsidRPr="00071944" w:rsidRDefault="00071944" w:rsidP="00242C10">
      <w:pPr>
        <w:numPr>
          <w:ilvl w:val="0"/>
          <w:numId w:val="5"/>
        </w:numPr>
        <w:spacing w:line="240" w:lineRule="auto"/>
        <w:ind w:left="357" w:hanging="357"/>
        <w:jc w:val="left"/>
        <w:rPr>
          <w:rFonts w:ascii="Calibri" w:eastAsia="Malgun Gothic" w:hAnsi="Calibri" w:cs="Times New Roman"/>
          <w:szCs w:val="22"/>
          <w:lang w:val="en-AU" w:eastAsia="ko-KR"/>
        </w:rPr>
      </w:pPr>
      <w:r w:rsidRPr="00071944">
        <w:rPr>
          <w:rFonts w:ascii="Calibri" w:eastAsia="Malgun Gothic" w:hAnsi="Calibri" w:cs="Times New Roman"/>
          <w:b/>
          <w:color w:val="385623"/>
          <w:szCs w:val="22"/>
          <w:lang w:val="en-AU" w:eastAsia="ko-KR"/>
        </w:rPr>
        <w:t>How do I carry out a gender analysis?</w:t>
      </w:r>
      <w:r w:rsidRPr="00071944">
        <w:rPr>
          <w:rFonts w:ascii="Calibri" w:eastAsia="Malgun Gothic" w:hAnsi="Calibri" w:cs="Times New Roman"/>
          <w:szCs w:val="22"/>
          <w:lang w:val="en-AU" w:eastAsia="ko-KR"/>
        </w:rPr>
        <w:t xml:space="preserve"> provides step-by-step guidance </w:t>
      </w:r>
      <w:r w:rsidR="00A40F92">
        <w:rPr>
          <w:rFonts w:ascii="Calibri" w:eastAsia="Malgun Gothic" w:hAnsi="Calibri" w:cs="Times New Roman"/>
          <w:szCs w:val="22"/>
          <w:lang w:val="en-AU" w:eastAsia="ko-KR"/>
        </w:rPr>
        <w:t>on</w:t>
      </w:r>
      <w:r w:rsidRPr="00071944">
        <w:rPr>
          <w:rFonts w:ascii="Calibri" w:eastAsia="Malgun Gothic" w:hAnsi="Calibri" w:cs="Times New Roman"/>
          <w:szCs w:val="22"/>
          <w:lang w:val="en-AU" w:eastAsia="ko-KR"/>
        </w:rPr>
        <w:t xml:space="preserve"> gender analysis within the policy, program or service development cycles.</w:t>
      </w:r>
    </w:p>
    <w:p w14:paraId="6363BFAA" w14:textId="77777777" w:rsidR="00071944" w:rsidRPr="00071944" w:rsidRDefault="00071944" w:rsidP="00242C10">
      <w:pPr>
        <w:numPr>
          <w:ilvl w:val="0"/>
          <w:numId w:val="5"/>
        </w:numPr>
        <w:spacing w:line="240" w:lineRule="auto"/>
        <w:ind w:left="357" w:hanging="357"/>
        <w:jc w:val="left"/>
        <w:rPr>
          <w:rFonts w:ascii="Calibri" w:eastAsia="Malgun Gothic" w:hAnsi="Calibri" w:cs="Times New Roman"/>
          <w:szCs w:val="22"/>
          <w:lang w:val="en-AU" w:eastAsia="ko-KR"/>
        </w:rPr>
      </w:pPr>
      <w:r w:rsidRPr="00071944">
        <w:rPr>
          <w:rFonts w:ascii="Calibri" w:eastAsia="Malgun Gothic" w:hAnsi="Calibri" w:cs="Times New Roman"/>
          <w:b/>
          <w:color w:val="385623"/>
          <w:szCs w:val="22"/>
          <w:lang w:val="en-AU" w:eastAsia="ko-KR"/>
        </w:rPr>
        <w:t>How do I advocate for gender analysis?</w:t>
      </w:r>
      <w:r w:rsidRPr="00071944">
        <w:rPr>
          <w:rFonts w:ascii="Calibri" w:eastAsia="Malgun Gothic" w:hAnsi="Calibri" w:cs="Times New Roman"/>
          <w:szCs w:val="22"/>
          <w:lang w:val="en-AU" w:eastAsia="ko-KR"/>
        </w:rPr>
        <w:t xml:space="preserve"> provides strategies for promoting gender perspectives and equality and responding to resistance to gender analysis.</w:t>
      </w:r>
    </w:p>
    <w:p w14:paraId="3285D5C6" w14:textId="77777777" w:rsidR="00071944" w:rsidRPr="00071944" w:rsidRDefault="00071944" w:rsidP="00242C10">
      <w:pPr>
        <w:numPr>
          <w:ilvl w:val="0"/>
          <w:numId w:val="5"/>
        </w:numPr>
        <w:spacing w:line="240" w:lineRule="auto"/>
        <w:ind w:left="357" w:hanging="357"/>
        <w:jc w:val="left"/>
        <w:rPr>
          <w:lang w:val="en-AU"/>
        </w:rPr>
      </w:pPr>
      <w:r w:rsidRPr="00071944">
        <w:rPr>
          <w:rFonts w:ascii="Calibri" w:eastAsia="Malgun Gothic" w:hAnsi="Calibri" w:cs="Times New Roman"/>
          <w:b/>
          <w:color w:val="385623"/>
          <w:szCs w:val="22"/>
          <w:lang w:val="en-AU" w:eastAsia="ko-KR"/>
        </w:rPr>
        <w:t>Gender analysis template</w:t>
      </w:r>
      <w:r w:rsidRPr="00071944">
        <w:rPr>
          <w:rFonts w:ascii="Calibri" w:eastAsia="Malgun Gothic" w:hAnsi="Calibri" w:cs="Times New Roman"/>
          <w:color w:val="385623"/>
          <w:szCs w:val="22"/>
          <w:lang w:val="en-AU" w:eastAsia="ko-KR"/>
        </w:rPr>
        <w:t xml:space="preserve"> </w:t>
      </w:r>
      <w:r w:rsidRPr="00071944">
        <w:rPr>
          <w:rFonts w:ascii="Calibri" w:eastAsia="Malgun Gothic" w:hAnsi="Calibri" w:cs="Times New Roman"/>
          <w:szCs w:val="22"/>
          <w:lang w:val="en-AU" w:eastAsia="ko-KR"/>
        </w:rPr>
        <w:t>helps apply the understanding and knowledge of gender analysis to your work.</w:t>
      </w:r>
    </w:p>
    <w:p w14:paraId="69AD2A14" w14:textId="57055039" w:rsidR="00146B6C" w:rsidRPr="00146B6C" w:rsidRDefault="00071944" w:rsidP="00242C10">
      <w:pPr>
        <w:numPr>
          <w:ilvl w:val="0"/>
          <w:numId w:val="5"/>
        </w:numPr>
        <w:spacing w:line="240" w:lineRule="auto"/>
        <w:ind w:left="357" w:hanging="357"/>
        <w:jc w:val="left"/>
        <w:rPr>
          <w:lang w:val="en-AU"/>
        </w:rPr>
      </w:pPr>
      <w:r w:rsidRPr="00071944">
        <w:rPr>
          <w:rFonts w:ascii="Calibri" w:eastAsia="Malgun Gothic" w:hAnsi="Calibri" w:cs="Times New Roman"/>
          <w:b/>
          <w:color w:val="385623"/>
          <w:szCs w:val="22"/>
          <w:lang w:val="en-AU" w:eastAsia="ko-KR"/>
        </w:rPr>
        <w:t xml:space="preserve">Further information and feedback </w:t>
      </w:r>
      <w:r w:rsidRPr="00071944">
        <w:rPr>
          <w:rFonts w:ascii="Calibri" w:eastAsia="Malgun Gothic" w:hAnsi="Calibri" w:cs="Times New Roman"/>
          <w:szCs w:val="22"/>
          <w:lang w:val="en-AU" w:eastAsia="ko-KR"/>
        </w:rPr>
        <w:t>presents valuable links and resources about gender analysis</w:t>
      </w:r>
      <w:r w:rsidR="007F0768">
        <w:rPr>
          <w:rFonts w:ascii="Calibri" w:eastAsia="Malgun Gothic" w:hAnsi="Calibri" w:cs="Times New Roman"/>
          <w:szCs w:val="22"/>
          <w:lang w:val="en-AU" w:eastAsia="ko-KR"/>
        </w:rPr>
        <w:t>, and a feedback form.</w:t>
      </w:r>
    </w:p>
    <w:p w14:paraId="2FA6982A" w14:textId="631510F8" w:rsidR="00FE176D" w:rsidRPr="005D4B83" w:rsidRDefault="00A40F92" w:rsidP="005D4B83">
      <w:pPr>
        <w:spacing w:after="240" w:line="240" w:lineRule="auto"/>
        <w:jc w:val="left"/>
        <w:rPr>
          <w:rFonts w:ascii="Calibri" w:eastAsia="Malgun Gothic" w:hAnsi="Calibri" w:cs="Times New Roman"/>
          <w:szCs w:val="22"/>
          <w:lang w:val="en-AU" w:eastAsia="ko-KR"/>
        </w:rPr>
      </w:pPr>
      <w:r w:rsidRPr="00A40F92">
        <w:rPr>
          <w:rFonts w:ascii="Calibri" w:eastAsia="Malgun Gothic" w:hAnsi="Calibri" w:cs="Times New Roman"/>
          <w:szCs w:val="22"/>
          <w:lang w:val="en-AU" w:eastAsia="ko-KR"/>
        </w:rPr>
        <w:t xml:space="preserve">For any questions or concerns about the toolkit, please contact the Queensland Government’s Office for Women. It can assist you with information and further direction (email: </w:t>
      </w:r>
      <w:hyperlink r:id="rId18" w:history="1">
        <w:r w:rsidRPr="00A40F92">
          <w:rPr>
            <w:rFonts w:ascii="Calibri" w:eastAsia="Malgun Gothic" w:hAnsi="Calibri" w:cs="Times New Roman"/>
            <w:color w:val="0000FF"/>
            <w:szCs w:val="22"/>
            <w:u w:val="single"/>
            <w:lang w:val="en-AU" w:eastAsia="ko-KR"/>
          </w:rPr>
          <w:t>women@qld.gov.au</w:t>
        </w:r>
      </w:hyperlink>
      <w:r w:rsidRPr="00A40F92">
        <w:rPr>
          <w:rFonts w:ascii="Calibri" w:eastAsia="Malgun Gothic" w:hAnsi="Calibri" w:cs="Times New Roman"/>
          <w:szCs w:val="22"/>
          <w:lang w:val="en-AU" w:eastAsia="ko-KR"/>
        </w:rPr>
        <w:t>).</w:t>
      </w:r>
      <w:r w:rsidR="00FE176D">
        <w:rPr>
          <w:lang w:val="en-AU"/>
        </w:rPr>
        <w:br w:type="page"/>
      </w:r>
    </w:p>
    <w:p w14:paraId="316AC70F" w14:textId="0C1B2801" w:rsidR="00410F9F" w:rsidRPr="00410F9F" w:rsidRDefault="00410F9F" w:rsidP="00B76666">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240" w:line="240" w:lineRule="auto"/>
        <w:jc w:val="left"/>
        <w:rPr>
          <w:rFonts w:eastAsia="Malgun Gothic" w:cs="Arial"/>
          <w:color w:val="385623"/>
          <w:szCs w:val="22"/>
          <w:lang w:val="en-AU" w:eastAsia="ko-KR"/>
        </w:rPr>
      </w:pPr>
      <w:r w:rsidRPr="00410F9F">
        <w:rPr>
          <w:rFonts w:ascii="Calibri" w:eastAsia="Malgun Gothic" w:hAnsi="Calibri" w:cs="Times New Roman"/>
          <w:b/>
          <w:color w:val="385623"/>
          <w:sz w:val="40"/>
          <w:szCs w:val="40"/>
          <w:lang w:val="en-AU" w:eastAsia="ko-KR"/>
        </w:rPr>
        <w:lastRenderedPageBreak/>
        <w:t>GENDER ANALYSIS – Key terms</w:t>
      </w:r>
      <w:r w:rsidR="005D4B83" w:rsidRPr="00977BC1">
        <w:rPr>
          <w:rFonts w:ascii="Calibri" w:eastAsia="Malgun Gothic" w:hAnsi="Calibri" w:cs="Times New Roman"/>
          <w:b/>
          <w:color w:val="385623"/>
          <w:sz w:val="40"/>
          <w:szCs w:val="40"/>
          <w:lang w:val="en-AU" w:eastAsia="ko-KR"/>
        </w:rPr>
        <w:t xml:space="preserve">                          </w:t>
      </w:r>
      <w:r w:rsidRPr="00977BC1">
        <w:rPr>
          <w:rFonts w:ascii="Calibri" w:eastAsia="Malgun Gothic" w:hAnsi="Calibri" w:cs="Times New Roman"/>
          <w:b/>
          <w:color w:val="385623"/>
          <w:sz w:val="40"/>
          <w:szCs w:val="40"/>
          <w:lang w:val="en-AU" w:eastAsia="ko-KR"/>
        </w:rPr>
        <w:t xml:space="preserve"> </w:t>
      </w:r>
      <w:r w:rsidR="005D4B83">
        <w:rPr>
          <w:rFonts w:ascii="Calibri" w:eastAsia="Malgun Gothic" w:hAnsi="Calibri" w:cs="Times New Roman"/>
          <w:b/>
          <w:noProof/>
          <w:color w:val="385623"/>
          <w:sz w:val="40"/>
          <w:szCs w:val="40"/>
          <w:lang w:val="en-AU" w:eastAsia="ko-KR"/>
        </w:rPr>
        <w:drawing>
          <wp:inline distT="0" distB="0" distL="0" distR="0" wp14:anchorId="76F8D718" wp14:editId="0D214DBA">
            <wp:extent cx="871855" cy="871855"/>
            <wp:effectExtent l="0" t="0" r="444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pic:spPr>
                </pic:pic>
              </a:graphicData>
            </a:graphic>
          </wp:inline>
        </w:drawing>
      </w:r>
    </w:p>
    <w:p w14:paraId="5A22CDA5" w14:textId="752A8969" w:rsidR="00410F9F" w:rsidRPr="00410F9F" w:rsidRDefault="00410F9F" w:rsidP="00410F9F">
      <w:pPr>
        <w:keepNext/>
        <w:keepLines/>
        <w:spacing w:before="100" w:beforeAutospacing="1" w:after="100" w:afterAutospacing="1" w:line="240" w:lineRule="auto"/>
        <w:jc w:val="left"/>
        <w:outlineLvl w:val="2"/>
        <w:rPr>
          <w:rFonts w:ascii="Calibri Light" w:eastAsia="Malgun Gothic" w:hAnsi="Calibri Light" w:cs="Times New Roman"/>
          <w:color w:val="1F4D78"/>
          <w:sz w:val="24"/>
          <w:lang w:val="en-AU" w:eastAsia="ko-KR"/>
        </w:rPr>
      </w:pPr>
      <w:r w:rsidRPr="00410F9F">
        <w:rPr>
          <w:rFonts w:ascii="Calibri Light" w:eastAsia="Malgun Gothic" w:hAnsi="Calibri Light" w:cs="Times New Roman"/>
          <w:b/>
          <w:color w:val="385623"/>
          <w:sz w:val="28"/>
          <w:szCs w:val="28"/>
          <w:lang w:val="en-AU" w:eastAsia="ko-KR"/>
        </w:rPr>
        <w:t>Key terms to consider</w:t>
      </w:r>
      <w:r>
        <w:rPr>
          <w:rFonts w:ascii="Calibri Light" w:eastAsia="Malgun Gothic" w:hAnsi="Calibri Light" w:cs="Times New Roman"/>
          <w:b/>
          <w:color w:val="385623"/>
          <w:sz w:val="28"/>
          <w:szCs w:val="28"/>
          <w:lang w:val="en-AU" w:eastAsia="ko-KR"/>
        </w:rPr>
        <w:t xml:space="preserve">: </w:t>
      </w:r>
      <w:r w:rsidR="00005F0B">
        <w:rPr>
          <w:rFonts w:ascii="Calibri Light" w:eastAsia="Malgun Gothic" w:hAnsi="Calibri Light" w:cs="Times New Roman"/>
          <w:b/>
          <w:color w:val="385623"/>
          <w:sz w:val="28"/>
          <w:szCs w:val="28"/>
          <w:lang w:val="en-AU" w:eastAsia="ko-KR"/>
        </w:rPr>
        <w:t>gender, analysis</w:t>
      </w:r>
      <w:r>
        <w:rPr>
          <w:rFonts w:ascii="Calibri Light" w:eastAsia="Malgun Gothic" w:hAnsi="Calibri Light" w:cs="Times New Roman"/>
          <w:b/>
          <w:color w:val="385623"/>
          <w:sz w:val="28"/>
          <w:szCs w:val="28"/>
          <w:lang w:val="en-AU" w:eastAsia="ko-KR"/>
        </w:rPr>
        <w:t>, and gender equality</w:t>
      </w:r>
      <w:r w:rsidRPr="00410F9F">
        <w:rPr>
          <w:rFonts w:ascii="Calibri Light" w:eastAsia="Malgun Gothic" w:hAnsi="Calibri Light" w:cs="Times New Roman"/>
          <w:color w:val="385623"/>
          <w:szCs w:val="22"/>
          <w:vertAlign w:val="superscript"/>
          <w:lang w:val="en-AU" w:eastAsia="ko-KR"/>
        </w:rPr>
        <w:endnoteReference w:id="3"/>
      </w:r>
    </w:p>
    <w:p w14:paraId="04381E2B" w14:textId="77777777" w:rsidR="00410F9F" w:rsidRPr="00410F9F" w:rsidRDefault="00410F9F" w:rsidP="00410F9F">
      <w:pPr>
        <w:spacing w:after="240" w:line="240" w:lineRule="auto"/>
        <w:jc w:val="left"/>
        <w:rPr>
          <w:rFonts w:ascii="Calibri" w:eastAsia="Malgun Gothic" w:hAnsi="Calibri" w:cs="Times New Roman"/>
          <w:szCs w:val="22"/>
          <w:lang w:val="en-AU" w:eastAsia="ko-KR"/>
        </w:rPr>
      </w:pPr>
      <w:r w:rsidRPr="00410F9F">
        <w:rPr>
          <w:rFonts w:ascii="Calibri" w:eastAsia="Malgun Gothic" w:hAnsi="Calibri" w:cs="Times New Roman"/>
          <w:szCs w:val="22"/>
          <w:lang w:val="en-AU" w:eastAsia="ko-KR"/>
        </w:rPr>
        <w:t>The term ‘</w:t>
      </w:r>
      <w:r w:rsidRPr="00410F9F">
        <w:rPr>
          <w:rFonts w:ascii="Calibri" w:eastAsia="Malgun Gothic" w:hAnsi="Calibri" w:cs="Times New Roman"/>
          <w:b/>
          <w:color w:val="385623"/>
          <w:szCs w:val="22"/>
          <w:lang w:val="en-AU" w:eastAsia="ko-KR"/>
        </w:rPr>
        <w:t>gender</w:t>
      </w:r>
      <w:r w:rsidRPr="00410F9F">
        <w:rPr>
          <w:rFonts w:ascii="Calibri" w:eastAsia="Malgun Gothic" w:hAnsi="Calibri" w:cs="Times New Roman"/>
          <w:color w:val="385623"/>
          <w:szCs w:val="22"/>
          <w:lang w:val="en-AU" w:eastAsia="ko-KR"/>
        </w:rPr>
        <w:t xml:space="preserve">’ </w:t>
      </w:r>
      <w:r w:rsidRPr="00410F9F">
        <w:rPr>
          <w:rFonts w:ascii="Calibri" w:eastAsia="Malgun Gothic" w:hAnsi="Calibri" w:cs="Times New Roman"/>
          <w:szCs w:val="22"/>
          <w:lang w:val="en-AU" w:eastAsia="ko-KR"/>
        </w:rPr>
        <w:t>is different from ‘sex’, which identifies the biological and physical differences between females and males.</w:t>
      </w:r>
    </w:p>
    <w:p w14:paraId="77EA0852" w14:textId="77777777" w:rsidR="00410F9F" w:rsidRPr="00410F9F" w:rsidRDefault="00410F9F" w:rsidP="00410F9F">
      <w:pPr>
        <w:spacing w:after="240" w:line="240" w:lineRule="auto"/>
        <w:jc w:val="left"/>
        <w:rPr>
          <w:rFonts w:ascii="Calibri" w:eastAsia="Malgun Gothic" w:hAnsi="Calibri" w:cs="Times New Roman"/>
          <w:szCs w:val="22"/>
          <w:lang w:val="en-AU" w:eastAsia="ko-KR"/>
        </w:rPr>
      </w:pPr>
      <w:r w:rsidRPr="00410F9F">
        <w:rPr>
          <w:rFonts w:ascii="Calibri" w:eastAsia="Malgun Gothic" w:hAnsi="Calibri" w:cs="Times New Roman"/>
          <w:szCs w:val="22"/>
          <w:lang w:val="en-AU" w:eastAsia="ko-KR"/>
        </w:rPr>
        <w:t xml:space="preserve">Gender refers to the social identities associated with being female, male or other gender identities. These social identities are learned by social and cultural systems, beliefs and attitudes. For example, people of different genders face different expectations about how they should behave or dress. </w:t>
      </w:r>
    </w:p>
    <w:p w14:paraId="684E3489" w14:textId="77777777" w:rsidR="00410F9F" w:rsidRPr="00410F9F" w:rsidRDefault="00410F9F" w:rsidP="00410F9F">
      <w:pPr>
        <w:spacing w:after="240" w:line="240" w:lineRule="auto"/>
        <w:jc w:val="left"/>
        <w:rPr>
          <w:rFonts w:ascii="Calibri" w:eastAsia="Malgun Gothic" w:hAnsi="Calibri" w:cs="Times New Roman"/>
          <w:szCs w:val="22"/>
          <w:lang w:val="en-AU" w:eastAsia="ko-KR"/>
        </w:rPr>
      </w:pPr>
      <w:r w:rsidRPr="00410F9F">
        <w:rPr>
          <w:rFonts w:ascii="Calibri" w:eastAsia="Malgun Gothic" w:hAnsi="Calibri" w:cs="Times New Roman"/>
          <w:szCs w:val="22"/>
          <w:lang w:val="en-AU" w:eastAsia="ko-KR"/>
        </w:rPr>
        <w:t xml:space="preserve">Gender is also used when looking at relations between and among people of different genders. These relations determine what is expected, allowed and valued in a woman or a man, compared with others in a particular group, whether it be a family, workplace or the public. </w:t>
      </w:r>
    </w:p>
    <w:p w14:paraId="1B426AA0" w14:textId="77777777" w:rsidR="00410F9F" w:rsidRPr="00410F9F" w:rsidRDefault="00410F9F" w:rsidP="00410F9F">
      <w:pPr>
        <w:spacing w:after="240" w:line="240" w:lineRule="auto"/>
        <w:jc w:val="left"/>
        <w:rPr>
          <w:rFonts w:ascii="Calibri" w:eastAsia="Malgun Gothic" w:hAnsi="Calibri" w:cs="Times New Roman"/>
          <w:szCs w:val="22"/>
          <w:lang w:val="en-AU" w:eastAsia="ko-KR"/>
        </w:rPr>
      </w:pPr>
      <w:r w:rsidRPr="00410F9F">
        <w:rPr>
          <w:rFonts w:ascii="Calibri" w:eastAsia="Malgun Gothic" w:hAnsi="Calibri" w:cs="Times New Roman"/>
          <w:szCs w:val="22"/>
          <w:lang w:val="en-AU" w:eastAsia="ko-KR"/>
        </w:rPr>
        <w:t>For example, in general women are more likely than men to spend time on unpaid domestic activities and caring work. Also, women from low socioeconomic backgrounds are more likely to face multiple levels of disadvantage, than women from high socioeconomic backgrounds.</w:t>
      </w:r>
    </w:p>
    <w:p w14:paraId="5E014375" w14:textId="77777777" w:rsidR="00410F9F" w:rsidRPr="00410F9F" w:rsidRDefault="00410F9F" w:rsidP="00410F9F">
      <w:pPr>
        <w:spacing w:after="240" w:line="240" w:lineRule="auto"/>
        <w:jc w:val="left"/>
        <w:rPr>
          <w:rFonts w:ascii="Calibri" w:eastAsia="Malgun Gothic" w:hAnsi="Calibri" w:cs="Times New Roman"/>
          <w:szCs w:val="22"/>
          <w:lang w:val="en-AU" w:eastAsia="ko-KR"/>
        </w:rPr>
      </w:pPr>
      <w:r w:rsidRPr="00410F9F">
        <w:rPr>
          <w:rFonts w:ascii="Calibri" w:eastAsia="Malgun Gothic" w:hAnsi="Calibri" w:cs="Times New Roman"/>
          <w:szCs w:val="22"/>
          <w:lang w:val="en-AU" w:eastAsia="ko-KR"/>
        </w:rPr>
        <w:t>Gender can be applied to all other socio-cultural variables such as class, race, age, disability, religion, and sexual orientation or sexuality.</w:t>
      </w:r>
    </w:p>
    <w:p w14:paraId="7185B658" w14:textId="77777777" w:rsidR="00410F9F" w:rsidRPr="00410F9F" w:rsidRDefault="00410F9F" w:rsidP="00410F9F">
      <w:pPr>
        <w:spacing w:after="240" w:line="240" w:lineRule="auto"/>
        <w:jc w:val="left"/>
        <w:rPr>
          <w:rFonts w:ascii="Calibri" w:eastAsia="Malgun Gothic" w:hAnsi="Calibri" w:cs="Times New Roman"/>
          <w:szCs w:val="22"/>
          <w:lang w:val="en-AU" w:eastAsia="ko-KR"/>
        </w:rPr>
      </w:pPr>
      <w:r w:rsidRPr="00410F9F">
        <w:rPr>
          <w:rFonts w:ascii="Calibri" w:eastAsia="Malgun Gothic" w:hAnsi="Calibri" w:cs="Times New Roman"/>
          <w:szCs w:val="22"/>
          <w:lang w:val="en-AU" w:eastAsia="ko-KR"/>
        </w:rPr>
        <w:t>Gender characteristics vary widely within different contexts and societies, and change over time. Because gender attributes are learned and changeable, they may also change in ways that make a society more just and equitable.</w:t>
      </w:r>
      <w:r w:rsidRPr="00410F9F">
        <w:rPr>
          <w:rFonts w:ascii="Calibri" w:eastAsia="Malgun Gothic" w:hAnsi="Calibri" w:cs="Times New Roman"/>
          <w:szCs w:val="22"/>
          <w:vertAlign w:val="superscript"/>
          <w:lang w:val="en-AU" w:eastAsia="ko-KR"/>
        </w:rPr>
        <w:endnoteReference w:id="4"/>
      </w:r>
    </w:p>
    <w:p w14:paraId="31B13BD1" w14:textId="77777777" w:rsidR="00410F9F" w:rsidRPr="00410F9F" w:rsidRDefault="00410F9F" w:rsidP="00410F9F">
      <w:pPr>
        <w:spacing w:after="240" w:line="240" w:lineRule="auto"/>
        <w:jc w:val="left"/>
        <w:rPr>
          <w:rFonts w:ascii="Calibri" w:eastAsia="Malgun Gothic" w:hAnsi="Calibri" w:cs="Times New Roman"/>
          <w:szCs w:val="22"/>
          <w:lang w:val="en-AU" w:eastAsia="ko-KR"/>
        </w:rPr>
      </w:pPr>
      <w:r w:rsidRPr="00410F9F">
        <w:rPr>
          <w:rFonts w:ascii="Calibri" w:eastAsia="Malgun Gothic" w:hAnsi="Calibri" w:cs="Times New Roman"/>
          <w:b/>
          <w:color w:val="385623"/>
          <w:szCs w:val="22"/>
          <w:lang w:val="en-AU" w:eastAsia="ko-KR"/>
        </w:rPr>
        <w:t>Analysis</w:t>
      </w:r>
      <w:r w:rsidRPr="00410F9F">
        <w:rPr>
          <w:rFonts w:ascii="Calibri" w:eastAsia="Malgun Gothic" w:hAnsi="Calibri" w:cs="Times New Roman"/>
          <w:szCs w:val="22"/>
          <w:lang w:val="en-AU" w:eastAsia="ko-KR"/>
        </w:rPr>
        <w:t xml:space="preserve"> is defined as separating something into its basic elements, and studying its nature to learn its essential features.</w:t>
      </w:r>
      <w:r w:rsidRPr="00410F9F">
        <w:rPr>
          <w:rFonts w:ascii="Calibri" w:eastAsia="Malgun Gothic" w:hAnsi="Calibri" w:cs="Times New Roman"/>
          <w:szCs w:val="22"/>
          <w:vertAlign w:val="superscript"/>
          <w:lang w:val="en-AU" w:eastAsia="ko-KR"/>
        </w:rPr>
        <w:endnoteReference w:id="5"/>
      </w:r>
    </w:p>
    <w:p w14:paraId="77507F7D" w14:textId="77777777" w:rsidR="00410F9F" w:rsidRPr="00410F9F" w:rsidRDefault="00410F9F" w:rsidP="00410F9F">
      <w:pPr>
        <w:spacing w:after="240" w:line="240" w:lineRule="auto"/>
        <w:jc w:val="left"/>
        <w:rPr>
          <w:rFonts w:ascii="Calibri" w:eastAsia="Malgun Gothic" w:hAnsi="Calibri" w:cs="Times New Roman"/>
          <w:szCs w:val="22"/>
          <w:lang w:val="en-AU" w:eastAsia="ko-KR"/>
        </w:rPr>
      </w:pPr>
      <w:r w:rsidRPr="00410F9F">
        <w:rPr>
          <w:rFonts w:ascii="Calibri" w:eastAsia="Malgun Gothic" w:hAnsi="Calibri" w:cs="Times New Roman"/>
          <w:b/>
          <w:color w:val="385623"/>
          <w:szCs w:val="22"/>
          <w:lang w:val="en-AU" w:eastAsia="ko-KR"/>
        </w:rPr>
        <w:t>Gender equality</w:t>
      </w:r>
      <w:r w:rsidRPr="00410F9F">
        <w:rPr>
          <w:rFonts w:ascii="Calibri" w:eastAsia="Malgun Gothic" w:hAnsi="Calibri" w:cs="Times New Roman"/>
          <w:color w:val="385623"/>
          <w:szCs w:val="22"/>
          <w:lang w:val="en-AU" w:eastAsia="ko-KR"/>
        </w:rPr>
        <w:t xml:space="preserve"> </w:t>
      </w:r>
      <w:r w:rsidRPr="00410F9F">
        <w:rPr>
          <w:rFonts w:ascii="Calibri" w:eastAsia="Malgun Gothic" w:hAnsi="Calibri" w:cs="Times New Roman"/>
          <w:szCs w:val="22"/>
          <w:lang w:val="en-AU" w:eastAsia="ko-KR"/>
        </w:rPr>
        <w:t xml:space="preserve">occurs when people of all genders enjoy the same rights, responsibilities and opportunities. Gender equality does </w:t>
      </w:r>
      <w:r w:rsidRPr="00410F9F">
        <w:rPr>
          <w:rFonts w:ascii="Calibri" w:eastAsia="Malgun Gothic" w:hAnsi="Calibri" w:cs="Times New Roman"/>
          <w:szCs w:val="22"/>
          <w:u w:val="single"/>
          <w:lang w:val="en-AU" w:eastAsia="ko-KR"/>
        </w:rPr>
        <w:t>not</w:t>
      </w:r>
      <w:r w:rsidRPr="00410F9F">
        <w:rPr>
          <w:rFonts w:ascii="Calibri" w:eastAsia="Malgun Gothic" w:hAnsi="Calibri" w:cs="Times New Roman"/>
          <w:szCs w:val="22"/>
          <w:lang w:val="en-AU" w:eastAsia="ko-KR"/>
        </w:rPr>
        <w:t xml:space="preserve"> mean that people with different gender identities will become the same. It means that someone’s rights, responsibilities and opportunities will not depend on whether they are born, or identify as, female, male or another gender identity. </w:t>
      </w:r>
    </w:p>
    <w:p w14:paraId="6637D1F3" w14:textId="77777777" w:rsidR="00410F9F" w:rsidRPr="00410F9F" w:rsidRDefault="00410F9F" w:rsidP="00410F9F">
      <w:pPr>
        <w:spacing w:after="240" w:line="240" w:lineRule="auto"/>
        <w:jc w:val="left"/>
        <w:rPr>
          <w:rFonts w:ascii="Calibri" w:eastAsia="Malgun Gothic" w:hAnsi="Calibri" w:cs="Times New Roman"/>
          <w:szCs w:val="22"/>
          <w:lang w:val="en" w:eastAsia="ko-KR"/>
        </w:rPr>
      </w:pPr>
      <w:r w:rsidRPr="00410F9F">
        <w:rPr>
          <w:rFonts w:ascii="Calibri" w:eastAsia="Malgun Gothic" w:hAnsi="Calibri" w:cs="Times New Roman"/>
          <w:szCs w:val="22"/>
          <w:lang w:val="en" w:eastAsia="ko-KR"/>
        </w:rPr>
        <w:t xml:space="preserve">Gender equality concerns and fully engages people of all genders, including men and boys. It ensures that the interests, needs and priorities of people of all gender identities are taken into account across society, while recognising the diversity of different groups of women, men and gender diverse people. </w:t>
      </w:r>
    </w:p>
    <w:p w14:paraId="067E34B7" w14:textId="77777777" w:rsidR="00410F9F" w:rsidRPr="00410F9F" w:rsidRDefault="00410F9F" w:rsidP="00410F9F">
      <w:pPr>
        <w:spacing w:after="240" w:line="240" w:lineRule="auto"/>
        <w:jc w:val="left"/>
        <w:rPr>
          <w:rFonts w:ascii="Calibri" w:eastAsia="Malgun Gothic" w:hAnsi="Calibri" w:cs="Times New Roman"/>
          <w:szCs w:val="22"/>
          <w:lang w:val="en" w:eastAsia="ko-KR"/>
        </w:rPr>
      </w:pPr>
      <w:r w:rsidRPr="00410F9F">
        <w:rPr>
          <w:rFonts w:ascii="Calibri" w:eastAsia="Malgun Gothic" w:hAnsi="Calibri" w:cs="Times New Roman"/>
          <w:szCs w:val="22"/>
          <w:lang w:val="en" w:eastAsia="ko-KR"/>
        </w:rPr>
        <w:t>Gender equality also includes both quantitative and qualitative aspects. For example, the equal representation of women and men in all areas of society (quantitative), and equal weight to the values, knowledge, experience and priorities of both women and men (qualitative).</w:t>
      </w:r>
    </w:p>
    <w:p w14:paraId="7991120E" w14:textId="32B9175D" w:rsidR="00FE176D" w:rsidRDefault="00410F9F" w:rsidP="00410F9F">
      <w:pPr>
        <w:spacing w:after="0" w:line="240" w:lineRule="auto"/>
        <w:jc w:val="left"/>
        <w:rPr>
          <w:lang w:val="en-AU"/>
        </w:rPr>
      </w:pPr>
      <w:r w:rsidRPr="00410F9F">
        <w:rPr>
          <w:rFonts w:ascii="Calibri" w:eastAsia="Malgun Gothic" w:hAnsi="Calibri" w:cs="Times New Roman"/>
          <w:szCs w:val="22"/>
          <w:lang w:val="en-AU" w:eastAsia="ko-KR"/>
        </w:rPr>
        <w:t>See the Gender Analysis Glossary at the end of this section for more definitions of useful terms.</w:t>
      </w:r>
    </w:p>
    <w:p w14:paraId="5B102382" w14:textId="556E348A" w:rsidR="00A33FFF" w:rsidRPr="00A33FFF" w:rsidRDefault="00DB1ED6" w:rsidP="00B76666">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240" w:line="240" w:lineRule="auto"/>
        <w:jc w:val="left"/>
        <w:rPr>
          <w:rFonts w:eastAsia="Malgun Gothic" w:cs="Arial"/>
          <w:color w:val="385623"/>
          <w:szCs w:val="22"/>
          <w:lang w:val="en-AU" w:eastAsia="ko-KR"/>
        </w:rPr>
      </w:pPr>
      <w:r w:rsidRPr="00D33074">
        <w:rPr>
          <w:lang w:val="en-AU"/>
        </w:rPr>
        <w:br w:type="page"/>
      </w:r>
      <w:r w:rsidR="00A33FFF" w:rsidRPr="00410F9F">
        <w:rPr>
          <w:rFonts w:ascii="Calibri" w:eastAsia="Malgun Gothic" w:hAnsi="Calibri" w:cs="Times New Roman"/>
          <w:b/>
          <w:color w:val="385623"/>
          <w:sz w:val="40"/>
          <w:szCs w:val="40"/>
          <w:lang w:val="en-AU" w:eastAsia="ko-KR"/>
        </w:rPr>
        <w:lastRenderedPageBreak/>
        <w:t xml:space="preserve">GENDER ANALYSIS – </w:t>
      </w:r>
      <w:r w:rsidR="00A33FFF">
        <w:rPr>
          <w:rFonts w:ascii="Calibri" w:eastAsia="Malgun Gothic" w:hAnsi="Calibri" w:cs="Times New Roman"/>
          <w:b/>
          <w:color w:val="385623"/>
          <w:sz w:val="40"/>
          <w:szCs w:val="40"/>
          <w:lang w:val="en-AU" w:eastAsia="ko-KR"/>
        </w:rPr>
        <w:t>The context and process</w:t>
      </w:r>
      <w:r w:rsidR="00A40F92" w:rsidRPr="00977BC1">
        <w:rPr>
          <w:rFonts w:ascii="Calibri" w:eastAsia="Malgun Gothic" w:hAnsi="Calibri" w:cs="Times New Roman"/>
          <w:b/>
          <w:color w:val="385623"/>
          <w:sz w:val="40"/>
          <w:szCs w:val="40"/>
          <w:lang w:val="en-AU" w:eastAsia="ko-KR"/>
        </w:rPr>
        <w:t xml:space="preserve"> </w:t>
      </w:r>
      <w:r w:rsidR="00A40F92">
        <w:rPr>
          <w:rFonts w:ascii="Calibri" w:eastAsia="Malgun Gothic" w:hAnsi="Calibri" w:cs="Times New Roman"/>
          <w:b/>
          <w:noProof/>
          <w:color w:val="385623"/>
          <w:sz w:val="40"/>
          <w:szCs w:val="40"/>
          <w:lang w:val="en-AU" w:eastAsia="ko-KR"/>
        </w:rPr>
        <w:drawing>
          <wp:inline distT="0" distB="0" distL="0" distR="0" wp14:anchorId="668BEF89" wp14:editId="71BB5C09">
            <wp:extent cx="871855" cy="871855"/>
            <wp:effectExtent l="0"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pic:spPr>
                </pic:pic>
              </a:graphicData>
            </a:graphic>
          </wp:inline>
        </w:drawing>
      </w:r>
    </w:p>
    <w:p w14:paraId="4D2642DF" w14:textId="77777777" w:rsidR="00A33FFF" w:rsidRPr="00A33FFF" w:rsidRDefault="00A33FFF" w:rsidP="00A40F92">
      <w:pPr>
        <w:keepNext/>
        <w:keepLines/>
        <w:spacing w:before="100" w:beforeAutospacing="1" w:after="100" w:afterAutospacing="1" w:line="240" w:lineRule="auto"/>
        <w:jc w:val="left"/>
        <w:outlineLvl w:val="2"/>
        <w:rPr>
          <w:rFonts w:ascii="Calibri Light" w:eastAsia="Malgun Gothic" w:hAnsi="Calibri Light" w:cs="Times New Roman"/>
          <w:b/>
          <w:color w:val="385623"/>
          <w:sz w:val="28"/>
          <w:szCs w:val="28"/>
          <w:lang w:val="en-AU" w:eastAsia="ko-KR"/>
        </w:rPr>
      </w:pPr>
      <w:r w:rsidRPr="00A33FFF">
        <w:rPr>
          <w:rFonts w:ascii="Calibri Light" w:eastAsia="Malgun Gothic" w:hAnsi="Calibri Light" w:cs="Times New Roman"/>
          <w:b/>
          <w:color w:val="385623"/>
          <w:sz w:val="28"/>
          <w:szCs w:val="28"/>
          <w:lang w:val="en-AU" w:eastAsia="ko-KR"/>
        </w:rPr>
        <w:t>Gender mainstreaming</w:t>
      </w:r>
    </w:p>
    <w:p w14:paraId="4FE05148" w14:textId="77777777" w:rsidR="00A33FFF" w:rsidRPr="00A33FFF" w:rsidRDefault="00A33FFF" w:rsidP="00A33FFF">
      <w:pPr>
        <w:spacing w:before="100" w:beforeAutospacing="1" w:after="100" w:afterAutospacing="1" w:line="240" w:lineRule="auto"/>
        <w:jc w:val="left"/>
        <w:rPr>
          <w:rFonts w:ascii="Calibri" w:eastAsia="Malgun Gothic" w:hAnsi="Calibri" w:cs="Times New Roman"/>
          <w:szCs w:val="22"/>
          <w:lang w:val="en-AU" w:eastAsia="ko-KR"/>
        </w:rPr>
      </w:pPr>
      <w:r w:rsidRPr="00A33FFF">
        <w:rPr>
          <w:rFonts w:ascii="Calibri" w:eastAsia="Malgun Gothic" w:hAnsi="Calibri" w:cs="Times New Roman"/>
          <w:szCs w:val="22"/>
          <w:lang w:val="en-AU" w:eastAsia="ko-KR"/>
        </w:rPr>
        <w:t xml:space="preserve">Gender mainstreaming is an international strategy for promoting gender equality in all aspects of society. It was endorsed at the Fourth United Nations World Conference on Women in Beijing in 1995. </w:t>
      </w:r>
    </w:p>
    <w:p w14:paraId="6B9B230D" w14:textId="77777777" w:rsidR="00A33FFF" w:rsidRPr="00A33FFF" w:rsidRDefault="00A33FFF" w:rsidP="00A33FFF">
      <w:pPr>
        <w:spacing w:before="100" w:beforeAutospacing="1" w:after="100" w:afterAutospacing="1" w:line="240" w:lineRule="auto"/>
        <w:jc w:val="left"/>
        <w:rPr>
          <w:rFonts w:ascii="Calibri" w:eastAsia="Malgun Gothic" w:hAnsi="Calibri" w:cs="Times New Roman"/>
          <w:szCs w:val="22"/>
          <w:lang w:val="en-AU" w:eastAsia="ko-KR"/>
        </w:rPr>
      </w:pPr>
      <w:r w:rsidRPr="00A33FFF">
        <w:rPr>
          <w:rFonts w:ascii="Calibri" w:eastAsia="Malgun Gothic" w:hAnsi="Calibri" w:cs="Times New Roman"/>
          <w:szCs w:val="22"/>
          <w:lang w:val="en-AU" w:eastAsia="ko-KR"/>
        </w:rPr>
        <w:t>Since then, the strategy has been gradually adopted by many governments in developing and developed countries, including Australia.</w:t>
      </w:r>
    </w:p>
    <w:p w14:paraId="399C9924" w14:textId="77777777" w:rsidR="00A33FFF" w:rsidRPr="00A33FFF" w:rsidRDefault="00A33FFF" w:rsidP="00A33FFF">
      <w:pPr>
        <w:spacing w:before="100" w:beforeAutospacing="1" w:after="100" w:afterAutospacing="1" w:line="240" w:lineRule="auto"/>
        <w:jc w:val="left"/>
        <w:rPr>
          <w:rFonts w:ascii="Calibri" w:eastAsia="Malgun Gothic" w:hAnsi="Calibri" w:cs="Times New Roman"/>
          <w:szCs w:val="22"/>
          <w:lang w:val="en-AU" w:eastAsia="ko-KR"/>
        </w:rPr>
      </w:pPr>
      <w:r w:rsidRPr="00A33FFF">
        <w:rPr>
          <w:rFonts w:ascii="Calibri" w:eastAsia="Malgun Gothic" w:hAnsi="Calibri" w:cs="Times New Roman"/>
          <w:szCs w:val="22"/>
          <w:lang w:val="en-AU" w:eastAsia="ko-KR"/>
        </w:rPr>
        <w:t>Gender mainstreaming is about bringing the concern for gender equality into the ‘mainstream’ of all activities in society.</w:t>
      </w:r>
      <w:r w:rsidRPr="00A33FFF">
        <w:rPr>
          <w:rFonts w:ascii="Calibri" w:eastAsia="Malgun Gothic" w:hAnsi="Calibri" w:cs="Times New Roman"/>
          <w:szCs w:val="22"/>
          <w:vertAlign w:val="superscript"/>
          <w:lang w:val="en-AU" w:eastAsia="ko-KR"/>
        </w:rPr>
        <w:endnoteReference w:id="6"/>
      </w:r>
      <w:r w:rsidRPr="00A33FFF">
        <w:rPr>
          <w:rFonts w:ascii="Calibri" w:eastAsia="Malgun Gothic" w:hAnsi="Calibri" w:cs="Times New Roman"/>
          <w:szCs w:val="22"/>
          <w:lang w:val="en-AU" w:eastAsia="ko-KR"/>
        </w:rPr>
        <w:t xml:space="preserve"> It means bringing the perceptions, experience, knowledge and interests of people of different genders to bear on all areas of society so that people of all genders can equally influence, participate and benefit. This includes in political, economic, environmental, social, cultural and institutional spheres.</w:t>
      </w:r>
      <w:r w:rsidRPr="00A33FFF">
        <w:rPr>
          <w:rFonts w:ascii="Calibri" w:eastAsia="Malgun Gothic" w:hAnsi="Calibri" w:cs="Times New Roman"/>
          <w:szCs w:val="22"/>
          <w:vertAlign w:val="superscript"/>
          <w:lang w:val="en-AU" w:eastAsia="ko-KR"/>
        </w:rPr>
        <w:endnoteReference w:id="7"/>
      </w:r>
    </w:p>
    <w:p w14:paraId="47ABD7D0" w14:textId="089A053D" w:rsidR="00A33FFF" w:rsidRDefault="00005F0B" w:rsidP="00A33FFF">
      <w:pPr>
        <w:spacing w:before="100" w:beforeAutospacing="1" w:after="100" w:afterAutospacing="1" w:line="240" w:lineRule="auto"/>
        <w:jc w:val="left"/>
        <w:rPr>
          <w:rFonts w:ascii="Calibri" w:eastAsia="Malgun Gothic" w:hAnsi="Calibri" w:cs="Times New Roman"/>
          <w:szCs w:val="22"/>
          <w:lang w:val="en-AU" w:eastAsia="ko-KR"/>
        </w:rPr>
      </w:pPr>
      <w:r w:rsidRPr="00A33FFF">
        <w:rPr>
          <w:rFonts w:ascii="Calibri" w:eastAsia="Malgun Gothic" w:hAnsi="Calibri" w:cs="Times New Roman"/>
          <w:noProof/>
          <w:szCs w:val="22"/>
          <w:lang w:val="en-AU" w:eastAsia="ko-KR"/>
        </w:rPr>
        <mc:AlternateContent>
          <mc:Choice Requires="wps">
            <w:drawing>
              <wp:anchor distT="0" distB="0" distL="114300" distR="114300" simplePos="0" relativeHeight="251687936" behindDoc="1" locked="0" layoutInCell="1" allowOverlap="1" wp14:anchorId="59D6DF24" wp14:editId="037E0692">
                <wp:simplePos x="0" y="0"/>
                <wp:positionH relativeFrom="margin">
                  <wp:posOffset>818515</wp:posOffset>
                </wp:positionH>
                <wp:positionV relativeFrom="margin">
                  <wp:posOffset>4688840</wp:posOffset>
                </wp:positionV>
                <wp:extent cx="4380230" cy="3147060"/>
                <wp:effectExtent l="0" t="0" r="20320" b="15240"/>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230" cy="3147060"/>
                        </a:xfrm>
                        <a:prstGeom prst="rect">
                          <a:avLst/>
                        </a:prstGeom>
                        <a:solidFill>
                          <a:srgbClr val="FFFFFF"/>
                        </a:solidFill>
                        <a:ln w="9525">
                          <a:solidFill>
                            <a:srgbClr val="70AD47">
                              <a:lumMod val="50000"/>
                            </a:srgbClr>
                          </a:solidFill>
                          <a:miter lim="800000"/>
                          <a:headEnd/>
                          <a:tailEnd/>
                        </a:ln>
                      </wps:spPr>
                      <wps:txbx>
                        <w:txbxContent>
                          <w:p w14:paraId="1EEC65CF" w14:textId="77777777" w:rsidR="00BD7507" w:rsidRDefault="00BD7507" w:rsidP="00005F0B">
                            <w:pPr>
                              <w:jc w:val="center"/>
                            </w:pPr>
                            <w:r>
                              <w:rPr>
                                <w:noProof/>
                                <w:lang w:val="en-AU" w:eastAsia="ko-KR"/>
                              </w:rPr>
                              <w:drawing>
                                <wp:inline distT="0" distB="0" distL="0" distR="0" wp14:anchorId="223CAFBC" wp14:editId="6585EC33">
                                  <wp:extent cx="3902149" cy="2594344"/>
                                  <wp:effectExtent l="0" t="0" r="22225"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8513AE7" w14:textId="68E245F6" w:rsidR="00BD7507" w:rsidRPr="00646FE1" w:rsidRDefault="00BD7507" w:rsidP="00005F0B">
                            <w:pPr>
                              <w:jc w:val="center"/>
                              <w:rPr>
                                <w:rFonts w:ascii="Calibri Light" w:hAnsi="Calibri Light" w:cs="Calibri Light"/>
                              </w:rPr>
                            </w:pPr>
                            <w:r w:rsidRPr="00646FE1">
                              <w:rPr>
                                <w:rFonts w:ascii="Calibri Light" w:hAnsi="Calibri Light" w:cs="Calibri Light"/>
                              </w:rPr>
                              <w:t>Gender mainstreaming, gender analysis and gender equality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D6DF24" id="_x0000_t202" coordsize="21600,21600" o:spt="202" path="m,l,21600r21600,l21600,xe">
                <v:stroke joinstyle="miter"/>
                <v:path gradientshapeok="t" o:connecttype="rect"/>
              </v:shapetype>
              <v:shape id="Text Box 2" o:spid="_x0000_s1027" type="#_x0000_t202" style="position:absolute;margin-left:64.45pt;margin-top:369.2pt;width:344.9pt;height:247.8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8dWOwIAAG8EAAAOAAAAZHJzL2Uyb0RvYy54bWysVNuO2jAQfa/Uf7D8XhICLGxEWFEoVaXt&#10;RdrtBziOQ6zantQ2JPTrO3aA0q36UjUPlsczPp45ZybLh14rchTWSTAFHY9SSoThUEmzL+jX592b&#10;BSXOM1MxBUYU9CQcfVi9frXs2lxk0ICqhCUIYlzetQVtvG/zJHG8EZq5EbTCoLMGq5lH0+6TyrIO&#10;0bVKsjS9SzqwVWuBC+fwdDs46Sri17Xg/nNdO+GJKijm5uNq41qGNVktWb63rG0kP6fB/iELzaTB&#10;R69QW+YZOVj5B5SW3IKD2o846ATqWnIRa8BqxumLap4a1opYC5Lj2itN7v/B8k/HL5bICrWbUGKY&#10;Ro2eRe/JW+hJFujpWpdj1FOLcb7HYwyNpbr2Efg3RwxsGmb2Ym0tdI1gFaY3DjeTm6sDjgsgZfcR&#10;KnyGHTxEoL62OnCHbBBER5lOV2lCKhwPp5NFmk3QxdE3GU/n6V0UL2H55XprnX8vQJOwKahF7SM8&#10;Oz46H9Jh+SUkvOZAyWonlYqG3ZcbZcmRYZ/s4hcreBGmDOkKej/LZgMDf4WYp+vtdB6D1EFjvQPy&#10;LMXvAjw8GfP6LRctPY6EkrqgixB/btLA7DtTxYb1TKphj0Upc6Y6sDvw7PuyH0S9KFhCdULuLQwT&#10;gBOLmwbsD0o67P6Cuu8HZgUl6oNB/e7H02kYl2hMZ/MMDXvrKW89zHCEKqinZNhufByxwKyBNepc&#10;y6hAaIghk3PK2NWRgPMEhrG5tWPUr//E6icAAAD//wMAUEsDBBQABgAIAAAAIQDtnN294QAAAAwB&#10;AAAPAAAAZHJzL2Rvd25yZXYueG1sTI/BTsMwEETvSPyDtZW4UbtNRE0ap6pAICFxoe2BoxO7SdR4&#10;HcVuE/h6tqdyHM3T7Nt8M7mOXewQWo8KFnMBzGLlTYu1gsP+7VECC1Gj0Z1Hq+DHBtgU93e5zowf&#10;8ctedrFmNIIh0wqaGPuM81A11ukw971F6o5+cDpSHGpuBj3SuOv4Uogn7nSLdKHRvX1pbHXanZ2C&#10;9gNPx1G+l8n295CKz/D9upepUg+zabsGFu0UbzBc9UkdCnIq/RlNYB3lpXwmVMEqkSkwIuRCroCV&#10;1ypJBfAi5/+fKP4AAAD//wMAUEsBAi0AFAAGAAgAAAAhALaDOJL+AAAA4QEAABMAAAAAAAAAAAAA&#10;AAAAAAAAAFtDb250ZW50X1R5cGVzXS54bWxQSwECLQAUAAYACAAAACEAOP0h/9YAAACUAQAACwAA&#10;AAAAAAAAAAAAAAAvAQAAX3JlbHMvLnJlbHNQSwECLQAUAAYACAAAACEAFMPHVjsCAABvBAAADgAA&#10;AAAAAAAAAAAAAAAuAgAAZHJzL2Uyb0RvYy54bWxQSwECLQAUAAYACAAAACEA7ZzdveEAAAAMAQAA&#10;DwAAAAAAAAAAAAAAAACVBAAAZHJzL2Rvd25yZXYueG1sUEsFBgAAAAAEAAQA8wAAAKMFAAAAAA==&#10;" strokecolor="#385723">
                <v:textbox>
                  <w:txbxContent>
                    <w:p w14:paraId="1EEC65CF" w14:textId="77777777" w:rsidR="00BD7507" w:rsidRDefault="00BD7507" w:rsidP="00005F0B">
                      <w:pPr>
                        <w:jc w:val="center"/>
                      </w:pPr>
                      <w:r>
                        <w:rPr>
                          <w:noProof/>
                          <w:lang w:val="en-AU" w:eastAsia="ko-KR"/>
                        </w:rPr>
                        <w:drawing>
                          <wp:inline distT="0" distB="0" distL="0" distR="0" wp14:anchorId="223CAFBC" wp14:editId="6585EC33">
                            <wp:extent cx="3902149" cy="2594344"/>
                            <wp:effectExtent l="0" t="0" r="22225"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1" r:qs="rId22" r:cs="rId23"/>
                              </a:graphicData>
                            </a:graphic>
                          </wp:inline>
                        </w:drawing>
                      </w:r>
                    </w:p>
                    <w:p w14:paraId="18513AE7" w14:textId="68E245F6" w:rsidR="00BD7507" w:rsidRPr="00646FE1" w:rsidRDefault="00BD7507" w:rsidP="00005F0B">
                      <w:pPr>
                        <w:jc w:val="center"/>
                        <w:rPr>
                          <w:rFonts w:ascii="Calibri Light" w:hAnsi="Calibri Light" w:cs="Calibri Light"/>
                        </w:rPr>
                      </w:pPr>
                      <w:r w:rsidRPr="00646FE1">
                        <w:rPr>
                          <w:rFonts w:ascii="Calibri Light" w:hAnsi="Calibri Light" w:cs="Calibri Light"/>
                        </w:rPr>
                        <w:t>Gender mainstreaming, gender analysis and gender equality</w:t>
                      </w:r>
                    </w:p>
                  </w:txbxContent>
                </v:textbox>
                <w10:wrap type="topAndBottom" anchorx="margin" anchory="margin"/>
              </v:shape>
            </w:pict>
          </mc:Fallback>
        </mc:AlternateContent>
      </w:r>
      <w:r w:rsidR="00A33FFF" w:rsidRPr="00A33FFF">
        <w:rPr>
          <w:rFonts w:ascii="Calibri" w:eastAsia="Malgun Gothic" w:hAnsi="Calibri" w:cs="Times New Roman"/>
          <w:szCs w:val="22"/>
          <w:lang w:val="en-AU" w:eastAsia="ko-KR"/>
        </w:rPr>
        <w:t>Gender analysis is recognised by the United Nations as a critical starting point for gender mainstreaming.</w:t>
      </w:r>
      <w:r w:rsidR="00A33FFF" w:rsidRPr="00A33FFF">
        <w:rPr>
          <w:rFonts w:ascii="Calibri" w:eastAsia="Malgun Gothic" w:hAnsi="Calibri" w:cs="Times New Roman"/>
          <w:szCs w:val="22"/>
          <w:vertAlign w:val="superscript"/>
          <w:lang w:val="en-AU" w:eastAsia="ko-KR"/>
        </w:rPr>
        <w:endnoteReference w:id="8"/>
      </w:r>
      <w:r w:rsidR="00A33FFF" w:rsidRPr="00A33FFF">
        <w:rPr>
          <w:rFonts w:ascii="Calibri" w:eastAsia="Malgun Gothic" w:hAnsi="Calibri" w:cs="Times New Roman"/>
          <w:szCs w:val="22"/>
          <w:lang w:val="en-AU" w:eastAsia="ko-KR"/>
        </w:rPr>
        <w:t xml:space="preserve"> Gender analysis and other gender awareness programs have been widely used as a tool to implement the mainstreaming strategy and achieve gender equality, as shown in the figure below. </w:t>
      </w:r>
    </w:p>
    <w:p w14:paraId="66FA1186" w14:textId="77777777" w:rsidR="00165ABC" w:rsidRPr="00A33FFF" w:rsidRDefault="00165ABC" w:rsidP="00A33FFF">
      <w:pPr>
        <w:spacing w:before="100" w:beforeAutospacing="1" w:after="100" w:afterAutospacing="1" w:line="240" w:lineRule="auto"/>
        <w:jc w:val="left"/>
        <w:rPr>
          <w:rFonts w:ascii="Calibri" w:eastAsia="Malgun Gothic" w:hAnsi="Calibri" w:cs="Times New Roman"/>
          <w:szCs w:val="22"/>
          <w:lang w:val="en-AU" w:eastAsia="ko-KR"/>
        </w:rPr>
      </w:pPr>
    </w:p>
    <w:p w14:paraId="42113286" w14:textId="77777777" w:rsidR="00E04526" w:rsidRDefault="00E04526">
      <w:pPr>
        <w:spacing w:after="0" w:line="240" w:lineRule="auto"/>
        <w:jc w:val="left"/>
        <w:rPr>
          <w:rFonts w:ascii="Calibri Light" w:eastAsia="Malgun Gothic" w:hAnsi="Calibri Light" w:cs="Times New Roman"/>
          <w:b/>
          <w:color w:val="385623"/>
          <w:sz w:val="28"/>
          <w:szCs w:val="28"/>
          <w:lang w:val="en-AU" w:eastAsia="ko-KR"/>
        </w:rPr>
      </w:pPr>
      <w:r>
        <w:rPr>
          <w:rFonts w:ascii="Calibri Light" w:eastAsia="Malgun Gothic" w:hAnsi="Calibri Light" w:cs="Times New Roman"/>
          <w:b/>
          <w:color w:val="385623"/>
          <w:sz w:val="28"/>
          <w:szCs w:val="28"/>
          <w:lang w:val="en-AU" w:eastAsia="ko-KR"/>
        </w:rPr>
        <w:br w:type="page"/>
      </w:r>
    </w:p>
    <w:p w14:paraId="26832952" w14:textId="19829816" w:rsidR="00A33FFF" w:rsidRDefault="00A33FFF" w:rsidP="00A33FFF">
      <w:pPr>
        <w:keepNext/>
        <w:keepLines/>
        <w:spacing w:before="100" w:beforeAutospacing="1" w:after="100" w:afterAutospacing="1" w:line="240" w:lineRule="auto"/>
        <w:jc w:val="left"/>
        <w:outlineLvl w:val="2"/>
        <w:rPr>
          <w:rFonts w:ascii="Calibri Light" w:eastAsia="Malgun Gothic" w:hAnsi="Calibri Light" w:cs="Times New Roman"/>
          <w:b/>
          <w:color w:val="385623"/>
          <w:sz w:val="28"/>
          <w:szCs w:val="28"/>
          <w:lang w:val="en-AU" w:eastAsia="ko-KR"/>
        </w:rPr>
      </w:pPr>
      <w:r w:rsidRPr="00A33FFF">
        <w:rPr>
          <w:rFonts w:ascii="Calibri Light" w:eastAsia="Malgun Gothic" w:hAnsi="Calibri Light" w:cs="Times New Roman"/>
          <w:b/>
          <w:color w:val="385623"/>
          <w:sz w:val="28"/>
          <w:szCs w:val="28"/>
          <w:lang w:val="en-AU" w:eastAsia="ko-KR"/>
        </w:rPr>
        <w:lastRenderedPageBreak/>
        <w:t>A practical set of processes</w:t>
      </w:r>
    </w:p>
    <w:p w14:paraId="06028F3F" w14:textId="77777777" w:rsidR="002E1479" w:rsidRPr="00A33FFF" w:rsidRDefault="002E1479" w:rsidP="002E1479">
      <w:pPr>
        <w:spacing w:before="100" w:beforeAutospacing="1" w:after="100" w:afterAutospacing="1" w:line="240" w:lineRule="auto"/>
        <w:jc w:val="left"/>
        <w:rPr>
          <w:rFonts w:ascii="Calibri" w:eastAsia="Malgun Gothic" w:hAnsi="Calibri" w:cs="Times New Roman"/>
          <w:szCs w:val="22"/>
          <w:lang w:val="en-AU" w:eastAsia="ko-KR"/>
        </w:rPr>
      </w:pPr>
      <w:r w:rsidRPr="00A33FFF">
        <w:rPr>
          <w:rFonts w:ascii="Calibri" w:eastAsia="Malgun Gothic" w:hAnsi="Calibri" w:cs="Times New Roman"/>
          <w:szCs w:val="22"/>
          <w:lang w:val="en-AU" w:eastAsia="ko-KR"/>
        </w:rPr>
        <w:t>Gender analysis includes, but is not limited to, examining:</w:t>
      </w:r>
    </w:p>
    <w:p w14:paraId="2B3E2959" w14:textId="77777777" w:rsidR="002E1479" w:rsidRPr="00A33FFF" w:rsidRDefault="002E1479" w:rsidP="002E1479">
      <w:pPr>
        <w:numPr>
          <w:ilvl w:val="0"/>
          <w:numId w:val="6"/>
        </w:numPr>
        <w:spacing w:line="240" w:lineRule="auto"/>
        <w:ind w:left="357" w:hanging="357"/>
        <w:jc w:val="left"/>
        <w:rPr>
          <w:rFonts w:ascii="Calibri" w:eastAsia="Malgun Gothic" w:hAnsi="Calibri" w:cs="Times New Roman"/>
          <w:szCs w:val="22"/>
          <w:lang w:val="en-AU" w:eastAsia="ko-KR"/>
        </w:rPr>
      </w:pPr>
      <w:r w:rsidRPr="00A33FFF">
        <w:rPr>
          <w:rFonts w:ascii="Calibri" w:eastAsia="Malgun Gothic" w:hAnsi="Calibri" w:cs="Times New Roman"/>
          <w:szCs w:val="22"/>
          <w:lang w:val="en-AU" w:eastAsia="ko-KR"/>
        </w:rPr>
        <w:t>how gender differences affect people in a certain situation or context, including their participation, opportunities and rights in social and economic life</w:t>
      </w:r>
    </w:p>
    <w:p w14:paraId="0AC4FD6C" w14:textId="77777777" w:rsidR="002E1479" w:rsidRPr="00A33FFF" w:rsidRDefault="002E1479" w:rsidP="002E1479">
      <w:pPr>
        <w:numPr>
          <w:ilvl w:val="0"/>
          <w:numId w:val="6"/>
        </w:numPr>
        <w:spacing w:line="240" w:lineRule="auto"/>
        <w:ind w:left="357" w:hanging="357"/>
        <w:jc w:val="left"/>
        <w:rPr>
          <w:rFonts w:ascii="Calibri" w:eastAsia="Malgun Gothic" w:hAnsi="Calibri" w:cs="Times New Roman"/>
          <w:szCs w:val="22"/>
          <w:lang w:val="en-AU" w:eastAsia="ko-KR"/>
        </w:rPr>
      </w:pPr>
      <w:r w:rsidRPr="00A33FFF">
        <w:rPr>
          <w:rFonts w:ascii="Calibri" w:eastAsia="Malgun Gothic" w:hAnsi="Calibri" w:cs="Times New Roman"/>
          <w:szCs w:val="22"/>
          <w:lang w:val="en-AU" w:eastAsia="ko-KR"/>
        </w:rPr>
        <w:t>how labour (paid and unpaid), roles and responsibilities are divided at home, the workplace and the public sphere between people of different gender identities</w:t>
      </w:r>
    </w:p>
    <w:p w14:paraId="423AD3A7" w14:textId="77777777" w:rsidR="002E1479" w:rsidRPr="00A33FFF" w:rsidRDefault="002E1479" w:rsidP="002E1479">
      <w:pPr>
        <w:numPr>
          <w:ilvl w:val="0"/>
          <w:numId w:val="6"/>
        </w:numPr>
        <w:spacing w:line="240" w:lineRule="auto"/>
        <w:ind w:left="357" w:hanging="357"/>
        <w:jc w:val="left"/>
        <w:rPr>
          <w:rFonts w:ascii="Calibri" w:eastAsia="Malgun Gothic" w:hAnsi="Calibri" w:cs="Times New Roman"/>
          <w:szCs w:val="22"/>
          <w:lang w:val="en-AU" w:eastAsia="ko-KR"/>
        </w:rPr>
      </w:pPr>
      <w:r w:rsidRPr="00A33FFF">
        <w:rPr>
          <w:rFonts w:ascii="Calibri" w:eastAsia="Malgun Gothic" w:hAnsi="Calibri" w:cs="Times New Roman"/>
          <w:szCs w:val="22"/>
          <w:lang w:val="en-AU" w:eastAsia="ko-KR"/>
        </w:rPr>
        <w:t>women’s condition and position in society compared with that of men, including the extent to which women have access to, and control over, resources (economic, social, etc.) compared with that of men</w:t>
      </w:r>
    </w:p>
    <w:p w14:paraId="3FD5892F" w14:textId="77777777" w:rsidR="002E1479" w:rsidRPr="002E1479" w:rsidRDefault="002E1479" w:rsidP="002E1479">
      <w:pPr>
        <w:spacing w:before="100" w:beforeAutospacing="1" w:after="100" w:afterAutospacing="1" w:line="240" w:lineRule="auto"/>
        <w:jc w:val="left"/>
        <w:rPr>
          <w:rFonts w:ascii="Calibri" w:eastAsia="Malgun Gothic" w:hAnsi="Calibri" w:cs="Times New Roman"/>
          <w:szCs w:val="22"/>
          <w:lang w:val="en-AU" w:eastAsia="ko-KR"/>
        </w:rPr>
      </w:pPr>
      <w:r w:rsidRPr="002E1479">
        <w:rPr>
          <w:rFonts w:ascii="Calibri" w:eastAsia="Malgun Gothic" w:hAnsi="Calibri" w:cs="Times New Roman"/>
          <w:szCs w:val="22"/>
          <w:lang w:val="en-AU" w:eastAsia="ko-KR"/>
        </w:rPr>
        <w:t xml:space="preserve">Gender analysis involves assessing a given situation for gender equality issues. It is often known as applying a ‘gender lens’. </w:t>
      </w:r>
    </w:p>
    <w:p w14:paraId="716479BA" w14:textId="77777777" w:rsidR="002E1479" w:rsidRDefault="002E1479" w:rsidP="002E1479">
      <w:pPr>
        <w:spacing w:before="100" w:beforeAutospacing="1" w:after="100" w:afterAutospacing="1" w:line="240" w:lineRule="auto"/>
        <w:jc w:val="left"/>
        <w:rPr>
          <w:rFonts w:ascii="Calibri" w:eastAsia="Malgun Gothic" w:hAnsi="Calibri" w:cs="Times New Roman"/>
          <w:szCs w:val="22"/>
          <w:lang w:val="en-AU" w:eastAsia="ko-KR"/>
        </w:rPr>
      </w:pPr>
      <w:r w:rsidRPr="00A33FFF">
        <w:rPr>
          <w:rFonts w:ascii="Calibri" w:eastAsia="Malgun Gothic" w:hAnsi="Calibri" w:cs="Times New Roman"/>
          <w:szCs w:val="22"/>
          <w:lang w:val="en-AU" w:eastAsia="ko-KR"/>
        </w:rPr>
        <w:t xml:space="preserve">When conducting gender analysis, you may analyse quantitative data, for example the representation of women and men in decision-making roles. You may also analyse qualitative information, such as how women’s and men’s views are taken into account. </w:t>
      </w:r>
    </w:p>
    <w:p w14:paraId="5FBBFC42" w14:textId="6B9AFBE9" w:rsidR="003738FB" w:rsidRPr="00A33FFF" w:rsidRDefault="003738FB" w:rsidP="00A33FFF">
      <w:pPr>
        <w:keepNext/>
        <w:keepLines/>
        <w:spacing w:before="100" w:beforeAutospacing="1" w:after="100" w:afterAutospacing="1" w:line="240" w:lineRule="auto"/>
        <w:jc w:val="left"/>
        <w:outlineLvl w:val="2"/>
        <w:rPr>
          <w:rFonts w:ascii="Calibri Light" w:eastAsia="Malgun Gothic" w:hAnsi="Calibri Light" w:cs="Times New Roman"/>
          <w:b/>
          <w:color w:val="385623"/>
          <w:sz w:val="28"/>
          <w:szCs w:val="28"/>
          <w:lang w:val="en-AU" w:eastAsia="ko-KR"/>
        </w:rPr>
      </w:pPr>
      <w:r w:rsidRPr="00A33FFF">
        <w:rPr>
          <w:rFonts w:ascii="Calibri" w:eastAsia="Malgun Gothic" w:hAnsi="Calibri" w:cs="Times New Roman"/>
          <w:szCs w:val="22"/>
          <w:lang w:val="en-AU" w:eastAsia="ko-KR"/>
        </w:rPr>
        <w:t>Gender</w:t>
      </w:r>
      <w:r>
        <w:rPr>
          <w:rFonts w:ascii="Calibri" w:eastAsia="Malgun Gothic" w:hAnsi="Calibri" w:cs="Times New Roman"/>
          <w:szCs w:val="22"/>
          <w:lang w:val="en-AU" w:eastAsia="ko-KR"/>
        </w:rPr>
        <w:t xml:space="preserve"> analysis </w:t>
      </w:r>
      <w:r w:rsidRPr="00A33FFF">
        <w:rPr>
          <w:rFonts w:ascii="Calibri" w:eastAsia="Malgun Gothic" w:hAnsi="Calibri" w:cs="Times New Roman"/>
          <w:szCs w:val="22"/>
          <w:lang w:val="en-AU" w:eastAsia="ko-KR"/>
        </w:rPr>
        <w:t>will help you develop responses that target gaps between and among people of different gender identities and address inequality.</w:t>
      </w:r>
      <w:r w:rsidRPr="00A33FFF">
        <w:rPr>
          <w:rFonts w:ascii="Calibri" w:eastAsia="Malgun Gothic" w:hAnsi="Calibri" w:cs="Times New Roman"/>
          <w:szCs w:val="22"/>
          <w:vertAlign w:val="superscript"/>
          <w:lang w:val="en-AU" w:eastAsia="ko-KR"/>
        </w:rPr>
        <w:endnoteReference w:id="9"/>
      </w:r>
    </w:p>
    <w:p w14:paraId="6A9A9E4B" w14:textId="107B00B5" w:rsidR="00A33FFF" w:rsidRDefault="00A33FFF" w:rsidP="00A33FFF">
      <w:pPr>
        <w:spacing w:after="0" w:line="240" w:lineRule="auto"/>
        <w:jc w:val="left"/>
        <w:rPr>
          <w:lang w:val="en-AU"/>
        </w:rPr>
      </w:pPr>
      <w:r w:rsidRPr="00A33FFF">
        <w:rPr>
          <w:rFonts w:ascii="Calibri" w:eastAsia="Malgun Gothic" w:hAnsi="Calibri" w:cs="Times New Roman"/>
          <w:szCs w:val="22"/>
          <w:lang w:val="en-AU" w:eastAsia="ko-KR"/>
        </w:rPr>
        <w:t>However, performing a gender analysis alone will not bring about change. Real change needs explicit and clear commitment of senior management to gender equality and gender mainstreaming. This includes promoting, facilitating and rewarding efforts to bring gender perspectives to the centre of attention.</w:t>
      </w:r>
      <w:r w:rsidRPr="00A33FFF">
        <w:rPr>
          <w:rFonts w:ascii="Calibri" w:eastAsia="Malgun Gothic" w:hAnsi="Calibri" w:cs="Times New Roman"/>
          <w:szCs w:val="22"/>
          <w:vertAlign w:val="superscript"/>
          <w:lang w:val="en-AU" w:eastAsia="ko-KR"/>
        </w:rPr>
        <w:t xml:space="preserve"> </w:t>
      </w:r>
      <w:r w:rsidRPr="00A33FFF">
        <w:rPr>
          <w:rFonts w:ascii="Calibri" w:eastAsia="Malgun Gothic" w:hAnsi="Calibri" w:cs="Times New Roman"/>
          <w:szCs w:val="22"/>
          <w:vertAlign w:val="superscript"/>
          <w:lang w:val="en-AU" w:eastAsia="ko-KR"/>
        </w:rPr>
        <w:endnoteReference w:id="10"/>
      </w:r>
      <w:r w:rsidRPr="00A33FFF">
        <w:rPr>
          <w:rFonts w:ascii="Calibri" w:eastAsia="Malgun Gothic" w:hAnsi="Calibri" w:cs="Times New Roman"/>
          <w:szCs w:val="22"/>
          <w:lang w:val="en-AU" w:eastAsia="ko-KR"/>
        </w:rPr>
        <w:t xml:space="preserve"> It also requires establishment of effective accountability mechanisms. </w:t>
      </w:r>
      <w:r>
        <w:rPr>
          <w:lang w:val="en-AU"/>
        </w:rPr>
        <w:br w:type="page"/>
      </w:r>
    </w:p>
    <w:p w14:paraId="709D9059" w14:textId="5E2F07ED" w:rsidR="00C93432" w:rsidRPr="00A33FFF" w:rsidRDefault="00C93432" w:rsidP="00B76666">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240" w:line="240" w:lineRule="auto"/>
        <w:jc w:val="left"/>
        <w:rPr>
          <w:rFonts w:eastAsia="Malgun Gothic" w:cs="Arial"/>
          <w:color w:val="385623"/>
          <w:szCs w:val="22"/>
          <w:lang w:val="en-AU" w:eastAsia="ko-KR"/>
        </w:rPr>
      </w:pPr>
      <w:r w:rsidRPr="00410F9F">
        <w:rPr>
          <w:rFonts w:ascii="Calibri" w:eastAsia="Malgun Gothic" w:hAnsi="Calibri" w:cs="Times New Roman"/>
          <w:b/>
          <w:color w:val="385623"/>
          <w:sz w:val="40"/>
          <w:szCs w:val="40"/>
          <w:lang w:val="en-AU" w:eastAsia="ko-KR"/>
        </w:rPr>
        <w:lastRenderedPageBreak/>
        <w:t xml:space="preserve">GENDER ANALYSIS – </w:t>
      </w:r>
      <w:r>
        <w:rPr>
          <w:rFonts w:ascii="Calibri" w:eastAsia="Malgun Gothic" w:hAnsi="Calibri" w:cs="Times New Roman"/>
          <w:b/>
          <w:color w:val="385623"/>
          <w:sz w:val="40"/>
          <w:szCs w:val="40"/>
          <w:lang w:val="en-AU" w:eastAsia="ko-KR"/>
        </w:rPr>
        <w:t>Priorities</w:t>
      </w:r>
      <w:r w:rsidR="00775FCC" w:rsidRPr="00977BC1">
        <w:rPr>
          <w:rFonts w:ascii="Calibri" w:eastAsia="Malgun Gothic" w:hAnsi="Calibri" w:cs="Times New Roman"/>
          <w:b/>
          <w:color w:val="385623"/>
          <w:sz w:val="40"/>
          <w:szCs w:val="40"/>
          <w:lang w:val="en-AU" w:eastAsia="ko-KR"/>
        </w:rPr>
        <w:t xml:space="preserve">                           </w:t>
      </w:r>
      <w:r w:rsidRPr="00977BC1">
        <w:rPr>
          <w:rFonts w:ascii="Calibri" w:eastAsia="Malgun Gothic" w:hAnsi="Calibri" w:cs="Times New Roman"/>
          <w:b/>
          <w:color w:val="385623"/>
          <w:sz w:val="40"/>
          <w:szCs w:val="40"/>
          <w:lang w:val="en-AU" w:eastAsia="ko-KR"/>
        </w:rPr>
        <w:t xml:space="preserve">  </w:t>
      </w:r>
      <w:r w:rsidR="00480F75">
        <w:rPr>
          <w:rFonts w:ascii="Calibri" w:eastAsia="Malgun Gothic" w:hAnsi="Calibri" w:cs="Times New Roman"/>
          <w:b/>
          <w:noProof/>
          <w:color w:val="385623"/>
          <w:sz w:val="40"/>
          <w:szCs w:val="40"/>
          <w:lang w:val="en-AU" w:eastAsia="ko-KR"/>
        </w:rPr>
        <w:drawing>
          <wp:inline distT="0" distB="0" distL="0" distR="0" wp14:anchorId="4D4FEA6F" wp14:editId="0DE18E47">
            <wp:extent cx="871855" cy="871855"/>
            <wp:effectExtent l="0" t="0" r="444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pic:spPr>
                </pic:pic>
              </a:graphicData>
            </a:graphic>
          </wp:inline>
        </w:drawing>
      </w:r>
    </w:p>
    <w:p w14:paraId="41A1614E" w14:textId="77777777" w:rsidR="00C93432" w:rsidRPr="00C93432" w:rsidRDefault="00C93432" w:rsidP="00C93432">
      <w:pPr>
        <w:keepNext/>
        <w:keepLines/>
        <w:spacing w:before="100" w:beforeAutospacing="1" w:after="100" w:afterAutospacing="1" w:line="240" w:lineRule="auto"/>
        <w:jc w:val="left"/>
        <w:outlineLvl w:val="2"/>
        <w:rPr>
          <w:rFonts w:ascii="Calibri Light" w:eastAsia="Malgun Gothic" w:hAnsi="Calibri Light" w:cs="Times New Roman"/>
          <w:b/>
          <w:color w:val="385623"/>
          <w:sz w:val="28"/>
          <w:szCs w:val="28"/>
          <w:lang w:val="en-AU" w:eastAsia="ko-KR"/>
        </w:rPr>
      </w:pPr>
      <w:r w:rsidRPr="00C93432">
        <w:rPr>
          <w:rFonts w:ascii="Calibri Light" w:eastAsia="Malgun Gothic" w:hAnsi="Calibri Light" w:cs="Times New Roman"/>
          <w:b/>
          <w:color w:val="385623"/>
          <w:sz w:val="28"/>
          <w:szCs w:val="28"/>
          <w:lang w:val="en-AU" w:eastAsia="ko-KR"/>
        </w:rPr>
        <w:t>Women’s disadvantage</w:t>
      </w:r>
    </w:p>
    <w:p w14:paraId="07B2C193" w14:textId="77777777" w:rsidR="0021758B" w:rsidRDefault="00C93432" w:rsidP="00C93432">
      <w:pPr>
        <w:spacing w:before="100" w:beforeAutospacing="1" w:after="100" w:afterAutospacing="1" w:line="240" w:lineRule="auto"/>
        <w:jc w:val="left"/>
        <w:rPr>
          <w:rFonts w:ascii="Calibri" w:eastAsia="Malgun Gothic" w:hAnsi="Calibri" w:cs="Times New Roman"/>
          <w:szCs w:val="22"/>
          <w:lang w:val="en-AU" w:eastAsia="ko-KR"/>
        </w:rPr>
      </w:pPr>
      <w:r w:rsidRPr="00C93432">
        <w:rPr>
          <w:rFonts w:ascii="Calibri" w:eastAsia="Malgun Gothic" w:hAnsi="Calibri" w:cs="Times New Roman"/>
          <w:szCs w:val="22"/>
          <w:lang w:val="en-AU" w:eastAsia="ko-KR"/>
        </w:rPr>
        <w:t>In most societies there are inequalities between women and men – in responsibilities, access to and control over resources, social and economic opportunities and decision-making. Where inequalities between women and men exist, it is generally women who are excluded or disadvantaged.</w:t>
      </w:r>
      <w:r w:rsidRPr="00C93432">
        <w:rPr>
          <w:rFonts w:ascii="Calibri" w:eastAsia="Malgun Gothic" w:hAnsi="Calibri" w:cs="Times New Roman"/>
          <w:szCs w:val="22"/>
          <w:vertAlign w:val="superscript"/>
          <w:lang w:val="en-AU" w:eastAsia="ko-KR"/>
        </w:rPr>
        <w:endnoteReference w:id="11"/>
      </w:r>
      <w:r w:rsidRPr="00C93432">
        <w:rPr>
          <w:rFonts w:ascii="Calibri" w:eastAsia="Malgun Gothic" w:hAnsi="Calibri" w:cs="Times New Roman"/>
          <w:szCs w:val="22"/>
          <w:lang w:val="en-AU" w:eastAsia="ko-KR"/>
        </w:rPr>
        <w:t xml:space="preserve"> </w:t>
      </w:r>
    </w:p>
    <w:p w14:paraId="08B5EC6B" w14:textId="1A478AAD" w:rsidR="0021758B" w:rsidRDefault="00C93432" w:rsidP="00C93432">
      <w:pPr>
        <w:spacing w:before="100" w:beforeAutospacing="1" w:after="100" w:afterAutospacing="1" w:line="240" w:lineRule="auto"/>
        <w:jc w:val="left"/>
        <w:rPr>
          <w:rFonts w:ascii="Calibri" w:eastAsia="Malgun Gothic" w:hAnsi="Calibri" w:cs="Times New Roman"/>
          <w:szCs w:val="22"/>
          <w:lang w:val="en-AU" w:eastAsia="ko-KR"/>
        </w:rPr>
      </w:pPr>
      <w:r w:rsidRPr="00C93432">
        <w:rPr>
          <w:rFonts w:ascii="Calibri" w:eastAsia="Malgun Gothic" w:hAnsi="Calibri" w:cs="Times New Roman"/>
          <w:szCs w:val="22"/>
          <w:lang w:val="en-AU" w:eastAsia="ko-KR"/>
        </w:rPr>
        <w:t xml:space="preserve">Gender analysis acknowledges the historical and social disadvantages that women face. This </w:t>
      </w:r>
      <w:r w:rsidR="001767C1">
        <w:rPr>
          <w:rFonts w:ascii="Calibri" w:eastAsia="Malgun Gothic" w:hAnsi="Calibri" w:cs="Times New Roman"/>
          <w:szCs w:val="22"/>
          <w:lang w:val="en-AU" w:eastAsia="ko-KR"/>
        </w:rPr>
        <w:t xml:space="preserve">is why this </w:t>
      </w:r>
      <w:r w:rsidR="003738FB">
        <w:rPr>
          <w:rFonts w:ascii="Calibri" w:eastAsia="Malgun Gothic" w:hAnsi="Calibri" w:cs="Times New Roman"/>
          <w:szCs w:val="22"/>
          <w:lang w:val="en-AU" w:eastAsia="ko-KR"/>
        </w:rPr>
        <w:t xml:space="preserve">process </w:t>
      </w:r>
      <w:r w:rsidRPr="00C93432">
        <w:rPr>
          <w:rFonts w:ascii="Calibri" w:eastAsia="Malgun Gothic" w:hAnsi="Calibri" w:cs="Times New Roman"/>
          <w:szCs w:val="22"/>
          <w:lang w:val="en-AU" w:eastAsia="ko-KR"/>
        </w:rPr>
        <w:t>is especially important in areas where women continue to experience disadvantage, such as labour force participation, leadership, economic security, work-life balance and safety.</w:t>
      </w:r>
      <w:r w:rsidR="00F254B2">
        <w:rPr>
          <w:rFonts w:ascii="Calibri" w:eastAsia="Malgun Gothic" w:hAnsi="Calibri" w:cs="Times New Roman"/>
          <w:szCs w:val="22"/>
          <w:lang w:val="en-AU" w:eastAsia="ko-KR"/>
        </w:rPr>
        <w:t xml:space="preserve"> </w:t>
      </w:r>
      <w:r w:rsidRPr="00C93432">
        <w:rPr>
          <w:rFonts w:ascii="Calibri" w:eastAsia="Malgun Gothic" w:hAnsi="Calibri" w:cs="Times New Roman"/>
          <w:szCs w:val="22"/>
          <w:lang w:val="en-AU" w:eastAsia="ko-KR"/>
        </w:rPr>
        <w:t xml:space="preserve">For example, </w:t>
      </w:r>
      <w:r w:rsidR="0021758B">
        <w:rPr>
          <w:rFonts w:ascii="Calibri" w:eastAsia="Malgun Gothic" w:hAnsi="Calibri" w:cs="Times New Roman"/>
          <w:szCs w:val="22"/>
          <w:lang w:val="en-AU" w:eastAsia="ko-KR"/>
        </w:rPr>
        <w:t>w</w:t>
      </w:r>
      <w:r w:rsidRPr="00C93432">
        <w:rPr>
          <w:rFonts w:ascii="Calibri" w:eastAsia="Malgun Gothic" w:hAnsi="Calibri" w:cs="Times New Roman"/>
          <w:szCs w:val="22"/>
          <w:lang w:val="en-AU" w:eastAsia="ko-KR"/>
        </w:rPr>
        <w:t>omen make up the vast majority of carers and many take on unpaid caring roles at the expense of paid work, to their financial detriment.</w:t>
      </w:r>
      <w:r w:rsidR="00F254B2">
        <w:rPr>
          <w:rFonts w:ascii="Calibri" w:eastAsia="Malgun Gothic" w:hAnsi="Calibri" w:cs="Times New Roman"/>
          <w:szCs w:val="22"/>
          <w:lang w:val="en-AU" w:eastAsia="ko-KR"/>
        </w:rPr>
        <w:t xml:space="preserve"> </w:t>
      </w:r>
    </w:p>
    <w:p w14:paraId="791688CC" w14:textId="463B7054" w:rsidR="00F254B2" w:rsidRDefault="00C93432" w:rsidP="00C93432">
      <w:pPr>
        <w:spacing w:before="100" w:beforeAutospacing="1" w:after="100" w:afterAutospacing="1" w:line="240" w:lineRule="auto"/>
        <w:jc w:val="left"/>
        <w:rPr>
          <w:rFonts w:ascii="Calibri" w:eastAsia="Malgun Gothic" w:hAnsi="Calibri" w:cs="Times New Roman"/>
          <w:szCs w:val="22"/>
          <w:lang w:val="en-AU" w:eastAsia="ko-KR"/>
        </w:rPr>
      </w:pPr>
      <w:r w:rsidRPr="00C93432">
        <w:rPr>
          <w:rFonts w:ascii="Calibri" w:eastAsia="Malgun Gothic" w:hAnsi="Calibri" w:cs="Times New Roman"/>
          <w:szCs w:val="22"/>
          <w:lang w:val="en-AU" w:eastAsia="ko-KR"/>
        </w:rPr>
        <w:t>This pattern of inequality is a constraint on the progress of any society because it limits the opportunities of women and prevents them from reaching their full potential.</w:t>
      </w:r>
      <w:r w:rsidR="00EB619F">
        <w:rPr>
          <w:rFonts w:ascii="Calibri" w:eastAsia="Malgun Gothic" w:hAnsi="Calibri" w:cs="Times New Roman"/>
          <w:szCs w:val="22"/>
          <w:lang w:val="en-AU" w:eastAsia="ko-KR"/>
        </w:rPr>
        <w:t xml:space="preserve"> </w:t>
      </w:r>
    </w:p>
    <w:p w14:paraId="294D4583" w14:textId="708B02B3" w:rsidR="00C93432" w:rsidRPr="00C93432" w:rsidRDefault="00C93432" w:rsidP="00C93432">
      <w:pPr>
        <w:spacing w:before="100" w:beforeAutospacing="1" w:after="100" w:afterAutospacing="1" w:line="240" w:lineRule="auto"/>
        <w:jc w:val="left"/>
        <w:rPr>
          <w:rFonts w:ascii="Calibri" w:eastAsia="Malgun Gothic" w:hAnsi="Calibri" w:cs="Times New Roman"/>
          <w:szCs w:val="22"/>
          <w:lang w:val="en-AU" w:eastAsia="ko-KR"/>
        </w:rPr>
      </w:pPr>
      <w:r w:rsidRPr="00C93432">
        <w:rPr>
          <w:rFonts w:ascii="Calibri" w:eastAsia="Malgun Gothic" w:hAnsi="Calibri" w:cs="Times New Roman"/>
          <w:szCs w:val="22"/>
          <w:lang w:val="en-AU" w:eastAsia="ko-KR"/>
        </w:rPr>
        <w:t>Therefore, a key focus of gender analysis is ‘the empowerment of women’ – ensuring that decision-making and access to resources and opportunities are no longer weighted in men’s favour, and that both women and men fully participate as equal partners in society.</w:t>
      </w:r>
      <w:r w:rsidRPr="00C93432">
        <w:rPr>
          <w:rFonts w:ascii="Calibri" w:eastAsia="Malgun Gothic" w:hAnsi="Calibri" w:cs="Times New Roman"/>
          <w:szCs w:val="22"/>
          <w:vertAlign w:val="superscript"/>
          <w:lang w:val="en-AU" w:eastAsia="ko-KR"/>
        </w:rPr>
        <w:endnoteReference w:id="12"/>
      </w:r>
    </w:p>
    <w:p w14:paraId="14706937" w14:textId="77777777" w:rsidR="00C93432" w:rsidRPr="00C93432" w:rsidRDefault="00C93432" w:rsidP="00C93432">
      <w:pPr>
        <w:keepNext/>
        <w:keepLines/>
        <w:spacing w:before="100" w:beforeAutospacing="1" w:after="100" w:afterAutospacing="1" w:line="240" w:lineRule="auto"/>
        <w:jc w:val="left"/>
        <w:outlineLvl w:val="2"/>
        <w:rPr>
          <w:rFonts w:ascii="Calibri Light" w:eastAsia="Malgun Gothic" w:hAnsi="Calibri Light" w:cs="Times New Roman"/>
          <w:b/>
          <w:color w:val="385623"/>
          <w:sz w:val="28"/>
          <w:szCs w:val="28"/>
          <w:lang w:val="en-AU" w:eastAsia="ko-KR"/>
        </w:rPr>
      </w:pPr>
      <w:r w:rsidRPr="00C93432">
        <w:rPr>
          <w:rFonts w:ascii="Calibri Light" w:eastAsia="Malgun Gothic" w:hAnsi="Calibri Light" w:cs="Times New Roman"/>
          <w:b/>
          <w:color w:val="385623"/>
          <w:sz w:val="28"/>
          <w:szCs w:val="28"/>
          <w:lang w:val="en-AU" w:eastAsia="ko-KR"/>
        </w:rPr>
        <w:t>Inclusiveness and diversity</w:t>
      </w:r>
    </w:p>
    <w:p w14:paraId="7E4F07A2" w14:textId="77777777" w:rsidR="0021758B" w:rsidRDefault="00C93432" w:rsidP="00C93432">
      <w:pPr>
        <w:spacing w:before="100" w:beforeAutospacing="1" w:after="100" w:afterAutospacing="1" w:line="240" w:lineRule="auto"/>
        <w:jc w:val="left"/>
        <w:rPr>
          <w:rFonts w:ascii="Calibri" w:eastAsia="Malgun Gothic" w:hAnsi="Calibri" w:cs="Times New Roman"/>
          <w:szCs w:val="22"/>
          <w:lang w:val="en-AU" w:eastAsia="ko-KR"/>
        </w:rPr>
      </w:pPr>
      <w:r w:rsidRPr="00C93432">
        <w:rPr>
          <w:rFonts w:ascii="Calibri" w:eastAsia="Malgun Gothic" w:hAnsi="Calibri" w:cs="Times New Roman"/>
          <w:szCs w:val="22"/>
          <w:lang w:val="en-AU" w:eastAsia="ko-KR"/>
        </w:rPr>
        <w:t>Gender analysis acknowledges that women are diverse with different experiences based on various identity factors, including race, age, disability, sexual orientation, and caring responsibilities. These identity factors are interconnected and contribute to discrimination on the basis of more than one factor at a time.</w:t>
      </w:r>
      <w:r w:rsidR="0021758B">
        <w:rPr>
          <w:rFonts w:ascii="Calibri" w:eastAsia="Malgun Gothic" w:hAnsi="Calibri" w:cs="Times New Roman"/>
          <w:szCs w:val="22"/>
          <w:lang w:val="en-AU" w:eastAsia="ko-KR"/>
        </w:rPr>
        <w:t xml:space="preserve"> </w:t>
      </w:r>
    </w:p>
    <w:p w14:paraId="70AB9CA0" w14:textId="38E4CCCF" w:rsidR="00C93432" w:rsidRPr="00C93432" w:rsidRDefault="00C93432" w:rsidP="00C93432">
      <w:pPr>
        <w:spacing w:before="100" w:beforeAutospacing="1" w:after="100" w:afterAutospacing="1" w:line="240" w:lineRule="auto"/>
        <w:jc w:val="left"/>
        <w:rPr>
          <w:rFonts w:ascii="Calibri" w:eastAsia="Malgun Gothic" w:hAnsi="Calibri" w:cs="Times New Roman"/>
          <w:szCs w:val="22"/>
          <w:lang w:val="en-AU" w:eastAsia="ko-KR"/>
        </w:rPr>
      </w:pPr>
      <w:r w:rsidRPr="00C93432">
        <w:rPr>
          <w:rFonts w:ascii="Calibri" w:eastAsia="Malgun Gothic" w:hAnsi="Calibri" w:cs="Times New Roman"/>
          <w:szCs w:val="22"/>
          <w:lang w:val="en-AU" w:eastAsia="ko-KR"/>
        </w:rPr>
        <w:t>For example, a woman who is discriminated against because of her disability may also suffer discrimination because of her age. LGBTIQ+ women from ethnic minorities may face discrimination and exclusion in a way which is different from either other women from ethnic minorities or LGBTIQ+ women, while they reconcile their sexual orientation or gender identity with their cultural or religious identities.</w:t>
      </w:r>
      <w:r w:rsidRPr="00C93432">
        <w:rPr>
          <w:rFonts w:ascii="Calibri" w:eastAsia="Malgun Gothic" w:hAnsi="Calibri" w:cs="Times New Roman"/>
          <w:szCs w:val="22"/>
          <w:vertAlign w:val="superscript"/>
          <w:lang w:val="en-AU" w:eastAsia="ko-KR"/>
        </w:rPr>
        <w:endnoteReference w:id="13"/>
      </w:r>
    </w:p>
    <w:p w14:paraId="022BCF3A" w14:textId="6E04FD1A" w:rsidR="00C93432" w:rsidRPr="00C93432" w:rsidRDefault="00C93432" w:rsidP="00C93432">
      <w:pPr>
        <w:spacing w:before="100" w:beforeAutospacing="1" w:after="100" w:afterAutospacing="1" w:line="240" w:lineRule="auto"/>
        <w:jc w:val="left"/>
        <w:rPr>
          <w:rFonts w:ascii="Calibri" w:eastAsia="Malgun Gothic" w:hAnsi="Calibri" w:cs="Times New Roman"/>
          <w:szCs w:val="22"/>
          <w:lang w:val="en-AU" w:eastAsia="ko-KR"/>
        </w:rPr>
      </w:pPr>
      <w:r w:rsidRPr="00C93432">
        <w:rPr>
          <w:rFonts w:ascii="Calibri" w:eastAsia="Malgun Gothic" w:hAnsi="Calibri" w:cs="Times New Roman"/>
          <w:szCs w:val="22"/>
          <w:lang w:val="en-AU" w:eastAsia="ko-KR"/>
        </w:rPr>
        <w:t>Such discrimination contributes to placing women from minority groups at a cumulative disadvantage, compared with other groups of women and men in society.</w:t>
      </w:r>
      <w:r w:rsidRPr="00C93432">
        <w:rPr>
          <w:rFonts w:ascii="Calibri" w:eastAsia="Malgun Gothic" w:hAnsi="Calibri" w:cs="Times New Roman"/>
          <w:szCs w:val="22"/>
          <w:vertAlign w:val="superscript"/>
          <w:lang w:val="en-AU" w:eastAsia="ko-KR"/>
        </w:rPr>
        <w:endnoteReference w:id="14"/>
      </w:r>
      <w:r w:rsidRPr="00C93432">
        <w:rPr>
          <w:rFonts w:ascii="Calibri" w:eastAsia="Malgun Gothic" w:hAnsi="Calibri" w:cs="Times New Roman"/>
          <w:szCs w:val="22"/>
          <w:lang w:val="en-AU" w:eastAsia="ko-KR"/>
        </w:rPr>
        <w:t xml:space="preserve"> </w:t>
      </w:r>
      <w:r w:rsidR="00D16B03">
        <w:rPr>
          <w:rFonts w:ascii="Calibri" w:eastAsia="Malgun Gothic" w:hAnsi="Calibri" w:cs="Times New Roman"/>
          <w:szCs w:val="22"/>
          <w:lang w:val="en-AU" w:eastAsia="ko-KR"/>
        </w:rPr>
        <w:t xml:space="preserve"> </w:t>
      </w:r>
      <w:r w:rsidRPr="00C93432">
        <w:rPr>
          <w:rFonts w:ascii="Calibri" w:eastAsia="Malgun Gothic" w:hAnsi="Calibri" w:cs="Times New Roman"/>
          <w:szCs w:val="22"/>
          <w:lang w:val="en-AU" w:eastAsia="ko-KR"/>
        </w:rPr>
        <w:t>In response to these intersecting identity factors, gender analysis is intended to:</w:t>
      </w:r>
    </w:p>
    <w:p w14:paraId="4DB072E8" w14:textId="77777777" w:rsidR="0021758B" w:rsidRPr="0021758B" w:rsidRDefault="00C93432" w:rsidP="00380550">
      <w:pPr>
        <w:numPr>
          <w:ilvl w:val="0"/>
          <w:numId w:val="7"/>
        </w:numPr>
        <w:spacing w:line="240" w:lineRule="auto"/>
        <w:ind w:left="714" w:hanging="357"/>
        <w:jc w:val="left"/>
        <w:rPr>
          <w:lang w:val="en-AU"/>
        </w:rPr>
      </w:pPr>
      <w:r w:rsidRPr="0021758B">
        <w:rPr>
          <w:rFonts w:ascii="Calibri" w:eastAsia="Malgun Gothic" w:hAnsi="Calibri" w:cs="Times New Roman"/>
          <w:szCs w:val="22"/>
          <w:lang w:val="en-AU" w:eastAsia="ko-KR"/>
        </w:rPr>
        <w:t>direct attention to how these factors, separate or together, impact on women’s access to rights and opportunities</w:t>
      </w:r>
    </w:p>
    <w:p w14:paraId="380454D4" w14:textId="2A2DC284" w:rsidR="00354C8E" w:rsidRPr="00B30C69" w:rsidRDefault="00C93432" w:rsidP="00BD7507">
      <w:pPr>
        <w:numPr>
          <w:ilvl w:val="0"/>
          <w:numId w:val="7"/>
        </w:numPr>
        <w:spacing w:after="0" w:line="240" w:lineRule="auto"/>
        <w:ind w:left="714" w:hanging="357"/>
        <w:jc w:val="left"/>
        <w:rPr>
          <w:rFonts w:ascii="Calibri" w:eastAsia="Malgun Gothic" w:hAnsi="Calibri" w:cs="Times New Roman"/>
          <w:szCs w:val="22"/>
          <w:lang w:val="en-AU" w:eastAsia="ko-KR"/>
        </w:rPr>
      </w:pPr>
      <w:r w:rsidRPr="00B30C69">
        <w:rPr>
          <w:rFonts w:ascii="Calibri" w:eastAsia="Malgun Gothic" w:hAnsi="Calibri" w:cs="Times New Roman"/>
          <w:szCs w:val="22"/>
          <w:lang w:val="en-AU" w:eastAsia="ko-KR"/>
        </w:rPr>
        <w:t>give a clear idea of the consequences and impacts of initiatives and lead to better targeted service delivery by focusing on the different situations and needs of women.</w:t>
      </w:r>
      <w:r w:rsidR="00B30C69" w:rsidRPr="00B30C69">
        <w:rPr>
          <w:rFonts w:ascii="Calibri" w:eastAsia="Malgun Gothic" w:hAnsi="Calibri" w:cs="Times New Roman"/>
          <w:szCs w:val="22"/>
          <w:lang w:val="en-AU" w:eastAsia="ko-KR"/>
        </w:rPr>
        <w:t xml:space="preserve"> </w:t>
      </w:r>
      <w:r w:rsidR="00354C8E" w:rsidRPr="00B30C69">
        <w:rPr>
          <w:rFonts w:ascii="Calibri" w:eastAsia="Malgun Gothic" w:hAnsi="Calibri" w:cs="Times New Roman"/>
          <w:szCs w:val="22"/>
          <w:lang w:val="en-AU" w:eastAsia="ko-KR"/>
        </w:rPr>
        <w:br w:type="page"/>
      </w:r>
    </w:p>
    <w:p w14:paraId="19370C01" w14:textId="77777777" w:rsidR="00354C8E" w:rsidRPr="00A33FFF" w:rsidRDefault="00354C8E" w:rsidP="00354C8E">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240" w:line="240" w:lineRule="auto"/>
        <w:jc w:val="left"/>
        <w:rPr>
          <w:rFonts w:eastAsia="Malgun Gothic" w:cs="Arial"/>
          <w:color w:val="385623"/>
          <w:szCs w:val="22"/>
          <w:lang w:val="en-AU" w:eastAsia="ko-KR"/>
        </w:rPr>
      </w:pPr>
      <w:r w:rsidRPr="00410F9F">
        <w:rPr>
          <w:rFonts w:ascii="Calibri" w:eastAsia="Malgun Gothic" w:hAnsi="Calibri" w:cs="Times New Roman"/>
          <w:b/>
          <w:color w:val="385623"/>
          <w:sz w:val="40"/>
          <w:szCs w:val="40"/>
          <w:lang w:val="en-AU" w:eastAsia="ko-KR"/>
        </w:rPr>
        <w:lastRenderedPageBreak/>
        <w:t xml:space="preserve">GENDER ANALYSIS – </w:t>
      </w:r>
      <w:r>
        <w:rPr>
          <w:rFonts w:ascii="Calibri" w:eastAsia="Malgun Gothic" w:hAnsi="Calibri" w:cs="Times New Roman"/>
          <w:b/>
          <w:color w:val="385623"/>
          <w:sz w:val="40"/>
          <w:szCs w:val="40"/>
          <w:lang w:val="en-AU" w:eastAsia="ko-KR"/>
        </w:rPr>
        <w:t>Glossary</w:t>
      </w:r>
      <w:r w:rsidRPr="00E04526">
        <w:rPr>
          <w:rStyle w:val="EndnoteReference"/>
          <w:rFonts w:ascii="Calibri" w:eastAsia="Malgun Gothic" w:hAnsi="Calibri" w:cs="Times New Roman"/>
          <w:color w:val="385623"/>
          <w:sz w:val="28"/>
          <w:szCs w:val="40"/>
          <w:lang w:val="en-AU" w:eastAsia="ko-KR"/>
        </w:rPr>
        <w:endnoteReference w:id="15"/>
      </w:r>
      <w:r>
        <w:rPr>
          <w:rFonts w:ascii="Calibri" w:eastAsia="Malgun Gothic" w:hAnsi="Calibri" w:cs="Times New Roman"/>
          <w:b/>
          <w:color w:val="385623"/>
          <w:sz w:val="40"/>
          <w:szCs w:val="40"/>
          <w:lang w:val="en-AU" w:eastAsia="ko-KR"/>
        </w:rPr>
        <w:t xml:space="preserve">                           </w:t>
      </w:r>
      <w:r>
        <w:rPr>
          <w:rFonts w:ascii="Calibri" w:eastAsia="Malgun Gothic" w:hAnsi="Calibri" w:cs="Times New Roman"/>
          <w:b/>
          <w:noProof/>
          <w:color w:val="385623"/>
          <w:sz w:val="40"/>
          <w:szCs w:val="40"/>
          <w:lang w:val="en-AU" w:eastAsia="ko-KR"/>
        </w:rPr>
        <w:drawing>
          <wp:inline distT="0" distB="0" distL="0" distR="0" wp14:anchorId="476DCCDB" wp14:editId="5A58BD95">
            <wp:extent cx="871855" cy="871855"/>
            <wp:effectExtent l="0" t="0" r="4445" b="444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pic:spPr>
                </pic:pic>
              </a:graphicData>
            </a:graphic>
          </wp:inline>
        </w:drawing>
      </w:r>
    </w:p>
    <w:p w14:paraId="6FD444AC" w14:textId="77777777" w:rsidR="00354C8E" w:rsidRPr="002E2640" w:rsidRDefault="00354C8E" w:rsidP="00354C8E">
      <w:pPr>
        <w:spacing w:before="240" w:line="240" w:lineRule="auto"/>
        <w:ind w:left="181" w:hanging="181"/>
        <w:jc w:val="left"/>
        <w:rPr>
          <w:rFonts w:ascii="Calibri" w:eastAsia="Malgun Gothic" w:hAnsi="Calibri" w:cs="Times New Roman"/>
          <w:b/>
          <w:color w:val="5A5098"/>
          <w:szCs w:val="22"/>
          <w:lang w:val="en-AU" w:eastAsia="ko-KR"/>
        </w:rPr>
      </w:pPr>
      <w:r w:rsidRPr="002E2640">
        <w:rPr>
          <w:rFonts w:ascii="Calibri" w:eastAsia="Malgun Gothic" w:hAnsi="Calibri" w:cs="Times New Roman"/>
          <w:b/>
          <w:color w:val="5A5098"/>
          <w:szCs w:val="22"/>
          <w:lang w:val="en-AU" w:eastAsia="ko-KR"/>
        </w:rPr>
        <w:t xml:space="preserve">Gender </w:t>
      </w:r>
    </w:p>
    <w:p w14:paraId="3D5B712C" w14:textId="77777777" w:rsidR="00354C8E" w:rsidRPr="002E2640" w:rsidRDefault="00354C8E" w:rsidP="00354C8E">
      <w:pPr>
        <w:numPr>
          <w:ilvl w:val="0"/>
          <w:numId w:val="12"/>
        </w:numPr>
        <w:spacing w:line="240" w:lineRule="auto"/>
        <w:ind w:left="357" w:hanging="357"/>
        <w:jc w:val="left"/>
        <w:rPr>
          <w:rFonts w:ascii="Calibri" w:eastAsia="Malgun Gothic" w:hAnsi="Calibri" w:cs="Times New Roman"/>
          <w:szCs w:val="22"/>
          <w:lang w:val="en-AU" w:eastAsia="ko-KR"/>
        </w:rPr>
      </w:pPr>
      <w:r w:rsidRPr="002E2640">
        <w:rPr>
          <w:rFonts w:ascii="Calibri" w:eastAsia="Malgun Gothic" w:hAnsi="Calibri" w:cs="Times New Roman"/>
          <w:szCs w:val="22"/>
          <w:lang w:val="en-AU" w:eastAsia="ko-KR"/>
        </w:rPr>
        <w:t>refers to the social identities associated with being female and male, which are learned and supported by social systems, cultural beliefs and attitudes</w:t>
      </w:r>
    </w:p>
    <w:p w14:paraId="78117408" w14:textId="77777777" w:rsidR="00354C8E" w:rsidRPr="002E2640" w:rsidRDefault="00354C8E" w:rsidP="00354C8E">
      <w:pPr>
        <w:numPr>
          <w:ilvl w:val="0"/>
          <w:numId w:val="12"/>
        </w:numPr>
        <w:spacing w:line="240" w:lineRule="auto"/>
        <w:ind w:left="357" w:hanging="357"/>
        <w:jc w:val="left"/>
        <w:rPr>
          <w:rFonts w:ascii="Calibri" w:eastAsia="Malgun Gothic" w:hAnsi="Calibri" w:cs="Times New Roman"/>
          <w:szCs w:val="22"/>
          <w:lang w:val="en-AU" w:eastAsia="ko-KR"/>
        </w:rPr>
      </w:pPr>
      <w:r w:rsidRPr="002E2640">
        <w:rPr>
          <w:rFonts w:ascii="Calibri" w:eastAsia="Malgun Gothic" w:hAnsi="Calibri" w:cs="Times New Roman"/>
          <w:szCs w:val="22"/>
          <w:lang w:val="en-AU" w:eastAsia="ko-KR"/>
        </w:rPr>
        <w:t>also refers to the relations between and among women and men, the different expectations and values placed upon their identities, roles and relations, and the consequent differences in experience and outcomes for women and men</w:t>
      </w:r>
    </w:p>
    <w:p w14:paraId="509D48F2" w14:textId="77777777" w:rsidR="00354C8E" w:rsidRPr="002E2640" w:rsidRDefault="00354C8E" w:rsidP="00354C8E">
      <w:pPr>
        <w:numPr>
          <w:ilvl w:val="0"/>
          <w:numId w:val="12"/>
        </w:numPr>
        <w:spacing w:line="240" w:lineRule="auto"/>
        <w:ind w:left="357" w:hanging="357"/>
        <w:jc w:val="left"/>
        <w:rPr>
          <w:rFonts w:ascii="Calibri" w:eastAsia="Malgun Gothic" w:hAnsi="Calibri" w:cs="Times New Roman"/>
          <w:szCs w:val="22"/>
          <w:lang w:val="en-AU" w:eastAsia="ko-KR"/>
        </w:rPr>
      </w:pPr>
      <w:r w:rsidRPr="002E2640">
        <w:rPr>
          <w:rFonts w:ascii="Calibri" w:eastAsia="Malgun Gothic" w:hAnsi="Calibri" w:cs="Times New Roman"/>
          <w:szCs w:val="22"/>
          <w:lang w:val="en-AU" w:eastAsia="ko-KR"/>
        </w:rPr>
        <w:t>involves social differences that are learned, changeable over time and variable within and between contexts and cultures</w:t>
      </w:r>
    </w:p>
    <w:p w14:paraId="3D045770" w14:textId="77777777" w:rsidR="00354C8E" w:rsidRPr="002E2640" w:rsidRDefault="00354C8E" w:rsidP="00354C8E">
      <w:pPr>
        <w:numPr>
          <w:ilvl w:val="0"/>
          <w:numId w:val="12"/>
        </w:numPr>
        <w:spacing w:line="240" w:lineRule="auto"/>
        <w:ind w:left="357" w:hanging="357"/>
        <w:jc w:val="left"/>
        <w:rPr>
          <w:rFonts w:ascii="Calibri" w:eastAsia="Malgun Gothic" w:hAnsi="Calibri" w:cs="Times New Roman"/>
          <w:szCs w:val="22"/>
          <w:lang w:val="en-AU" w:eastAsia="ko-KR"/>
        </w:rPr>
      </w:pPr>
      <w:r w:rsidRPr="002E2640">
        <w:rPr>
          <w:rFonts w:ascii="Calibri" w:eastAsia="Malgun Gothic" w:hAnsi="Calibri" w:cs="Times New Roman"/>
          <w:szCs w:val="22"/>
          <w:lang w:val="en-AU" w:eastAsia="ko-KR"/>
        </w:rPr>
        <w:t xml:space="preserve">is diverse and not limited to female and male (not everyone’s gender is clear and not everyone embraces the gender they were born with). </w:t>
      </w:r>
    </w:p>
    <w:p w14:paraId="6A9B3043" w14:textId="77777777" w:rsidR="00354C8E" w:rsidRPr="002E2640" w:rsidRDefault="00354C8E" w:rsidP="00354C8E">
      <w:pPr>
        <w:spacing w:before="240" w:line="240" w:lineRule="auto"/>
        <w:ind w:left="181" w:hanging="181"/>
        <w:jc w:val="left"/>
        <w:rPr>
          <w:rFonts w:ascii="Calibri" w:eastAsia="Malgun Gothic" w:hAnsi="Calibri" w:cs="Times New Roman"/>
          <w:color w:val="5A5098"/>
          <w:szCs w:val="22"/>
          <w:lang w:val="en-AU" w:eastAsia="ko-KR"/>
        </w:rPr>
      </w:pPr>
      <w:r w:rsidRPr="002E2640">
        <w:rPr>
          <w:rFonts w:ascii="Calibri" w:eastAsia="Malgun Gothic" w:hAnsi="Calibri" w:cs="Times New Roman"/>
          <w:b/>
          <w:color w:val="5A5098"/>
          <w:szCs w:val="22"/>
          <w:lang w:val="en-AU" w:eastAsia="ko-KR"/>
        </w:rPr>
        <w:t>Gender analysis</w:t>
      </w:r>
      <w:r w:rsidRPr="002E2640">
        <w:rPr>
          <w:rFonts w:ascii="Calibri" w:eastAsia="Malgun Gothic" w:hAnsi="Calibri" w:cs="Times New Roman"/>
          <w:color w:val="5A5098"/>
          <w:szCs w:val="22"/>
          <w:lang w:val="en-AU" w:eastAsia="ko-KR"/>
        </w:rPr>
        <w:t xml:space="preserve"> </w:t>
      </w:r>
    </w:p>
    <w:p w14:paraId="5E976C9B" w14:textId="77777777" w:rsidR="00354C8E" w:rsidRPr="002E2640" w:rsidRDefault="00354C8E" w:rsidP="00354C8E">
      <w:pPr>
        <w:numPr>
          <w:ilvl w:val="0"/>
          <w:numId w:val="12"/>
        </w:numPr>
        <w:spacing w:line="240" w:lineRule="auto"/>
        <w:ind w:left="357" w:hanging="357"/>
        <w:jc w:val="left"/>
        <w:rPr>
          <w:rFonts w:ascii="Calibri" w:eastAsia="Malgun Gothic" w:hAnsi="Calibri" w:cs="Times New Roman"/>
          <w:szCs w:val="22"/>
          <w:lang w:val="en-AU" w:eastAsia="ko-KR"/>
        </w:rPr>
      </w:pPr>
      <w:r w:rsidRPr="002E2640">
        <w:rPr>
          <w:rFonts w:ascii="Calibri" w:eastAsia="Malgun Gothic" w:hAnsi="Calibri" w:cs="Times New Roman"/>
          <w:szCs w:val="22"/>
          <w:lang w:val="en-AU" w:eastAsia="ko-KR"/>
        </w:rPr>
        <w:t>is a process for assessing and understanding differences in the lives of people of all genders, their participation in social and economic life, and the different impacts on their lives of policies, programs and services</w:t>
      </w:r>
    </w:p>
    <w:p w14:paraId="722E5038" w14:textId="77777777" w:rsidR="00354C8E" w:rsidRPr="002E2640" w:rsidRDefault="00354C8E" w:rsidP="00354C8E">
      <w:pPr>
        <w:numPr>
          <w:ilvl w:val="0"/>
          <w:numId w:val="12"/>
        </w:numPr>
        <w:spacing w:line="240" w:lineRule="auto"/>
        <w:ind w:left="357" w:hanging="357"/>
        <w:jc w:val="left"/>
        <w:rPr>
          <w:rFonts w:ascii="Calibri" w:eastAsia="Malgun Gothic" w:hAnsi="Calibri" w:cs="Times New Roman"/>
          <w:szCs w:val="22"/>
          <w:lang w:val="en-AU" w:eastAsia="ko-KR"/>
        </w:rPr>
      </w:pPr>
      <w:r w:rsidRPr="002E2640">
        <w:rPr>
          <w:rFonts w:ascii="Calibri" w:eastAsia="Malgun Gothic" w:hAnsi="Calibri" w:cs="Times New Roman"/>
          <w:szCs w:val="22"/>
          <w:lang w:val="en-AU" w:eastAsia="ko-KR"/>
        </w:rPr>
        <w:t>aims to redress gender inequalities and inequities.</w:t>
      </w:r>
    </w:p>
    <w:p w14:paraId="75C87358" w14:textId="77777777" w:rsidR="00354C8E" w:rsidRPr="00253428" w:rsidRDefault="00354C8E" w:rsidP="00354C8E">
      <w:pPr>
        <w:spacing w:before="240" w:line="240" w:lineRule="auto"/>
        <w:ind w:left="181" w:hanging="181"/>
        <w:jc w:val="left"/>
        <w:rPr>
          <w:rFonts w:ascii="Calibri" w:eastAsia="Malgun Gothic" w:hAnsi="Calibri" w:cs="Times New Roman"/>
          <w:b/>
          <w:color w:val="5A5098"/>
          <w:szCs w:val="22"/>
          <w:lang w:val="en-AU" w:eastAsia="ko-KR"/>
        </w:rPr>
      </w:pPr>
      <w:r w:rsidRPr="002E2640">
        <w:rPr>
          <w:rFonts w:ascii="Calibri" w:eastAsia="Malgun Gothic" w:hAnsi="Calibri" w:cs="Times New Roman"/>
          <w:b/>
          <w:color w:val="5A5098"/>
          <w:szCs w:val="22"/>
          <w:lang w:val="en-AU" w:eastAsia="ko-KR"/>
        </w:rPr>
        <w:t>Gender audit</w:t>
      </w:r>
      <w:r w:rsidRPr="00253428">
        <w:rPr>
          <w:rFonts w:ascii="Calibri" w:eastAsia="Malgun Gothic" w:hAnsi="Calibri" w:cs="Times New Roman"/>
          <w:b/>
          <w:color w:val="5A5098"/>
          <w:szCs w:val="22"/>
          <w:lang w:val="en-AU" w:eastAsia="ko-KR"/>
        </w:rPr>
        <w:t xml:space="preserve"> </w:t>
      </w:r>
    </w:p>
    <w:p w14:paraId="25FDF2AD" w14:textId="77777777" w:rsidR="00354C8E" w:rsidRPr="002E2640" w:rsidRDefault="00354C8E" w:rsidP="00354C8E">
      <w:pPr>
        <w:numPr>
          <w:ilvl w:val="0"/>
          <w:numId w:val="12"/>
        </w:numPr>
        <w:spacing w:line="240" w:lineRule="auto"/>
        <w:ind w:left="357" w:hanging="357"/>
        <w:jc w:val="left"/>
        <w:rPr>
          <w:rFonts w:ascii="Calibri" w:eastAsia="Malgun Gothic" w:hAnsi="Calibri" w:cs="Times New Roman"/>
          <w:b/>
          <w:szCs w:val="22"/>
          <w:lang w:val="en-AU" w:eastAsia="ko-KR"/>
        </w:rPr>
      </w:pPr>
      <w:r w:rsidRPr="002E2640">
        <w:rPr>
          <w:rFonts w:ascii="Calibri" w:eastAsia="Malgun Gothic" w:hAnsi="Calibri" w:cs="Times New Roman"/>
          <w:szCs w:val="22"/>
          <w:lang w:val="en-AU" w:eastAsia="ko-KR"/>
        </w:rPr>
        <w:t>is a systematic process that assesses the extent to which gender issues are taken into account in planning, implementing and reviewing policies, programs and services</w:t>
      </w:r>
    </w:p>
    <w:p w14:paraId="1A53AC7E" w14:textId="77777777" w:rsidR="00354C8E" w:rsidRPr="002E2640" w:rsidRDefault="00354C8E" w:rsidP="00354C8E">
      <w:pPr>
        <w:numPr>
          <w:ilvl w:val="0"/>
          <w:numId w:val="12"/>
        </w:numPr>
        <w:spacing w:line="240" w:lineRule="auto"/>
        <w:ind w:left="357" w:hanging="357"/>
        <w:jc w:val="left"/>
        <w:rPr>
          <w:rFonts w:ascii="Calibri" w:eastAsia="Malgun Gothic" w:hAnsi="Calibri" w:cs="Times New Roman"/>
          <w:b/>
          <w:szCs w:val="22"/>
          <w:lang w:val="en-AU" w:eastAsia="ko-KR"/>
        </w:rPr>
      </w:pPr>
      <w:r w:rsidRPr="002E2640">
        <w:rPr>
          <w:rFonts w:ascii="Calibri" w:eastAsia="Malgun Gothic" w:hAnsi="Calibri" w:cs="Times New Roman"/>
          <w:szCs w:val="22"/>
          <w:lang w:val="en-AU" w:eastAsia="ko-KR"/>
        </w:rPr>
        <w:t>also assesses whether gender equity objectives were included, the impacts on women and men, and strategies incorporated to mainstream gender planning.</w:t>
      </w:r>
    </w:p>
    <w:p w14:paraId="170D28DB" w14:textId="77777777" w:rsidR="00354C8E" w:rsidRPr="00253428" w:rsidRDefault="00354C8E" w:rsidP="00354C8E">
      <w:pPr>
        <w:spacing w:before="240" w:line="240" w:lineRule="auto"/>
        <w:ind w:left="181" w:hanging="181"/>
        <w:jc w:val="left"/>
        <w:rPr>
          <w:rFonts w:ascii="Calibri" w:eastAsia="Malgun Gothic" w:hAnsi="Calibri" w:cs="Times New Roman"/>
          <w:b/>
          <w:color w:val="5A5098"/>
          <w:szCs w:val="22"/>
          <w:lang w:val="en-AU" w:eastAsia="ko-KR"/>
        </w:rPr>
      </w:pPr>
      <w:r w:rsidRPr="002E2640">
        <w:rPr>
          <w:rFonts w:ascii="Calibri" w:eastAsia="Malgun Gothic" w:hAnsi="Calibri" w:cs="Times New Roman"/>
          <w:b/>
          <w:color w:val="5A5098"/>
          <w:szCs w:val="22"/>
          <w:lang w:val="en-AU" w:eastAsia="ko-KR"/>
        </w:rPr>
        <w:t>Gender bias</w:t>
      </w:r>
      <w:r w:rsidRPr="00253428">
        <w:rPr>
          <w:rFonts w:ascii="Calibri" w:eastAsia="Malgun Gothic" w:hAnsi="Calibri" w:cs="Times New Roman"/>
          <w:b/>
          <w:color w:val="5A5098"/>
          <w:szCs w:val="22"/>
          <w:lang w:val="en-AU" w:eastAsia="ko-KR"/>
        </w:rPr>
        <w:t xml:space="preserve"> </w:t>
      </w:r>
    </w:p>
    <w:p w14:paraId="6EE50D2F" w14:textId="77777777" w:rsidR="00354C8E" w:rsidRPr="002E2640" w:rsidRDefault="00354C8E" w:rsidP="00354C8E">
      <w:pPr>
        <w:numPr>
          <w:ilvl w:val="0"/>
          <w:numId w:val="12"/>
        </w:numPr>
        <w:spacing w:line="240" w:lineRule="auto"/>
        <w:ind w:left="357" w:hanging="357"/>
        <w:jc w:val="left"/>
        <w:rPr>
          <w:rFonts w:ascii="Calibri" w:eastAsia="Malgun Gothic" w:hAnsi="Calibri" w:cs="Times New Roman"/>
          <w:szCs w:val="22"/>
          <w:lang w:val="en-AU" w:eastAsia="ko-KR"/>
        </w:rPr>
      </w:pPr>
      <w:r w:rsidRPr="002E2640">
        <w:rPr>
          <w:rFonts w:ascii="Calibri" w:eastAsia="Malgun Gothic" w:hAnsi="Calibri" w:cs="Times New Roman"/>
          <w:szCs w:val="22"/>
          <w:lang w:val="en-AU" w:eastAsia="ko-KR"/>
        </w:rPr>
        <w:t xml:space="preserve">is an approach that, while often appearing neutral, is implicitly inclined towards one gender (usually men) or prejudiced against one gender (usually women). </w:t>
      </w:r>
    </w:p>
    <w:p w14:paraId="6437A3AE" w14:textId="77777777" w:rsidR="00354C8E" w:rsidRPr="00253428" w:rsidRDefault="00354C8E" w:rsidP="00354C8E">
      <w:pPr>
        <w:spacing w:before="240" w:line="240" w:lineRule="auto"/>
        <w:ind w:left="181" w:hanging="181"/>
        <w:jc w:val="left"/>
        <w:rPr>
          <w:rFonts w:ascii="Calibri" w:eastAsia="Malgun Gothic" w:hAnsi="Calibri" w:cs="Times New Roman"/>
          <w:b/>
          <w:color w:val="5A5098"/>
          <w:szCs w:val="22"/>
          <w:lang w:val="en-AU" w:eastAsia="ko-KR"/>
        </w:rPr>
      </w:pPr>
      <w:r w:rsidRPr="002E2640">
        <w:rPr>
          <w:rFonts w:ascii="Calibri" w:eastAsia="Malgun Gothic" w:hAnsi="Calibri" w:cs="Times New Roman"/>
          <w:b/>
          <w:color w:val="5A5098"/>
          <w:szCs w:val="22"/>
          <w:lang w:val="en-AU" w:eastAsia="ko-KR"/>
        </w:rPr>
        <w:t>Gender blindness</w:t>
      </w:r>
      <w:r w:rsidRPr="00253428">
        <w:rPr>
          <w:rFonts w:ascii="Calibri" w:eastAsia="Malgun Gothic" w:hAnsi="Calibri" w:cs="Times New Roman"/>
          <w:b/>
          <w:color w:val="5A5098"/>
          <w:szCs w:val="22"/>
          <w:lang w:val="en-AU" w:eastAsia="ko-KR"/>
        </w:rPr>
        <w:t xml:space="preserve"> </w:t>
      </w:r>
    </w:p>
    <w:p w14:paraId="458F41B9" w14:textId="77777777" w:rsidR="00354C8E" w:rsidRPr="002E2640" w:rsidRDefault="00354C8E" w:rsidP="00354C8E">
      <w:pPr>
        <w:numPr>
          <w:ilvl w:val="0"/>
          <w:numId w:val="12"/>
        </w:numPr>
        <w:spacing w:line="240" w:lineRule="auto"/>
        <w:ind w:left="357" w:hanging="357"/>
        <w:jc w:val="left"/>
        <w:rPr>
          <w:rFonts w:ascii="Calibri" w:eastAsia="Malgun Gothic" w:hAnsi="Calibri" w:cs="Times New Roman"/>
          <w:szCs w:val="22"/>
          <w:lang w:val="en-AU" w:eastAsia="ko-KR"/>
        </w:rPr>
      </w:pPr>
      <w:r w:rsidRPr="002E2640">
        <w:rPr>
          <w:rFonts w:ascii="Calibri" w:eastAsia="Malgun Gothic" w:hAnsi="Calibri" w:cs="Times New Roman"/>
          <w:szCs w:val="22"/>
          <w:lang w:val="en-AU" w:eastAsia="ko-KR"/>
        </w:rPr>
        <w:t>is an attempt to address inequity by simplistically treating all people the same, but does not actually address the gender implications and potential unintended consequences on people of different genders.</w:t>
      </w:r>
    </w:p>
    <w:p w14:paraId="23D9252F" w14:textId="77777777" w:rsidR="00354C8E" w:rsidRPr="00253428" w:rsidRDefault="00354C8E" w:rsidP="00354C8E">
      <w:pPr>
        <w:spacing w:before="240" w:line="240" w:lineRule="auto"/>
        <w:ind w:left="181" w:hanging="181"/>
        <w:jc w:val="left"/>
        <w:rPr>
          <w:rFonts w:ascii="Calibri" w:eastAsia="Malgun Gothic" w:hAnsi="Calibri" w:cs="Times New Roman"/>
          <w:b/>
          <w:color w:val="5A5098"/>
          <w:szCs w:val="22"/>
          <w:lang w:val="en-AU" w:eastAsia="ko-KR"/>
        </w:rPr>
      </w:pPr>
      <w:r w:rsidRPr="002E2640">
        <w:rPr>
          <w:rFonts w:ascii="Calibri" w:eastAsia="Malgun Gothic" w:hAnsi="Calibri" w:cs="Times New Roman"/>
          <w:b/>
          <w:color w:val="5A5098"/>
          <w:szCs w:val="22"/>
          <w:lang w:val="en-AU" w:eastAsia="ko-KR"/>
        </w:rPr>
        <w:t>Gender budget</w:t>
      </w:r>
      <w:r w:rsidRPr="00253428">
        <w:rPr>
          <w:rFonts w:ascii="Calibri" w:eastAsia="Malgun Gothic" w:hAnsi="Calibri" w:cs="Times New Roman"/>
          <w:b/>
          <w:color w:val="5A5098"/>
          <w:szCs w:val="22"/>
          <w:lang w:val="en-AU" w:eastAsia="ko-KR"/>
        </w:rPr>
        <w:t xml:space="preserve"> </w:t>
      </w:r>
    </w:p>
    <w:p w14:paraId="5C7440C8" w14:textId="77777777" w:rsidR="00354C8E" w:rsidRPr="002E2640" w:rsidRDefault="00354C8E" w:rsidP="00354C8E">
      <w:pPr>
        <w:numPr>
          <w:ilvl w:val="0"/>
          <w:numId w:val="12"/>
        </w:numPr>
        <w:spacing w:line="240" w:lineRule="auto"/>
        <w:ind w:hanging="357"/>
        <w:jc w:val="left"/>
        <w:rPr>
          <w:rFonts w:ascii="Calibri" w:eastAsia="Malgun Gothic" w:hAnsi="Calibri" w:cs="Times New Roman"/>
          <w:b/>
          <w:szCs w:val="22"/>
          <w:lang w:val="en-AU" w:eastAsia="ko-KR"/>
        </w:rPr>
      </w:pPr>
      <w:r w:rsidRPr="002E2640">
        <w:rPr>
          <w:rFonts w:ascii="Calibri" w:eastAsia="Malgun Gothic" w:hAnsi="Calibri" w:cs="Times New Roman"/>
          <w:szCs w:val="22"/>
          <w:lang w:val="en-AU" w:eastAsia="ko-KR"/>
        </w:rPr>
        <w:t>promotes equality and equity, by identifying:</w:t>
      </w:r>
    </w:p>
    <w:p w14:paraId="72E62826" w14:textId="77777777" w:rsidR="00354C8E" w:rsidRPr="002E2640" w:rsidRDefault="00354C8E" w:rsidP="00354C8E">
      <w:pPr>
        <w:numPr>
          <w:ilvl w:val="0"/>
          <w:numId w:val="13"/>
        </w:numPr>
        <w:spacing w:line="240" w:lineRule="auto"/>
        <w:ind w:hanging="357"/>
        <w:jc w:val="left"/>
        <w:rPr>
          <w:rFonts w:ascii="Calibri" w:eastAsia="Malgun Gothic" w:hAnsi="Calibri" w:cs="Times New Roman"/>
          <w:szCs w:val="22"/>
          <w:lang w:val="en-AU" w:eastAsia="ko-KR"/>
        </w:rPr>
      </w:pPr>
      <w:r w:rsidRPr="002E2640">
        <w:rPr>
          <w:rFonts w:ascii="Calibri" w:eastAsia="Malgun Gothic" w:hAnsi="Calibri" w:cs="Times New Roman"/>
          <w:szCs w:val="22"/>
          <w:lang w:val="en-AU" w:eastAsia="ko-KR"/>
        </w:rPr>
        <w:t>expenditures targeted to specific groups of women and men to meet their specific needs</w:t>
      </w:r>
    </w:p>
    <w:p w14:paraId="029F1E70" w14:textId="77777777" w:rsidR="00354C8E" w:rsidRPr="002E2640" w:rsidRDefault="00354C8E" w:rsidP="00354C8E">
      <w:pPr>
        <w:numPr>
          <w:ilvl w:val="0"/>
          <w:numId w:val="13"/>
        </w:numPr>
        <w:spacing w:line="240" w:lineRule="auto"/>
        <w:ind w:hanging="357"/>
        <w:jc w:val="left"/>
        <w:rPr>
          <w:rFonts w:ascii="Calibri" w:eastAsia="Malgun Gothic" w:hAnsi="Calibri" w:cs="Times New Roman"/>
          <w:szCs w:val="22"/>
          <w:lang w:val="en-AU" w:eastAsia="ko-KR"/>
        </w:rPr>
      </w:pPr>
      <w:r w:rsidRPr="002E2640">
        <w:rPr>
          <w:rFonts w:ascii="Calibri" w:eastAsia="Malgun Gothic" w:hAnsi="Calibri" w:cs="Times New Roman"/>
          <w:szCs w:val="22"/>
          <w:lang w:val="en-AU" w:eastAsia="ko-KR"/>
        </w:rPr>
        <w:t>expenditures to promote equal opportunities, especially within the public sector.</w:t>
      </w:r>
    </w:p>
    <w:p w14:paraId="3439C871" w14:textId="77777777" w:rsidR="00E04526" w:rsidRDefault="00E04526">
      <w:pPr>
        <w:spacing w:after="0" w:line="240" w:lineRule="auto"/>
        <w:jc w:val="left"/>
        <w:rPr>
          <w:rFonts w:ascii="Calibri" w:eastAsia="Malgun Gothic" w:hAnsi="Calibri" w:cs="Times New Roman"/>
          <w:b/>
          <w:color w:val="5A5098"/>
          <w:szCs w:val="22"/>
          <w:lang w:val="en-AU" w:eastAsia="ko-KR"/>
        </w:rPr>
      </w:pPr>
      <w:r>
        <w:rPr>
          <w:rFonts w:ascii="Calibri" w:eastAsia="Malgun Gothic" w:hAnsi="Calibri" w:cs="Times New Roman"/>
          <w:b/>
          <w:color w:val="5A5098"/>
          <w:szCs w:val="22"/>
          <w:lang w:val="en-AU" w:eastAsia="ko-KR"/>
        </w:rPr>
        <w:br w:type="page"/>
      </w:r>
    </w:p>
    <w:p w14:paraId="2D5F6011" w14:textId="67F4C516" w:rsidR="00354C8E" w:rsidRPr="00253428" w:rsidRDefault="00354C8E" w:rsidP="00354C8E">
      <w:pPr>
        <w:spacing w:before="240" w:line="240" w:lineRule="auto"/>
        <w:ind w:left="181" w:hanging="181"/>
        <w:jc w:val="left"/>
        <w:rPr>
          <w:rFonts w:ascii="Calibri" w:eastAsia="Malgun Gothic" w:hAnsi="Calibri" w:cs="Times New Roman"/>
          <w:b/>
          <w:color w:val="5A5098"/>
          <w:szCs w:val="22"/>
          <w:lang w:val="en-AU" w:eastAsia="ko-KR"/>
        </w:rPr>
      </w:pPr>
      <w:r w:rsidRPr="002E2640">
        <w:rPr>
          <w:rFonts w:ascii="Calibri" w:eastAsia="Malgun Gothic" w:hAnsi="Calibri" w:cs="Times New Roman"/>
          <w:b/>
          <w:color w:val="5A5098"/>
          <w:szCs w:val="22"/>
          <w:lang w:val="en-AU" w:eastAsia="ko-KR"/>
        </w:rPr>
        <w:lastRenderedPageBreak/>
        <w:t>Gender equality</w:t>
      </w:r>
      <w:r w:rsidRPr="00253428">
        <w:rPr>
          <w:rFonts w:ascii="Calibri" w:eastAsia="Malgun Gothic" w:hAnsi="Calibri" w:cs="Times New Roman"/>
          <w:b/>
          <w:color w:val="5A5098"/>
          <w:szCs w:val="22"/>
          <w:lang w:val="en-AU" w:eastAsia="ko-KR"/>
        </w:rPr>
        <w:t xml:space="preserve"> </w:t>
      </w:r>
    </w:p>
    <w:p w14:paraId="3EF53A8E" w14:textId="77777777" w:rsidR="00354C8E" w:rsidRPr="002E2640" w:rsidRDefault="00354C8E" w:rsidP="00354C8E">
      <w:pPr>
        <w:numPr>
          <w:ilvl w:val="0"/>
          <w:numId w:val="12"/>
        </w:numPr>
        <w:spacing w:line="240" w:lineRule="auto"/>
        <w:ind w:left="357" w:hanging="357"/>
        <w:jc w:val="left"/>
        <w:rPr>
          <w:rFonts w:ascii="Calibri" w:eastAsia="Malgun Gothic" w:hAnsi="Calibri" w:cs="Times New Roman"/>
          <w:szCs w:val="22"/>
          <w:lang w:val="en-AU" w:eastAsia="ko-KR"/>
        </w:rPr>
      </w:pPr>
      <w:r w:rsidRPr="002E2640">
        <w:rPr>
          <w:rFonts w:ascii="Calibri" w:eastAsia="Malgun Gothic" w:hAnsi="Calibri" w:cs="Times New Roman"/>
          <w:szCs w:val="22"/>
          <w:lang w:val="en-AU" w:eastAsia="ko-KR"/>
        </w:rPr>
        <w:t>involves people of all gender identities enjoying equal status, with equal rights, responsibilities and opportunities to realise their full human rights and potential</w:t>
      </w:r>
    </w:p>
    <w:p w14:paraId="60D423EA" w14:textId="77777777" w:rsidR="00354C8E" w:rsidRPr="002E2640" w:rsidRDefault="00354C8E" w:rsidP="00354C8E">
      <w:pPr>
        <w:numPr>
          <w:ilvl w:val="0"/>
          <w:numId w:val="12"/>
        </w:numPr>
        <w:spacing w:line="240" w:lineRule="auto"/>
        <w:ind w:left="357" w:hanging="357"/>
        <w:jc w:val="left"/>
        <w:rPr>
          <w:rFonts w:ascii="Calibri" w:eastAsia="Malgun Gothic" w:hAnsi="Calibri" w:cs="Times New Roman"/>
          <w:szCs w:val="22"/>
          <w:lang w:val="en-AU" w:eastAsia="ko-KR"/>
        </w:rPr>
      </w:pPr>
      <w:r w:rsidRPr="002E2640">
        <w:rPr>
          <w:rFonts w:ascii="Calibri" w:eastAsia="Malgun Gothic" w:hAnsi="Calibri" w:cs="Times New Roman"/>
          <w:szCs w:val="22"/>
          <w:lang w:val="en-AU" w:eastAsia="ko-KR"/>
        </w:rPr>
        <w:t>implies that the interests, needs and priorities of people of a different gender identity are taken into consideration, thereby recognising the diversity of people of a different gender identity.</w:t>
      </w:r>
    </w:p>
    <w:p w14:paraId="4572A90A" w14:textId="77777777" w:rsidR="00354C8E" w:rsidRPr="00253428" w:rsidRDefault="00354C8E" w:rsidP="00354C8E">
      <w:pPr>
        <w:spacing w:before="240" w:line="240" w:lineRule="auto"/>
        <w:ind w:left="181" w:hanging="181"/>
        <w:jc w:val="left"/>
        <w:rPr>
          <w:rFonts w:ascii="Calibri" w:eastAsia="Malgun Gothic" w:hAnsi="Calibri" w:cs="Times New Roman"/>
          <w:b/>
          <w:color w:val="5A5098"/>
          <w:szCs w:val="22"/>
          <w:lang w:val="en-AU" w:eastAsia="ko-KR"/>
        </w:rPr>
      </w:pPr>
      <w:r w:rsidRPr="002E2640">
        <w:rPr>
          <w:rFonts w:ascii="Calibri" w:eastAsia="Malgun Gothic" w:hAnsi="Calibri" w:cs="Times New Roman"/>
          <w:b/>
          <w:color w:val="5A5098"/>
          <w:szCs w:val="22"/>
          <w:lang w:val="en-AU" w:eastAsia="ko-KR"/>
        </w:rPr>
        <w:t>Gender equity</w:t>
      </w:r>
      <w:r w:rsidRPr="00253428">
        <w:rPr>
          <w:rFonts w:ascii="Calibri" w:eastAsia="Malgun Gothic" w:hAnsi="Calibri" w:cs="Times New Roman"/>
          <w:b/>
          <w:color w:val="5A5098"/>
          <w:szCs w:val="22"/>
          <w:lang w:val="en-AU" w:eastAsia="ko-KR"/>
        </w:rPr>
        <w:t xml:space="preserve"> </w:t>
      </w:r>
    </w:p>
    <w:p w14:paraId="5ACBC716" w14:textId="77777777" w:rsidR="00354C8E" w:rsidRPr="00165ABC" w:rsidRDefault="00354C8E" w:rsidP="00354C8E">
      <w:pPr>
        <w:numPr>
          <w:ilvl w:val="0"/>
          <w:numId w:val="12"/>
        </w:numPr>
        <w:spacing w:line="240" w:lineRule="auto"/>
        <w:ind w:hanging="357"/>
        <w:jc w:val="left"/>
        <w:rPr>
          <w:rFonts w:ascii="Calibri" w:eastAsia="Malgun Gothic" w:hAnsi="Calibri" w:cs="Times New Roman"/>
          <w:szCs w:val="22"/>
          <w:lang w:val="en-AU" w:eastAsia="ko-KR"/>
        </w:rPr>
      </w:pPr>
      <w:r w:rsidRPr="00165ABC">
        <w:rPr>
          <w:rFonts w:ascii="Calibri" w:eastAsia="Malgun Gothic" w:hAnsi="Calibri" w:cs="Times New Roman"/>
          <w:szCs w:val="22"/>
          <w:lang w:val="en-AU" w:eastAsia="ko-KR"/>
        </w:rPr>
        <w:t>recognises that women and men have different lives, needs and power, and that to be fair, impartial and just, different steps need to be taken to create fair and equal outcomes</w:t>
      </w:r>
    </w:p>
    <w:p w14:paraId="56A18AC1" w14:textId="77777777" w:rsidR="00354C8E" w:rsidRPr="002A6845" w:rsidRDefault="00354C8E" w:rsidP="00354C8E">
      <w:pPr>
        <w:numPr>
          <w:ilvl w:val="0"/>
          <w:numId w:val="12"/>
        </w:numPr>
        <w:spacing w:line="240" w:lineRule="auto"/>
        <w:ind w:hanging="357"/>
        <w:jc w:val="left"/>
        <w:rPr>
          <w:rFonts w:ascii="Calibri" w:eastAsia="Malgun Gothic" w:hAnsi="Calibri" w:cs="Times New Roman"/>
          <w:szCs w:val="22"/>
          <w:lang w:val="en-AU" w:eastAsia="ko-KR"/>
        </w:rPr>
      </w:pPr>
      <w:r w:rsidRPr="002A6845">
        <w:rPr>
          <w:rFonts w:ascii="Calibri" w:eastAsia="Malgun Gothic" w:hAnsi="Calibri" w:cs="Times New Roman"/>
          <w:szCs w:val="22"/>
          <w:lang w:val="en-AU" w:eastAsia="ko-KR"/>
        </w:rPr>
        <w:t>may include equal treatment, or treatment that is different but equivalent in terms of rights, benefits, obligations and opportunities, and ‘levels the playing field,’ by creating circumstances through which gender equality can be achieved</w:t>
      </w:r>
    </w:p>
    <w:p w14:paraId="0E55004F" w14:textId="77777777" w:rsidR="00354C8E" w:rsidRPr="002E2640" w:rsidRDefault="00354C8E" w:rsidP="00354C8E">
      <w:pPr>
        <w:numPr>
          <w:ilvl w:val="0"/>
          <w:numId w:val="12"/>
        </w:numPr>
        <w:spacing w:line="240" w:lineRule="auto"/>
        <w:ind w:hanging="357"/>
        <w:jc w:val="left"/>
        <w:rPr>
          <w:rFonts w:ascii="Calibri" w:eastAsia="Malgun Gothic" w:hAnsi="Calibri" w:cs="Times New Roman"/>
          <w:szCs w:val="22"/>
          <w:lang w:val="en-AU" w:eastAsia="ko-KR"/>
        </w:rPr>
      </w:pPr>
      <w:r w:rsidRPr="002E2640">
        <w:rPr>
          <w:rFonts w:ascii="Calibri" w:eastAsia="Malgun Gothic" w:hAnsi="Calibri" w:cs="Times New Roman"/>
          <w:szCs w:val="22"/>
          <w:lang w:val="en-AU" w:eastAsia="ko-KR"/>
        </w:rPr>
        <w:t>as a term, should be used with caution as ‘fair’ treatment of women and men based on tradition, custom, religion or culture risks perpetuating unequal gender relations and solidifying gender stereotypes that are detrimental to women (for this reason, the term ‘gender equality’ is preferred by the United Nations, rather than ‘gender equity’).</w:t>
      </w:r>
    </w:p>
    <w:p w14:paraId="6DF98347" w14:textId="77777777" w:rsidR="00354C8E" w:rsidRPr="00253428" w:rsidRDefault="00354C8E" w:rsidP="00354C8E">
      <w:pPr>
        <w:spacing w:before="240" w:line="240" w:lineRule="auto"/>
        <w:ind w:left="181" w:hanging="181"/>
        <w:jc w:val="left"/>
        <w:rPr>
          <w:rFonts w:ascii="Calibri" w:eastAsia="Malgun Gothic" w:hAnsi="Calibri" w:cs="Times New Roman"/>
          <w:b/>
          <w:color w:val="5A5098"/>
          <w:szCs w:val="22"/>
          <w:lang w:val="en-AU" w:eastAsia="ko-KR"/>
        </w:rPr>
      </w:pPr>
      <w:r w:rsidRPr="002E2640">
        <w:rPr>
          <w:rFonts w:ascii="Calibri" w:eastAsia="Malgun Gothic" w:hAnsi="Calibri" w:cs="Times New Roman"/>
          <w:b/>
          <w:color w:val="5A5098"/>
          <w:szCs w:val="22"/>
          <w:lang w:val="en-AU" w:eastAsia="ko-KR"/>
        </w:rPr>
        <w:t>Gender mainstreaming</w:t>
      </w:r>
      <w:r w:rsidRPr="00253428">
        <w:rPr>
          <w:rFonts w:ascii="Calibri" w:eastAsia="Malgun Gothic" w:hAnsi="Calibri" w:cs="Times New Roman"/>
          <w:b/>
          <w:color w:val="5A5098"/>
          <w:szCs w:val="22"/>
          <w:lang w:val="en-AU" w:eastAsia="ko-KR"/>
        </w:rPr>
        <w:t xml:space="preserve"> </w:t>
      </w:r>
    </w:p>
    <w:p w14:paraId="182E3DEC" w14:textId="77777777" w:rsidR="00354C8E" w:rsidRPr="002E2640" w:rsidRDefault="00354C8E" w:rsidP="00354C8E">
      <w:pPr>
        <w:numPr>
          <w:ilvl w:val="0"/>
          <w:numId w:val="12"/>
        </w:numPr>
        <w:spacing w:line="240" w:lineRule="auto"/>
        <w:jc w:val="left"/>
        <w:rPr>
          <w:rFonts w:ascii="Calibri" w:eastAsia="Malgun Gothic" w:hAnsi="Calibri" w:cs="Arial"/>
          <w:szCs w:val="22"/>
          <w:lang w:val="en-AU" w:eastAsia="ko-KR"/>
        </w:rPr>
      </w:pPr>
      <w:r w:rsidRPr="002E2640">
        <w:rPr>
          <w:rFonts w:ascii="Calibri" w:eastAsia="Malgun Gothic" w:hAnsi="Calibri" w:cs="Times New Roman"/>
          <w:szCs w:val="22"/>
          <w:lang w:val="en-AU" w:eastAsia="ko-KR"/>
        </w:rPr>
        <w:t>institutionalises mechanisms and strategies to ensure that gender relevance is identified and gender analysis applied across the full range of policies, services and programs</w:t>
      </w:r>
    </w:p>
    <w:p w14:paraId="410A356A" w14:textId="77777777" w:rsidR="00354C8E" w:rsidRPr="002E2640" w:rsidRDefault="00354C8E" w:rsidP="00354C8E">
      <w:pPr>
        <w:numPr>
          <w:ilvl w:val="0"/>
          <w:numId w:val="10"/>
        </w:numPr>
        <w:spacing w:line="240" w:lineRule="auto"/>
        <w:jc w:val="left"/>
        <w:rPr>
          <w:rFonts w:ascii="Calibri" w:eastAsia="Malgun Gothic" w:hAnsi="Calibri" w:cs="Arial"/>
          <w:szCs w:val="22"/>
          <w:lang w:val="en-AU" w:eastAsia="ko-KR"/>
        </w:rPr>
      </w:pPr>
      <w:r w:rsidRPr="002E2640">
        <w:rPr>
          <w:rFonts w:ascii="Calibri" w:eastAsia="Malgun Gothic" w:hAnsi="Calibri" w:cs="Arial"/>
          <w:szCs w:val="22"/>
          <w:lang w:val="en-AU" w:eastAsia="ko-KR"/>
        </w:rPr>
        <w:t>is defined by the United Nations Economic and Social Council</w:t>
      </w:r>
      <w:r>
        <w:rPr>
          <w:rFonts w:ascii="Calibri" w:eastAsia="Malgun Gothic" w:hAnsi="Calibri" w:cs="Arial"/>
          <w:szCs w:val="22"/>
          <w:lang w:val="en-AU" w:eastAsia="ko-KR"/>
        </w:rPr>
        <w:t xml:space="preserve"> that</w:t>
      </w:r>
      <w:r w:rsidRPr="002E2640">
        <w:rPr>
          <w:rFonts w:ascii="Calibri" w:eastAsia="Malgun Gothic" w:hAnsi="Calibri" w:cs="Arial"/>
          <w:szCs w:val="22"/>
          <w:lang w:val="en-AU" w:eastAsia="ko-KR"/>
        </w:rPr>
        <w:t>:</w:t>
      </w:r>
      <w:r w:rsidRPr="002E2640">
        <w:rPr>
          <w:rFonts w:ascii="Calibri" w:eastAsia="Malgun Gothic" w:hAnsi="Calibri" w:cs="Arial"/>
          <w:szCs w:val="22"/>
          <w:vertAlign w:val="superscript"/>
          <w:lang w:val="en-AU" w:eastAsia="ko-KR"/>
        </w:rPr>
        <w:endnoteReference w:id="16"/>
      </w:r>
    </w:p>
    <w:p w14:paraId="3FB00391" w14:textId="77777777" w:rsidR="00354C8E" w:rsidRPr="002E2640" w:rsidRDefault="00354C8E" w:rsidP="00354C8E">
      <w:pPr>
        <w:autoSpaceDE w:val="0"/>
        <w:autoSpaceDN w:val="0"/>
        <w:spacing w:line="240" w:lineRule="auto"/>
        <w:ind w:left="539"/>
        <w:jc w:val="left"/>
        <w:rPr>
          <w:rFonts w:ascii="Calibri" w:eastAsia="Malgun Gothic" w:hAnsi="Calibri" w:cs="Arial"/>
          <w:i/>
          <w:iCs/>
          <w:szCs w:val="22"/>
          <w:lang w:val="en-AU" w:eastAsia="ko-KR"/>
        </w:rPr>
      </w:pPr>
      <w:r w:rsidRPr="002E2640">
        <w:rPr>
          <w:rFonts w:ascii="Calibri" w:eastAsia="Malgun Gothic" w:hAnsi="Calibri" w:cs="Arial"/>
          <w:i/>
          <w:iCs/>
          <w:szCs w:val="22"/>
          <w:lang w:val="en-AU" w:eastAsia="ko-KR"/>
        </w:rPr>
        <w:t>Mainstreaming a gender perspective is the process of assessing the implications for women and men of any planned action, including legislation, policies or programs in all areas and at all levels. It is a strategy for making women’s as well as men’s concerns and experiences an integral dimension of the design, implementation, monitoring and evaluation of policies and programs in all political, economic and societal spheres so that women and men benefit equally and inequality is not perpetuated. The ultimate goal is to achieve gender equality.</w:t>
      </w:r>
    </w:p>
    <w:p w14:paraId="5E85A645" w14:textId="77777777" w:rsidR="00354C8E" w:rsidRPr="00253428" w:rsidRDefault="00354C8E" w:rsidP="00354C8E">
      <w:pPr>
        <w:spacing w:before="240" w:line="240" w:lineRule="auto"/>
        <w:ind w:left="181" w:hanging="181"/>
        <w:jc w:val="left"/>
        <w:rPr>
          <w:rFonts w:ascii="Calibri" w:eastAsia="Malgun Gothic" w:hAnsi="Calibri" w:cs="Times New Roman"/>
          <w:b/>
          <w:color w:val="5A5098"/>
          <w:szCs w:val="22"/>
          <w:lang w:val="en-AU" w:eastAsia="ko-KR"/>
        </w:rPr>
      </w:pPr>
      <w:r w:rsidRPr="002E2640">
        <w:rPr>
          <w:rFonts w:ascii="Calibri" w:eastAsia="Malgun Gothic" w:hAnsi="Calibri" w:cs="Times New Roman"/>
          <w:b/>
          <w:color w:val="5A5098"/>
          <w:szCs w:val="22"/>
          <w:lang w:val="en-AU" w:eastAsia="ko-KR"/>
        </w:rPr>
        <w:t>Gender neutral</w:t>
      </w:r>
      <w:r w:rsidRPr="00253428">
        <w:rPr>
          <w:rFonts w:ascii="Calibri" w:eastAsia="Malgun Gothic" w:hAnsi="Calibri" w:cs="Times New Roman"/>
          <w:b/>
          <w:color w:val="5A5098"/>
          <w:szCs w:val="22"/>
          <w:lang w:val="en-AU" w:eastAsia="ko-KR"/>
        </w:rPr>
        <w:t xml:space="preserve"> </w:t>
      </w:r>
    </w:p>
    <w:p w14:paraId="484881AD" w14:textId="77777777" w:rsidR="00354C8E" w:rsidRPr="002E2640" w:rsidRDefault="00354C8E" w:rsidP="00354C8E">
      <w:pPr>
        <w:numPr>
          <w:ilvl w:val="0"/>
          <w:numId w:val="12"/>
        </w:numPr>
        <w:spacing w:line="240" w:lineRule="auto"/>
        <w:ind w:left="357" w:hanging="357"/>
        <w:jc w:val="left"/>
        <w:rPr>
          <w:rFonts w:ascii="Calibri" w:eastAsia="Malgun Gothic" w:hAnsi="Calibri" w:cs="Times New Roman"/>
          <w:szCs w:val="22"/>
          <w:lang w:val="en-AU" w:eastAsia="ko-KR"/>
        </w:rPr>
      </w:pPr>
      <w:r w:rsidRPr="002E2640">
        <w:rPr>
          <w:rFonts w:ascii="Calibri" w:eastAsia="Malgun Gothic" w:hAnsi="Calibri" w:cs="Times New Roman"/>
          <w:szCs w:val="22"/>
          <w:lang w:val="en-AU" w:eastAsia="ko-KR"/>
        </w:rPr>
        <w:t>is an assumption that policies, programs and services will be experienced by women and men and girls and boys similarly.</w:t>
      </w:r>
    </w:p>
    <w:p w14:paraId="20A3B72C" w14:textId="77777777" w:rsidR="00354C8E" w:rsidRPr="00253428" w:rsidRDefault="00354C8E" w:rsidP="00354C8E">
      <w:pPr>
        <w:spacing w:before="240" w:line="240" w:lineRule="auto"/>
        <w:ind w:left="181" w:hanging="181"/>
        <w:jc w:val="left"/>
        <w:rPr>
          <w:rFonts w:ascii="Calibri" w:eastAsia="Malgun Gothic" w:hAnsi="Calibri" w:cs="Times New Roman"/>
          <w:b/>
          <w:color w:val="5A5098"/>
          <w:szCs w:val="22"/>
          <w:lang w:val="en-AU" w:eastAsia="ko-KR"/>
        </w:rPr>
      </w:pPr>
      <w:r w:rsidRPr="002E2640">
        <w:rPr>
          <w:rFonts w:ascii="Calibri" w:eastAsia="Malgun Gothic" w:hAnsi="Calibri" w:cs="Times New Roman"/>
          <w:b/>
          <w:color w:val="5A5098"/>
          <w:szCs w:val="22"/>
          <w:lang w:val="en-AU" w:eastAsia="ko-KR"/>
        </w:rPr>
        <w:t>Gender responsive</w:t>
      </w:r>
      <w:r w:rsidRPr="00253428">
        <w:rPr>
          <w:rFonts w:ascii="Calibri" w:eastAsia="Malgun Gothic" w:hAnsi="Calibri" w:cs="Times New Roman"/>
          <w:b/>
          <w:color w:val="5A5098"/>
          <w:szCs w:val="22"/>
          <w:lang w:val="en-AU" w:eastAsia="ko-KR"/>
        </w:rPr>
        <w:t xml:space="preserve"> </w:t>
      </w:r>
    </w:p>
    <w:p w14:paraId="43B6C6FC" w14:textId="77777777" w:rsidR="00354C8E" w:rsidRPr="002E2640" w:rsidRDefault="00354C8E" w:rsidP="00354C8E">
      <w:pPr>
        <w:numPr>
          <w:ilvl w:val="0"/>
          <w:numId w:val="12"/>
        </w:numPr>
        <w:spacing w:line="240" w:lineRule="auto"/>
        <w:ind w:left="357" w:hanging="357"/>
        <w:jc w:val="left"/>
        <w:rPr>
          <w:rFonts w:ascii="Calibri" w:eastAsia="Malgun Gothic" w:hAnsi="Calibri" w:cs="Times New Roman"/>
          <w:szCs w:val="22"/>
          <w:lang w:val="en-AU" w:eastAsia="ko-KR"/>
        </w:rPr>
      </w:pPr>
      <w:r w:rsidRPr="002E2640">
        <w:rPr>
          <w:rFonts w:ascii="Calibri" w:eastAsia="Malgun Gothic" w:hAnsi="Calibri" w:cs="Times New Roman"/>
          <w:szCs w:val="22"/>
          <w:lang w:val="en-AU" w:eastAsia="ko-KR"/>
        </w:rPr>
        <w:t>is acting on issues that arise or are identified as a result of the differing needs and interests of women and men, based on their socially constructed roles and relations.</w:t>
      </w:r>
    </w:p>
    <w:p w14:paraId="55FC8DA2" w14:textId="77777777" w:rsidR="00354C8E" w:rsidRPr="002E2640" w:rsidRDefault="00354C8E" w:rsidP="00354C8E">
      <w:pPr>
        <w:spacing w:before="240" w:line="240" w:lineRule="auto"/>
        <w:ind w:left="181" w:hanging="181"/>
        <w:jc w:val="left"/>
        <w:rPr>
          <w:rFonts w:ascii="Calibri" w:eastAsia="Malgun Gothic" w:hAnsi="Calibri" w:cs="Times New Roman"/>
          <w:b/>
          <w:color w:val="5A5098"/>
          <w:szCs w:val="22"/>
          <w:lang w:val="en-AU" w:eastAsia="ko-KR"/>
        </w:rPr>
      </w:pPr>
      <w:r w:rsidRPr="002E2640">
        <w:rPr>
          <w:rFonts w:ascii="Calibri" w:eastAsia="Malgun Gothic" w:hAnsi="Calibri" w:cs="Times New Roman"/>
          <w:b/>
          <w:color w:val="5A5098"/>
          <w:szCs w:val="22"/>
          <w:lang w:val="en-AU" w:eastAsia="ko-KR"/>
        </w:rPr>
        <w:t xml:space="preserve">Gender role stereotyping </w:t>
      </w:r>
    </w:p>
    <w:p w14:paraId="54D262C2" w14:textId="77777777" w:rsidR="00354C8E" w:rsidRPr="002E2640" w:rsidRDefault="00354C8E" w:rsidP="00354C8E">
      <w:pPr>
        <w:numPr>
          <w:ilvl w:val="0"/>
          <w:numId w:val="12"/>
        </w:numPr>
        <w:spacing w:line="240" w:lineRule="auto"/>
        <w:ind w:left="357" w:hanging="357"/>
        <w:jc w:val="left"/>
        <w:rPr>
          <w:rFonts w:ascii="Calibri" w:eastAsia="Malgun Gothic" w:hAnsi="Calibri" w:cs="Times New Roman"/>
          <w:i/>
          <w:szCs w:val="22"/>
          <w:lang w:val="en-AU" w:eastAsia="ko-KR"/>
        </w:rPr>
      </w:pPr>
      <w:r w:rsidRPr="002E2640">
        <w:rPr>
          <w:rFonts w:ascii="Calibri" w:eastAsia="Malgun Gothic" w:hAnsi="Calibri" w:cs="Times New Roman"/>
          <w:szCs w:val="22"/>
          <w:lang w:val="en-AU" w:eastAsia="ko-KR"/>
        </w:rPr>
        <w:t>is ingrained and rigid expectations and beliefs about the roles of women and men such as ‘</w:t>
      </w:r>
      <w:r w:rsidRPr="002E2640">
        <w:rPr>
          <w:rFonts w:ascii="Calibri" w:eastAsia="Malgun Gothic" w:hAnsi="Calibri" w:cs="Times New Roman"/>
          <w:i/>
          <w:szCs w:val="22"/>
          <w:lang w:val="en-AU" w:eastAsia="ko-KR"/>
        </w:rPr>
        <w:t>women care for the home and children’</w:t>
      </w:r>
      <w:r w:rsidRPr="002E2640">
        <w:rPr>
          <w:rFonts w:ascii="Calibri" w:eastAsia="Malgun Gothic" w:hAnsi="Calibri" w:cs="Times New Roman"/>
          <w:szCs w:val="22"/>
          <w:lang w:val="en-AU" w:eastAsia="ko-KR"/>
        </w:rPr>
        <w:t xml:space="preserve"> while ‘</w:t>
      </w:r>
      <w:r w:rsidRPr="002E2640">
        <w:rPr>
          <w:rFonts w:ascii="Calibri" w:eastAsia="Malgun Gothic" w:hAnsi="Calibri" w:cs="Times New Roman"/>
          <w:i/>
          <w:szCs w:val="22"/>
          <w:lang w:val="en-AU" w:eastAsia="ko-KR"/>
        </w:rPr>
        <w:t>men are the</w:t>
      </w:r>
      <w:r w:rsidRPr="002E2640">
        <w:rPr>
          <w:rFonts w:ascii="Calibri" w:eastAsia="Malgun Gothic" w:hAnsi="Calibri" w:cs="Times New Roman"/>
          <w:szCs w:val="22"/>
          <w:lang w:val="en-AU" w:eastAsia="ko-KR"/>
        </w:rPr>
        <w:t xml:space="preserve"> </w:t>
      </w:r>
      <w:r w:rsidRPr="002E2640">
        <w:rPr>
          <w:rFonts w:ascii="Calibri" w:eastAsia="Malgun Gothic" w:hAnsi="Calibri" w:cs="Times New Roman"/>
          <w:i/>
          <w:szCs w:val="22"/>
          <w:lang w:val="en-AU" w:eastAsia="ko-KR"/>
        </w:rPr>
        <w:t>breadwinners’.</w:t>
      </w:r>
    </w:p>
    <w:p w14:paraId="26237D53" w14:textId="77777777" w:rsidR="00354C8E" w:rsidRPr="00253428" w:rsidRDefault="00354C8E" w:rsidP="00354C8E">
      <w:pPr>
        <w:spacing w:before="240" w:line="240" w:lineRule="auto"/>
        <w:ind w:left="181" w:hanging="181"/>
        <w:jc w:val="left"/>
        <w:rPr>
          <w:rFonts w:ascii="Calibri" w:eastAsia="Malgun Gothic" w:hAnsi="Calibri" w:cs="Times New Roman"/>
          <w:b/>
          <w:color w:val="5A5098"/>
          <w:szCs w:val="22"/>
          <w:lang w:val="en-AU" w:eastAsia="ko-KR"/>
        </w:rPr>
      </w:pPr>
      <w:r w:rsidRPr="002E2640">
        <w:rPr>
          <w:rFonts w:ascii="Calibri" w:eastAsia="Malgun Gothic" w:hAnsi="Calibri" w:cs="Times New Roman"/>
          <w:b/>
          <w:color w:val="5A5098"/>
          <w:szCs w:val="22"/>
          <w:lang w:val="en-AU" w:eastAsia="ko-KR"/>
        </w:rPr>
        <w:t>Gender sensitivity</w:t>
      </w:r>
    </w:p>
    <w:p w14:paraId="3A8BB29E" w14:textId="77777777" w:rsidR="00354C8E" w:rsidRPr="002E2640" w:rsidRDefault="00354C8E" w:rsidP="00354C8E">
      <w:pPr>
        <w:numPr>
          <w:ilvl w:val="0"/>
          <w:numId w:val="12"/>
        </w:numPr>
        <w:spacing w:line="240" w:lineRule="auto"/>
        <w:ind w:left="357" w:hanging="357"/>
        <w:jc w:val="left"/>
        <w:rPr>
          <w:rFonts w:ascii="Calibri" w:eastAsia="Malgun Gothic" w:hAnsi="Calibri" w:cs="Times New Roman"/>
          <w:szCs w:val="22"/>
          <w:lang w:val="en-AU" w:eastAsia="ko-KR"/>
        </w:rPr>
      </w:pPr>
      <w:r w:rsidRPr="002E2640">
        <w:rPr>
          <w:rFonts w:ascii="Calibri" w:eastAsia="Malgun Gothic" w:hAnsi="Calibri" w:cs="Times New Roman"/>
          <w:szCs w:val="22"/>
          <w:lang w:val="en-AU" w:eastAsia="ko-KR"/>
        </w:rPr>
        <w:t>is to identify and understand the socially constructed differences between women and men, their roles, relations, needs and interests, and issues arising out of these differences</w:t>
      </w:r>
      <w:r>
        <w:rPr>
          <w:rFonts w:ascii="Calibri" w:eastAsia="Malgun Gothic" w:hAnsi="Calibri" w:cs="Times New Roman"/>
          <w:szCs w:val="22"/>
          <w:lang w:val="en-AU" w:eastAsia="ko-KR"/>
        </w:rPr>
        <w:t>.</w:t>
      </w:r>
    </w:p>
    <w:p w14:paraId="3FC4476C" w14:textId="5E762BA4" w:rsidR="00E04526" w:rsidRPr="00E04526" w:rsidRDefault="00354C8E" w:rsidP="00BD7507">
      <w:pPr>
        <w:numPr>
          <w:ilvl w:val="0"/>
          <w:numId w:val="12"/>
        </w:numPr>
        <w:spacing w:after="0" w:line="240" w:lineRule="auto"/>
        <w:ind w:left="357" w:hanging="357"/>
        <w:jc w:val="left"/>
        <w:rPr>
          <w:rFonts w:ascii="Calibri" w:eastAsia="Malgun Gothic" w:hAnsi="Calibri" w:cs="Times New Roman"/>
          <w:b/>
          <w:color w:val="5A5098"/>
          <w:szCs w:val="22"/>
          <w:lang w:val="en-AU" w:eastAsia="ko-KR"/>
        </w:rPr>
      </w:pPr>
      <w:r w:rsidRPr="00E04526">
        <w:rPr>
          <w:rFonts w:ascii="Calibri" w:eastAsia="Malgun Gothic" w:hAnsi="Calibri" w:cs="Times New Roman"/>
          <w:szCs w:val="22"/>
          <w:lang w:val="en-AU" w:eastAsia="ko-KR"/>
        </w:rPr>
        <w:t>focuses mainly on instances of structural disadvantage in the positons and roles of women.</w:t>
      </w:r>
      <w:r w:rsidR="00E04526" w:rsidRPr="00E04526">
        <w:rPr>
          <w:rFonts w:ascii="Calibri" w:eastAsia="Malgun Gothic" w:hAnsi="Calibri" w:cs="Times New Roman"/>
          <w:b/>
          <w:color w:val="5A5098"/>
          <w:szCs w:val="22"/>
          <w:lang w:val="en-AU" w:eastAsia="ko-KR"/>
        </w:rPr>
        <w:br w:type="page"/>
      </w:r>
    </w:p>
    <w:p w14:paraId="4ACB8ADA" w14:textId="1C31DBA7" w:rsidR="00354C8E" w:rsidRPr="00253428" w:rsidRDefault="00354C8E" w:rsidP="00354C8E">
      <w:pPr>
        <w:spacing w:before="240" w:line="240" w:lineRule="auto"/>
        <w:ind w:left="181" w:hanging="181"/>
        <w:jc w:val="left"/>
        <w:rPr>
          <w:rFonts w:ascii="Calibri" w:eastAsia="Malgun Gothic" w:hAnsi="Calibri" w:cs="Times New Roman"/>
          <w:b/>
          <w:color w:val="5A5098"/>
          <w:szCs w:val="22"/>
          <w:lang w:val="en-AU" w:eastAsia="ko-KR"/>
        </w:rPr>
      </w:pPr>
      <w:r w:rsidRPr="002E2640">
        <w:rPr>
          <w:rFonts w:ascii="Calibri" w:eastAsia="Malgun Gothic" w:hAnsi="Calibri" w:cs="Times New Roman"/>
          <w:b/>
          <w:color w:val="5A5098"/>
          <w:szCs w:val="22"/>
          <w:lang w:val="en-AU" w:eastAsia="ko-KR"/>
        </w:rPr>
        <w:lastRenderedPageBreak/>
        <w:t>Gender statistics</w:t>
      </w:r>
      <w:r w:rsidRPr="00253428">
        <w:rPr>
          <w:rFonts w:ascii="Calibri" w:eastAsia="Malgun Gothic" w:hAnsi="Calibri" w:cs="Times New Roman"/>
          <w:b/>
          <w:color w:val="5A5098"/>
          <w:szCs w:val="22"/>
          <w:lang w:val="en-AU" w:eastAsia="ko-KR"/>
        </w:rPr>
        <w:t xml:space="preserve"> </w:t>
      </w:r>
    </w:p>
    <w:p w14:paraId="7D9A998B" w14:textId="77777777" w:rsidR="00354C8E" w:rsidRPr="002E2640" w:rsidRDefault="00354C8E" w:rsidP="00354C8E">
      <w:pPr>
        <w:numPr>
          <w:ilvl w:val="0"/>
          <w:numId w:val="14"/>
        </w:numPr>
        <w:spacing w:line="240" w:lineRule="auto"/>
        <w:ind w:hanging="357"/>
        <w:jc w:val="left"/>
        <w:rPr>
          <w:rFonts w:ascii="Calibri" w:eastAsia="Malgun Gothic" w:hAnsi="Calibri" w:cs="Times New Roman"/>
          <w:szCs w:val="22"/>
          <w:lang w:val="en-AU" w:eastAsia="ko-KR"/>
        </w:rPr>
      </w:pPr>
      <w:r w:rsidRPr="002E2640">
        <w:rPr>
          <w:rFonts w:ascii="Calibri" w:eastAsia="Malgun Gothic" w:hAnsi="Calibri" w:cs="Times New Roman"/>
          <w:szCs w:val="22"/>
          <w:lang w:val="en-AU" w:eastAsia="ko-KR"/>
        </w:rPr>
        <w:t xml:space="preserve">reveal differences and inequalities in the situation of women and men in all aspects of life </w:t>
      </w:r>
    </w:p>
    <w:p w14:paraId="2F016D39" w14:textId="77777777" w:rsidR="00354C8E" w:rsidRPr="002E2640" w:rsidRDefault="00354C8E" w:rsidP="00354C8E">
      <w:pPr>
        <w:numPr>
          <w:ilvl w:val="0"/>
          <w:numId w:val="14"/>
        </w:numPr>
        <w:spacing w:line="240" w:lineRule="auto"/>
        <w:ind w:hanging="357"/>
        <w:jc w:val="left"/>
        <w:rPr>
          <w:rFonts w:ascii="Calibri" w:eastAsia="Malgun Gothic" w:hAnsi="Calibri" w:cs="Times New Roman"/>
          <w:szCs w:val="22"/>
          <w:lang w:val="en-AU" w:eastAsia="ko-KR"/>
        </w:rPr>
      </w:pPr>
      <w:r w:rsidRPr="002E2640">
        <w:rPr>
          <w:rFonts w:ascii="Calibri" w:eastAsia="Malgun Gothic" w:hAnsi="Calibri" w:cs="Times New Roman"/>
          <w:szCs w:val="22"/>
          <w:lang w:val="en-AU" w:eastAsia="ko-KR"/>
        </w:rPr>
        <w:t>have the following characteristics:</w:t>
      </w:r>
    </w:p>
    <w:p w14:paraId="64C7E3C5" w14:textId="77777777" w:rsidR="00354C8E" w:rsidRPr="002E2640" w:rsidRDefault="00354C8E" w:rsidP="00354C8E">
      <w:pPr>
        <w:numPr>
          <w:ilvl w:val="0"/>
          <w:numId w:val="15"/>
        </w:numPr>
        <w:spacing w:line="240" w:lineRule="auto"/>
        <w:ind w:hanging="357"/>
        <w:jc w:val="left"/>
        <w:rPr>
          <w:rFonts w:ascii="Calibri" w:eastAsia="Malgun Gothic" w:hAnsi="Calibri" w:cs="Times New Roman"/>
          <w:szCs w:val="22"/>
          <w:lang w:val="en-AU" w:eastAsia="ko-KR"/>
        </w:rPr>
      </w:pPr>
      <w:r w:rsidRPr="002E2640">
        <w:rPr>
          <w:rFonts w:ascii="Calibri" w:eastAsia="Malgun Gothic" w:hAnsi="Calibri" w:cs="Times New Roman"/>
          <w:szCs w:val="22"/>
          <w:lang w:val="en-AU" w:eastAsia="ko-KR"/>
        </w:rPr>
        <w:t>data collected and presented, disaggregated by sex as a primary and overall classification</w:t>
      </w:r>
    </w:p>
    <w:p w14:paraId="6379E204" w14:textId="77777777" w:rsidR="00354C8E" w:rsidRPr="002E2640" w:rsidRDefault="00354C8E" w:rsidP="00354C8E">
      <w:pPr>
        <w:numPr>
          <w:ilvl w:val="0"/>
          <w:numId w:val="15"/>
        </w:numPr>
        <w:spacing w:line="240" w:lineRule="auto"/>
        <w:ind w:hanging="357"/>
        <w:jc w:val="left"/>
        <w:rPr>
          <w:rFonts w:ascii="Calibri" w:eastAsia="Malgun Gothic" w:hAnsi="Calibri" w:cs="Times New Roman"/>
          <w:szCs w:val="22"/>
          <w:lang w:val="en-AU" w:eastAsia="ko-KR"/>
        </w:rPr>
      </w:pPr>
      <w:r w:rsidRPr="002E2640">
        <w:rPr>
          <w:rFonts w:ascii="Calibri" w:eastAsia="Malgun Gothic" w:hAnsi="Calibri" w:cs="Times New Roman"/>
          <w:szCs w:val="22"/>
          <w:lang w:val="en-AU" w:eastAsia="ko-KR"/>
        </w:rPr>
        <w:t>data reflect gender issues</w:t>
      </w:r>
    </w:p>
    <w:p w14:paraId="55E0B168" w14:textId="77777777" w:rsidR="00354C8E" w:rsidRPr="002E2640" w:rsidRDefault="00354C8E" w:rsidP="00354C8E">
      <w:pPr>
        <w:numPr>
          <w:ilvl w:val="0"/>
          <w:numId w:val="15"/>
        </w:numPr>
        <w:spacing w:line="240" w:lineRule="auto"/>
        <w:ind w:hanging="357"/>
        <w:jc w:val="left"/>
        <w:rPr>
          <w:rFonts w:ascii="Calibri" w:eastAsia="Malgun Gothic" w:hAnsi="Calibri" w:cs="Times New Roman"/>
          <w:szCs w:val="22"/>
          <w:lang w:val="en-AU" w:eastAsia="ko-KR"/>
        </w:rPr>
      </w:pPr>
      <w:r w:rsidRPr="002E2640">
        <w:rPr>
          <w:rFonts w:ascii="Calibri" w:eastAsia="Malgun Gothic" w:hAnsi="Calibri" w:cs="Times New Roman"/>
          <w:szCs w:val="22"/>
          <w:lang w:val="en-AU" w:eastAsia="ko-KR"/>
        </w:rPr>
        <w:t>data based on concepts and definitions that adequately reflect the diversity of women and men and capture all aspects of their lives</w:t>
      </w:r>
    </w:p>
    <w:p w14:paraId="2802C996" w14:textId="77777777" w:rsidR="00354C8E" w:rsidRPr="002E2640" w:rsidRDefault="00354C8E" w:rsidP="00354C8E">
      <w:pPr>
        <w:numPr>
          <w:ilvl w:val="0"/>
          <w:numId w:val="15"/>
        </w:numPr>
        <w:spacing w:line="240" w:lineRule="auto"/>
        <w:ind w:hanging="357"/>
        <w:jc w:val="left"/>
        <w:rPr>
          <w:rFonts w:ascii="Calibri" w:eastAsia="Malgun Gothic" w:hAnsi="Calibri" w:cs="Times New Roman"/>
          <w:szCs w:val="22"/>
          <w:lang w:val="en-AU" w:eastAsia="ko-KR"/>
        </w:rPr>
      </w:pPr>
      <w:r w:rsidRPr="002E2640">
        <w:rPr>
          <w:rFonts w:ascii="Calibri" w:eastAsia="Malgun Gothic" w:hAnsi="Calibri" w:cs="Times New Roman"/>
          <w:szCs w:val="22"/>
          <w:lang w:val="en-AU" w:eastAsia="ko-KR"/>
        </w:rPr>
        <w:t>data collection methods take into account stereotypes and social and cultural factors that may bring about gender biases.</w:t>
      </w:r>
    </w:p>
    <w:p w14:paraId="0DFC3B10" w14:textId="77777777" w:rsidR="00354C8E" w:rsidRPr="002E2640" w:rsidRDefault="00354C8E" w:rsidP="00354C8E">
      <w:pPr>
        <w:spacing w:before="240" w:line="240" w:lineRule="auto"/>
        <w:ind w:left="181" w:hanging="181"/>
        <w:jc w:val="left"/>
        <w:rPr>
          <w:rFonts w:ascii="Calibri" w:eastAsia="Malgun Gothic" w:hAnsi="Calibri" w:cs="Times New Roman"/>
          <w:b/>
          <w:color w:val="5A5098"/>
          <w:szCs w:val="22"/>
          <w:lang w:val="en-AU" w:eastAsia="ko-KR"/>
        </w:rPr>
      </w:pPr>
      <w:r w:rsidRPr="002E2640">
        <w:rPr>
          <w:rFonts w:ascii="Calibri" w:eastAsia="Malgun Gothic" w:hAnsi="Calibri" w:cs="Times New Roman"/>
          <w:b/>
          <w:color w:val="5A5098"/>
          <w:szCs w:val="22"/>
          <w:lang w:val="en-AU" w:eastAsia="ko-KR"/>
        </w:rPr>
        <w:t xml:space="preserve">Intersectionality </w:t>
      </w:r>
    </w:p>
    <w:p w14:paraId="207297CD" w14:textId="77777777" w:rsidR="00354C8E" w:rsidRPr="002E2640" w:rsidRDefault="00354C8E" w:rsidP="00354C8E">
      <w:pPr>
        <w:numPr>
          <w:ilvl w:val="0"/>
          <w:numId w:val="16"/>
        </w:numPr>
        <w:spacing w:line="240" w:lineRule="auto"/>
        <w:ind w:left="357"/>
        <w:jc w:val="left"/>
        <w:rPr>
          <w:rFonts w:ascii="Calibri" w:eastAsia="Malgun Gothic" w:hAnsi="Calibri" w:cs="Times New Roman"/>
          <w:szCs w:val="22"/>
          <w:lang w:val="en-AU" w:eastAsia="ko-KR"/>
        </w:rPr>
      </w:pPr>
      <w:r w:rsidRPr="002E2640">
        <w:rPr>
          <w:rFonts w:ascii="Calibri" w:eastAsia="Malgun Gothic" w:hAnsi="Calibri" w:cs="Times New Roman"/>
          <w:szCs w:val="22"/>
          <w:lang w:val="en-AU" w:eastAsia="ko-KR"/>
        </w:rPr>
        <w:t>is a tool for understanding and responding to the ways in which sex and gender intersect with other factors (age, ethnic background, sexual orientation, social class)</w:t>
      </w:r>
    </w:p>
    <w:p w14:paraId="673655C8" w14:textId="77777777" w:rsidR="00354C8E" w:rsidRPr="002E2640" w:rsidRDefault="00354C8E" w:rsidP="00354C8E">
      <w:pPr>
        <w:numPr>
          <w:ilvl w:val="0"/>
          <w:numId w:val="16"/>
        </w:numPr>
        <w:spacing w:line="240" w:lineRule="auto"/>
        <w:ind w:left="357"/>
        <w:jc w:val="left"/>
        <w:rPr>
          <w:rFonts w:ascii="Calibri" w:eastAsia="Malgun Gothic" w:hAnsi="Calibri" w:cs="Times New Roman"/>
          <w:szCs w:val="22"/>
          <w:lang w:val="en-AU" w:eastAsia="ko-KR"/>
        </w:rPr>
      </w:pPr>
      <w:r w:rsidRPr="002E2640">
        <w:rPr>
          <w:rFonts w:ascii="Calibri" w:eastAsia="Malgun Gothic" w:hAnsi="Calibri" w:cs="Times New Roman"/>
          <w:szCs w:val="22"/>
          <w:lang w:val="en-AU" w:eastAsia="ko-KR"/>
        </w:rPr>
        <w:t>highlights the different types of discrimination and disadvantage that may occur as a consequence of the intersection of sex and gender with other grounds for discrimination.</w:t>
      </w:r>
    </w:p>
    <w:p w14:paraId="2A85D058" w14:textId="77777777" w:rsidR="00354C8E" w:rsidRPr="002E2640" w:rsidRDefault="00354C8E" w:rsidP="00354C8E">
      <w:pPr>
        <w:numPr>
          <w:ilvl w:val="0"/>
          <w:numId w:val="16"/>
        </w:numPr>
        <w:spacing w:line="240" w:lineRule="auto"/>
        <w:ind w:left="357"/>
        <w:jc w:val="left"/>
        <w:rPr>
          <w:rFonts w:ascii="Calibri" w:eastAsia="Malgun Gothic" w:hAnsi="Calibri" w:cs="Times New Roman"/>
          <w:szCs w:val="22"/>
          <w:lang w:val="en-AU" w:eastAsia="ko-KR"/>
        </w:rPr>
      </w:pPr>
      <w:r w:rsidRPr="002E2640">
        <w:rPr>
          <w:rFonts w:ascii="Calibri" w:eastAsia="Malgun Gothic" w:hAnsi="Calibri" w:cs="Times New Roman"/>
          <w:szCs w:val="22"/>
          <w:lang w:val="en-AU" w:eastAsia="ko-KR"/>
        </w:rPr>
        <w:t>was recognised by the United Nationals that</w:t>
      </w:r>
      <w:r w:rsidRPr="002E2640">
        <w:rPr>
          <w:rFonts w:ascii="Calibri" w:eastAsia="Malgun Gothic" w:hAnsi="Calibri" w:cs="Times New Roman"/>
          <w:szCs w:val="22"/>
          <w:vertAlign w:val="superscript"/>
          <w:lang w:val="en-AU" w:eastAsia="ko-KR"/>
        </w:rPr>
        <w:endnoteReference w:id="17"/>
      </w:r>
      <w:r w:rsidRPr="002E2640">
        <w:rPr>
          <w:rFonts w:ascii="Calibri" w:eastAsia="Malgun Gothic" w:hAnsi="Calibri" w:cs="Times New Roman"/>
          <w:szCs w:val="22"/>
          <w:lang w:val="en-AU" w:eastAsia="ko-KR"/>
        </w:rPr>
        <w:t>:</w:t>
      </w:r>
    </w:p>
    <w:p w14:paraId="6A968F04" w14:textId="77777777" w:rsidR="00354C8E" w:rsidRPr="002E2640" w:rsidRDefault="00354C8E" w:rsidP="00354C8E">
      <w:pPr>
        <w:spacing w:line="240" w:lineRule="auto"/>
        <w:ind w:left="357"/>
        <w:jc w:val="left"/>
        <w:rPr>
          <w:rFonts w:ascii="Calibri" w:eastAsia="Malgun Gothic" w:hAnsi="Calibri" w:cs="Times New Roman"/>
          <w:szCs w:val="22"/>
          <w:lang w:val="en-AU" w:eastAsia="ko-KR"/>
        </w:rPr>
      </w:pPr>
      <w:r w:rsidRPr="002E2640">
        <w:rPr>
          <w:rFonts w:ascii="Calibri" w:eastAsia="Malgun Gothic" w:hAnsi="Calibri" w:cs="Times New Roman"/>
          <w:i/>
          <w:szCs w:val="22"/>
          <w:lang w:val="en-AU" w:eastAsia="ko-KR"/>
        </w:rPr>
        <w:t xml:space="preserve">Certain groups of women, in addition to suffering </w:t>
      </w:r>
      <w:r w:rsidRPr="002E2640">
        <w:rPr>
          <w:rFonts w:ascii="Calibri" w:eastAsia="Malgun Gothic" w:hAnsi="Calibri" w:cs="Times New Roman"/>
          <w:szCs w:val="22"/>
          <w:lang w:val="en-AU" w:eastAsia="ko-KR"/>
        </w:rPr>
        <w:t>from</w:t>
      </w:r>
      <w:r w:rsidRPr="002E2640">
        <w:rPr>
          <w:rFonts w:ascii="Calibri" w:eastAsia="Malgun Gothic" w:hAnsi="Calibri" w:cs="Times New Roman"/>
          <w:i/>
          <w:szCs w:val="22"/>
          <w:lang w:val="en-AU" w:eastAsia="ko-KR"/>
        </w:rPr>
        <w:t xml:space="preserve"> discrimination directed against them as women, may also suffer from multiple forms of discrimination based on additional grounds such as race, ethnic or religious identity, disability, age, class, caste or other factors. Such discrimination may affect these groups of women primarily, or to a different degree or in different ways than men.</w:t>
      </w:r>
    </w:p>
    <w:p w14:paraId="2CF97E7F" w14:textId="77777777" w:rsidR="00354C8E" w:rsidRPr="00253428" w:rsidRDefault="00354C8E" w:rsidP="00354C8E">
      <w:pPr>
        <w:spacing w:before="240" w:line="240" w:lineRule="auto"/>
        <w:ind w:left="181" w:hanging="181"/>
        <w:jc w:val="left"/>
        <w:rPr>
          <w:rFonts w:ascii="Calibri" w:eastAsia="Malgun Gothic" w:hAnsi="Calibri" w:cs="Times New Roman"/>
          <w:b/>
          <w:color w:val="5A5098"/>
          <w:szCs w:val="22"/>
          <w:lang w:val="en-AU" w:eastAsia="ko-KR"/>
        </w:rPr>
      </w:pPr>
      <w:r w:rsidRPr="002E2640">
        <w:rPr>
          <w:rFonts w:ascii="Calibri" w:eastAsia="Malgun Gothic" w:hAnsi="Calibri" w:cs="Times New Roman"/>
          <w:b/>
          <w:color w:val="5A5098"/>
          <w:szCs w:val="22"/>
          <w:lang w:val="en-AU" w:eastAsia="ko-KR"/>
        </w:rPr>
        <w:t>Intersex</w:t>
      </w:r>
      <w:r w:rsidRPr="00253428">
        <w:rPr>
          <w:rFonts w:ascii="Calibri" w:eastAsia="Malgun Gothic" w:hAnsi="Calibri" w:cs="Times New Roman"/>
          <w:b/>
          <w:color w:val="5A5098"/>
          <w:szCs w:val="22"/>
          <w:lang w:val="en-AU" w:eastAsia="ko-KR"/>
        </w:rPr>
        <w:t xml:space="preserve"> </w:t>
      </w:r>
    </w:p>
    <w:p w14:paraId="7A769324" w14:textId="77777777" w:rsidR="00354C8E" w:rsidRPr="002E2640" w:rsidRDefault="00354C8E" w:rsidP="00354C8E">
      <w:pPr>
        <w:numPr>
          <w:ilvl w:val="0"/>
          <w:numId w:val="11"/>
        </w:numPr>
        <w:spacing w:line="240" w:lineRule="auto"/>
        <w:ind w:left="357" w:hanging="357"/>
        <w:jc w:val="left"/>
        <w:rPr>
          <w:rFonts w:ascii="Calibri" w:eastAsia="Malgun Gothic" w:hAnsi="Calibri" w:cs="Times New Roman"/>
          <w:szCs w:val="22"/>
          <w:lang w:val="en-AU" w:eastAsia="ko-KR"/>
        </w:rPr>
      </w:pPr>
      <w:r w:rsidRPr="002E2640">
        <w:rPr>
          <w:rFonts w:ascii="Calibri" w:eastAsia="Malgun Gothic" w:hAnsi="Calibri" w:cs="Times New Roman"/>
          <w:szCs w:val="22"/>
          <w:lang w:val="en-AU" w:eastAsia="ko-KR"/>
        </w:rPr>
        <w:t>refers to someone born with physical, hormonal or genetic features that are neither wholly female nor wholly male, or a combination of female and male, or neither.</w:t>
      </w:r>
    </w:p>
    <w:p w14:paraId="31F7D772" w14:textId="77777777" w:rsidR="00354C8E" w:rsidRPr="002E2640" w:rsidRDefault="00354C8E" w:rsidP="00354C8E">
      <w:pPr>
        <w:spacing w:before="240" w:line="240" w:lineRule="auto"/>
        <w:ind w:left="181" w:hanging="181"/>
        <w:jc w:val="left"/>
        <w:rPr>
          <w:rFonts w:ascii="Calibri" w:eastAsia="Malgun Gothic" w:hAnsi="Calibri" w:cs="Times New Roman"/>
          <w:b/>
          <w:color w:val="5A5098"/>
          <w:szCs w:val="22"/>
          <w:lang w:val="en-AU" w:eastAsia="ko-KR"/>
        </w:rPr>
      </w:pPr>
      <w:r w:rsidRPr="002E2640">
        <w:rPr>
          <w:rFonts w:ascii="Calibri" w:eastAsia="Malgun Gothic" w:hAnsi="Calibri" w:cs="Times New Roman"/>
          <w:b/>
          <w:color w:val="5A5098"/>
          <w:szCs w:val="22"/>
          <w:lang w:val="en-AU" w:eastAsia="ko-KR"/>
        </w:rPr>
        <w:t>Questioning</w:t>
      </w:r>
    </w:p>
    <w:p w14:paraId="0C110490" w14:textId="77777777" w:rsidR="00354C8E" w:rsidRPr="002E2640" w:rsidRDefault="00354C8E" w:rsidP="00354C8E">
      <w:pPr>
        <w:numPr>
          <w:ilvl w:val="0"/>
          <w:numId w:val="11"/>
        </w:numPr>
        <w:spacing w:line="240" w:lineRule="auto"/>
        <w:ind w:left="357" w:hanging="357"/>
        <w:jc w:val="left"/>
        <w:rPr>
          <w:rFonts w:ascii="Calibri" w:eastAsia="Malgun Gothic" w:hAnsi="Calibri" w:cs="Times New Roman"/>
          <w:szCs w:val="22"/>
          <w:lang w:val="en-AU" w:eastAsia="ko-KR"/>
        </w:rPr>
      </w:pPr>
      <w:r w:rsidRPr="002E2640">
        <w:rPr>
          <w:rFonts w:ascii="Calibri" w:eastAsia="Malgun Gothic" w:hAnsi="Calibri" w:cs="Times New Roman"/>
          <w:szCs w:val="22"/>
          <w:lang w:val="en-AU" w:eastAsia="ko-KR"/>
        </w:rPr>
        <w:t>refers to someone who is unsure of their gender identity, and/or their sexual orientation, or both.</w:t>
      </w:r>
    </w:p>
    <w:p w14:paraId="03E8BB1E" w14:textId="77777777" w:rsidR="00354C8E" w:rsidRPr="00253428" w:rsidRDefault="00354C8E" w:rsidP="00354C8E">
      <w:pPr>
        <w:spacing w:before="240" w:line="240" w:lineRule="auto"/>
        <w:ind w:left="181" w:hanging="181"/>
        <w:jc w:val="left"/>
        <w:rPr>
          <w:rFonts w:ascii="Calibri" w:eastAsia="Malgun Gothic" w:hAnsi="Calibri" w:cs="Times New Roman"/>
          <w:b/>
          <w:color w:val="5A5098"/>
          <w:szCs w:val="22"/>
          <w:lang w:val="en-AU" w:eastAsia="ko-KR"/>
        </w:rPr>
      </w:pPr>
      <w:r w:rsidRPr="002E2640">
        <w:rPr>
          <w:rFonts w:ascii="Calibri" w:eastAsia="Malgun Gothic" w:hAnsi="Calibri" w:cs="Times New Roman"/>
          <w:b/>
          <w:color w:val="5A5098"/>
          <w:szCs w:val="22"/>
          <w:lang w:val="en-AU" w:eastAsia="ko-KR"/>
        </w:rPr>
        <w:t>Sex</w:t>
      </w:r>
      <w:r w:rsidRPr="00253428">
        <w:rPr>
          <w:rFonts w:ascii="Calibri" w:eastAsia="Malgun Gothic" w:hAnsi="Calibri" w:cs="Times New Roman"/>
          <w:b/>
          <w:color w:val="5A5098"/>
          <w:szCs w:val="22"/>
          <w:lang w:val="en-AU" w:eastAsia="ko-KR"/>
        </w:rPr>
        <w:t xml:space="preserve"> </w:t>
      </w:r>
    </w:p>
    <w:p w14:paraId="125F2739" w14:textId="77777777" w:rsidR="00354C8E" w:rsidRPr="002E2640" w:rsidRDefault="00354C8E" w:rsidP="00354C8E">
      <w:pPr>
        <w:numPr>
          <w:ilvl w:val="0"/>
          <w:numId w:val="11"/>
        </w:numPr>
        <w:spacing w:line="240" w:lineRule="auto"/>
        <w:ind w:left="357" w:hanging="357"/>
        <w:jc w:val="left"/>
        <w:rPr>
          <w:rFonts w:ascii="Calibri" w:eastAsia="Malgun Gothic" w:hAnsi="Calibri" w:cs="Times New Roman"/>
          <w:szCs w:val="22"/>
          <w:lang w:val="en-AU" w:eastAsia="ko-KR"/>
        </w:rPr>
      </w:pPr>
      <w:r w:rsidRPr="002E2640">
        <w:rPr>
          <w:rFonts w:ascii="Calibri" w:eastAsia="Malgun Gothic" w:hAnsi="Calibri" w:cs="Times New Roman"/>
          <w:szCs w:val="22"/>
          <w:lang w:val="en-AU" w:eastAsia="ko-KR"/>
        </w:rPr>
        <w:t xml:space="preserve">identifies the biological differences between females and males. </w:t>
      </w:r>
    </w:p>
    <w:p w14:paraId="67706775" w14:textId="77777777" w:rsidR="00354C8E" w:rsidRPr="002E2640" w:rsidRDefault="00354C8E" w:rsidP="00354C8E">
      <w:pPr>
        <w:spacing w:before="240" w:line="240" w:lineRule="auto"/>
        <w:ind w:left="181" w:hanging="181"/>
        <w:jc w:val="left"/>
        <w:rPr>
          <w:rFonts w:ascii="Calibri" w:eastAsia="Malgun Gothic" w:hAnsi="Calibri" w:cs="Times New Roman"/>
          <w:b/>
          <w:color w:val="5A5098"/>
          <w:szCs w:val="22"/>
          <w:lang w:val="en-AU" w:eastAsia="ko-KR"/>
        </w:rPr>
      </w:pPr>
      <w:r w:rsidRPr="002E2640">
        <w:rPr>
          <w:rFonts w:ascii="Calibri" w:eastAsia="Malgun Gothic" w:hAnsi="Calibri" w:cs="Times New Roman"/>
          <w:b/>
          <w:color w:val="5A5098"/>
          <w:szCs w:val="22"/>
          <w:lang w:val="en-AU" w:eastAsia="ko-KR"/>
        </w:rPr>
        <w:t xml:space="preserve">Transgender </w:t>
      </w:r>
    </w:p>
    <w:p w14:paraId="5E3DE4B8" w14:textId="77777777" w:rsidR="00354C8E" w:rsidRPr="002E2640" w:rsidRDefault="00354C8E" w:rsidP="00354C8E">
      <w:pPr>
        <w:numPr>
          <w:ilvl w:val="0"/>
          <w:numId w:val="11"/>
        </w:numPr>
        <w:spacing w:line="240" w:lineRule="auto"/>
        <w:ind w:left="357" w:hanging="357"/>
        <w:jc w:val="left"/>
        <w:rPr>
          <w:rFonts w:ascii="Calibri" w:eastAsia="Malgun Gothic" w:hAnsi="Calibri" w:cs="Times New Roman"/>
          <w:szCs w:val="22"/>
          <w:lang w:val="en-AU" w:eastAsia="ko-KR"/>
        </w:rPr>
      </w:pPr>
      <w:r w:rsidRPr="002E2640">
        <w:rPr>
          <w:rFonts w:ascii="Calibri" w:eastAsia="Malgun Gothic" w:hAnsi="Calibri" w:cs="Times New Roman"/>
          <w:szCs w:val="22"/>
          <w:lang w:val="en-AU" w:eastAsia="ko-KR"/>
        </w:rPr>
        <w:t xml:space="preserve">refers to someone whose gender identity is different to their gender at birth, and someone who </w:t>
      </w:r>
      <w:r w:rsidRPr="002E2640">
        <w:rPr>
          <w:rFonts w:ascii="Calibri" w:eastAsia="Malgun Gothic" w:hAnsi="Calibri" w:cs="Times New Roman"/>
          <w:szCs w:val="22"/>
          <w:lang w:val="en" w:eastAsia="ko-KR"/>
        </w:rPr>
        <w:t>wishes to portray their gender identity in a different way to the gender assigned at birth</w:t>
      </w:r>
    </w:p>
    <w:p w14:paraId="077C524B" w14:textId="77777777" w:rsidR="00354C8E" w:rsidRPr="002E2640" w:rsidRDefault="00354C8E" w:rsidP="00354C8E">
      <w:pPr>
        <w:numPr>
          <w:ilvl w:val="0"/>
          <w:numId w:val="11"/>
        </w:numPr>
        <w:spacing w:line="240" w:lineRule="auto"/>
        <w:ind w:left="357" w:hanging="357"/>
        <w:jc w:val="left"/>
        <w:rPr>
          <w:rFonts w:ascii="Calibri" w:eastAsia="Malgun Gothic" w:hAnsi="Calibri" w:cs="Times New Roman"/>
          <w:szCs w:val="22"/>
          <w:lang w:val="en-AU" w:eastAsia="ko-KR"/>
        </w:rPr>
      </w:pPr>
      <w:r w:rsidRPr="002E2640">
        <w:rPr>
          <w:rFonts w:ascii="Calibri" w:eastAsia="Malgun Gothic" w:hAnsi="Calibri" w:cs="Times New Roman"/>
          <w:szCs w:val="22"/>
          <w:lang w:val="en" w:eastAsia="ko-KR"/>
        </w:rPr>
        <w:t>people may present themselves differently by clothing, accessories, cosmetics or body modification and include, among many others, people who are between male and female, transsexuals, transvestites and cross-dressers.</w:t>
      </w:r>
    </w:p>
    <w:p w14:paraId="437CF8B2" w14:textId="1145A62A" w:rsidR="00A33FFF" w:rsidRPr="0021758B" w:rsidRDefault="00A33FFF" w:rsidP="00380550">
      <w:pPr>
        <w:numPr>
          <w:ilvl w:val="0"/>
          <w:numId w:val="7"/>
        </w:numPr>
        <w:spacing w:line="240" w:lineRule="auto"/>
        <w:ind w:left="714" w:hanging="357"/>
        <w:jc w:val="left"/>
        <w:rPr>
          <w:lang w:val="en-AU"/>
        </w:rPr>
      </w:pPr>
      <w:r w:rsidRPr="0021758B">
        <w:rPr>
          <w:lang w:val="en-AU"/>
        </w:rPr>
        <w:br w:type="page"/>
      </w:r>
    </w:p>
    <w:p w14:paraId="3280C615" w14:textId="6929BD03" w:rsidR="00FE176D" w:rsidRDefault="00FE176D">
      <w:pPr>
        <w:spacing w:after="0" w:line="240" w:lineRule="auto"/>
        <w:jc w:val="left"/>
        <w:rPr>
          <w:lang w:val="en-AU"/>
        </w:rPr>
      </w:pPr>
    </w:p>
    <w:p w14:paraId="343AB4BE" w14:textId="77777777" w:rsidR="00DB1ED6" w:rsidRPr="00D33074" w:rsidRDefault="00DB1ED6" w:rsidP="00D33074">
      <w:pPr>
        <w:spacing w:after="0" w:line="240" w:lineRule="auto"/>
        <w:jc w:val="left"/>
        <w:rPr>
          <w:lang w:val="en-AU"/>
        </w:rPr>
      </w:pPr>
    </w:p>
    <w:p w14:paraId="113BEAB3" w14:textId="14ABE4C0" w:rsidR="009A05A1" w:rsidRDefault="004420AB">
      <w:pPr>
        <w:spacing w:after="0" w:line="240" w:lineRule="auto"/>
        <w:jc w:val="left"/>
      </w:pPr>
      <w:r>
        <w:rPr>
          <w:b/>
          <w:noProof/>
          <w:color w:val="660066"/>
          <w:sz w:val="36"/>
          <w:szCs w:val="36"/>
          <w:lang w:val="en-AU" w:eastAsia="ko-KR"/>
        </w:rPr>
        <w:drawing>
          <wp:anchor distT="0" distB="0" distL="114300" distR="114300" simplePos="0" relativeHeight="251681792" behindDoc="1" locked="1" layoutInCell="1" allowOverlap="1" wp14:anchorId="21735F5C" wp14:editId="6E38C181">
            <wp:simplePos x="0" y="0"/>
            <wp:positionH relativeFrom="column">
              <wp:posOffset>-916940</wp:posOffset>
            </wp:positionH>
            <wp:positionV relativeFrom="page">
              <wp:posOffset>-22860</wp:posOffset>
            </wp:positionV>
            <wp:extent cx="7575550" cy="10714990"/>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8 GenericToolkit_3.jpg"/>
                    <pic:cNvPicPr/>
                  </pic:nvPicPr>
                  <pic:blipFill>
                    <a:blip r:embed="rId26">
                      <a:extLst>
                        <a:ext uri="{28A0092B-C50C-407E-A947-70E740481C1C}">
                          <a14:useLocalDpi xmlns:a14="http://schemas.microsoft.com/office/drawing/2010/main" val="0"/>
                        </a:ext>
                      </a:extLst>
                    </a:blip>
                    <a:stretch>
                      <a:fillRect/>
                    </a:stretch>
                  </pic:blipFill>
                  <pic:spPr>
                    <a:xfrm>
                      <a:off x="0" y="0"/>
                      <a:ext cx="7575550" cy="107149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2A78B0D" w14:textId="36090FB2" w:rsidR="00D629DB" w:rsidRDefault="00D629DB" w:rsidP="00D629DB">
      <w:pPr>
        <w:jc w:val="right"/>
        <w:rPr>
          <w:b/>
          <w:color w:val="660066"/>
          <w:sz w:val="36"/>
          <w:szCs w:val="36"/>
        </w:rPr>
      </w:pPr>
    </w:p>
    <w:p w14:paraId="308E4A24" w14:textId="77777777" w:rsidR="00D629DB" w:rsidRDefault="00D629DB" w:rsidP="00D629DB">
      <w:pPr>
        <w:jc w:val="right"/>
        <w:rPr>
          <w:b/>
          <w:color w:val="660066"/>
          <w:sz w:val="36"/>
          <w:szCs w:val="36"/>
        </w:rPr>
      </w:pPr>
    </w:p>
    <w:p w14:paraId="5DBF0771" w14:textId="77777777" w:rsidR="00D629DB" w:rsidRDefault="00D629DB" w:rsidP="00D629DB">
      <w:pPr>
        <w:jc w:val="right"/>
        <w:rPr>
          <w:b/>
          <w:color w:val="660066"/>
          <w:sz w:val="36"/>
          <w:szCs w:val="36"/>
        </w:rPr>
      </w:pPr>
    </w:p>
    <w:p w14:paraId="048D5505" w14:textId="77777777" w:rsidR="00D629DB" w:rsidRDefault="00D629DB" w:rsidP="00D629DB">
      <w:pPr>
        <w:jc w:val="right"/>
        <w:rPr>
          <w:b/>
          <w:color w:val="660066"/>
          <w:sz w:val="36"/>
          <w:szCs w:val="36"/>
        </w:rPr>
      </w:pPr>
    </w:p>
    <w:p w14:paraId="3D034190" w14:textId="77777777" w:rsidR="00D629DB" w:rsidRDefault="00D629DB" w:rsidP="00D629DB">
      <w:pPr>
        <w:jc w:val="right"/>
        <w:rPr>
          <w:b/>
          <w:color w:val="660066"/>
          <w:sz w:val="36"/>
          <w:szCs w:val="36"/>
        </w:rPr>
      </w:pPr>
    </w:p>
    <w:p w14:paraId="40F6F340" w14:textId="77777777" w:rsidR="00D629DB" w:rsidRDefault="00D629DB" w:rsidP="00D629DB">
      <w:pPr>
        <w:jc w:val="right"/>
        <w:rPr>
          <w:b/>
          <w:color w:val="660066"/>
          <w:sz w:val="36"/>
          <w:szCs w:val="36"/>
        </w:rPr>
      </w:pPr>
    </w:p>
    <w:p w14:paraId="5CDEB218" w14:textId="77777777" w:rsidR="00D629DB" w:rsidRDefault="00D629DB" w:rsidP="00D629DB">
      <w:pPr>
        <w:jc w:val="right"/>
        <w:rPr>
          <w:b/>
          <w:color w:val="660066"/>
          <w:sz w:val="36"/>
          <w:szCs w:val="36"/>
        </w:rPr>
      </w:pPr>
    </w:p>
    <w:p w14:paraId="6663265F" w14:textId="77777777" w:rsidR="00D629DB" w:rsidRDefault="00D629DB" w:rsidP="00D629DB">
      <w:pPr>
        <w:jc w:val="right"/>
        <w:rPr>
          <w:b/>
          <w:color w:val="660066"/>
          <w:sz w:val="36"/>
          <w:szCs w:val="36"/>
        </w:rPr>
      </w:pPr>
    </w:p>
    <w:p w14:paraId="04C3FAAF" w14:textId="77777777" w:rsidR="00D629DB" w:rsidRDefault="00D629DB" w:rsidP="00D629DB">
      <w:pPr>
        <w:jc w:val="right"/>
        <w:rPr>
          <w:b/>
          <w:color w:val="660066"/>
          <w:sz w:val="36"/>
          <w:szCs w:val="36"/>
        </w:rPr>
      </w:pPr>
    </w:p>
    <w:p w14:paraId="6D74BBD3" w14:textId="77777777" w:rsidR="00D629DB" w:rsidRDefault="00D629DB" w:rsidP="00D629DB">
      <w:pPr>
        <w:jc w:val="right"/>
        <w:rPr>
          <w:b/>
          <w:color w:val="660066"/>
          <w:sz w:val="36"/>
          <w:szCs w:val="36"/>
        </w:rPr>
      </w:pPr>
    </w:p>
    <w:p w14:paraId="32568CF5" w14:textId="77777777" w:rsidR="00D629DB" w:rsidRDefault="00D629DB" w:rsidP="00D629DB">
      <w:pPr>
        <w:jc w:val="right"/>
        <w:rPr>
          <w:b/>
          <w:color w:val="660066"/>
          <w:sz w:val="36"/>
          <w:szCs w:val="36"/>
        </w:rPr>
      </w:pPr>
    </w:p>
    <w:p w14:paraId="3D6A5DDC" w14:textId="77777777" w:rsidR="00D629DB" w:rsidRDefault="00D629DB" w:rsidP="00D629DB">
      <w:pPr>
        <w:jc w:val="right"/>
        <w:rPr>
          <w:b/>
          <w:color w:val="660066"/>
          <w:sz w:val="36"/>
          <w:szCs w:val="36"/>
        </w:rPr>
      </w:pPr>
    </w:p>
    <w:p w14:paraId="349F8602" w14:textId="77777777" w:rsidR="00D629DB" w:rsidRDefault="00D629DB" w:rsidP="00D629DB">
      <w:pPr>
        <w:jc w:val="right"/>
        <w:rPr>
          <w:b/>
          <w:color w:val="660066"/>
          <w:sz w:val="36"/>
          <w:szCs w:val="36"/>
        </w:rPr>
      </w:pPr>
    </w:p>
    <w:p w14:paraId="66E4C055" w14:textId="77777777" w:rsidR="00D629DB" w:rsidRDefault="00D629DB" w:rsidP="009A05A1">
      <w:pPr>
        <w:jc w:val="right"/>
        <w:rPr>
          <w:b/>
          <w:color w:val="660066"/>
          <w:sz w:val="36"/>
          <w:szCs w:val="36"/>
        </w:rPr>
      </w:pPr>
    </w:p>
    <w:p w14:paraId="70B37343" w14:textId="77777777" w:rsidR="00D629DB" w:rsidRDefault="00D629DB" w:rsidP="009A05A1">
      <w:pPr>
        <w:jc w:val="right"/>
        <w:rPr>
          <w:b/>
          <w:color w:val="660066"/>
          <w:sz w:val="36"/>
          <w:szCs w:val="36"/>
        </w:rPr>
      </w:pPr>
    </w:p>
    <w:p w14:paraId="2F59D13E" w14:textId="77777777" w:rsidR="009A05A1" w:rsidRDefault="009A05A1" w:rsidP="009A05A1">
      <w:pPr>
        <w:jc w:val="right"/>
        <w:rPr>
          <w:b/>
          <w:color w:val="660066"/>
          <w:sz w:val="36"/>
          <w:szCs w:val="36"/>
        </w:rPr>
      </w:pPr>
      <w:r>
        <w:rPr>
          <w:noProof/>
          <w:lang w:val="en-AU" w:eastAsia="ko-KR"/>
        </w:rPr>
        <mc:AlternateContent>
          <mc:Choice Requires="wps">
            <w:drawing>
              <wp:anchor distT="0" distB="0" distL="114300" distR="114300" simplePos="0" relativeHeight="251665408" behindDoc="0" locked="0" layoutInCell="1" allowOverlap="1" wp14:anchorId="67642551" wp14:editId="07F89588">
                <wp:simplePos x="0" y="0"/>
                <wp:positionH relativeFrom="column">
                  <wp:posOffset>1600200</wp:posOffset>
                </wp:positionH>
                <wp:positionV relativeFrom="paragraph">
                  <wp:posOffset>163830</wp:posOffset>
                </wp:positionV>
                <wp:extent cx="5829300" cy="571500"/>
                <wp:effectExtent l="0" t="0" r="38100" b="38100"/>
                <wp:wrapNone/>
                <wp:docPr id="8" name="Text Box 8"/>
                <wp:cNvGraphicFramePr/>
                <a:graphic xmlns:a="http://schemas.openxmlformats.org/drawingml/2006/main">
                  <a:graphicData uri="http://schemas.microsoft.com/office/word/2010/wordprocessingShape">
                    <wps:wsp>
                      <wps:cNvSpPr txBox="1"/>
                      <wps:spPr>
                        <a:xfrm>
                          <a:off x="0" y="0"/>
                          <a:ext cx="5829300" cy="571500"/>
                        </a:xfrm>
                        <a:prstGeom prst="rect">
                          <a:avLst/>
                        </a:prstGeom>
                        <a:noFill/>
                        <a:ln w="6350" cap="rnd">
                          <a:solidFill>
                            <a:srgbClr val="660066"/>
                          </a:solidFill>
                          <a:roun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EF0922" w14:textId="77777777" w:rsidR="00BD7507" w:rsidRPr="009A05A1" w:rsidRDefault="00BD7507" w:rsidP="009A05A1">
                            <w:pPr>
                              <w:pStyle w:val="Title"/>
                              <w:jc w:val="left"/>
                              <w:rPr>
                                <w:sz w:val="44"/>
                                <w:szCs w:val="44"/>
                              </w:rPr>
                            </w:pPr>
                            <w:r w:rsidRPr="009A05A1">
                              <w:rPr>
                                <w:sz w:val="44"/>
                                <w:szCs w:val="44"/>
                              </w:rPr>
                              <w:t>GENDER ANALYSIS TOOLKIT</w:t>
                            </w:r>
                          </w:p>
                          <w:p w14:paraId="3E3E0464" w14:textId="77777777" w:rsidR="00BD7507" w:rsidRDefault="00BD7507" w:rsidP="009A05A1"/>
                        </w:txbxContent>
                      </wps:txbx>
                      <wps:bodyPr rot="0" spcFirstLastPara="0" vertOverflow="overflow" horzOverflow="overflow" vert="horz" wrap="square" lIns="180000" tIns="108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642551" id="Text Box 8" o:spid="_x0000_s1028" type="#_x0000_t202" style="position:absolute;left:0;text-align:left;margin-left:126pt;margin-top:12.9pt;width:459pt;height: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fiI2wIAAPIFAAAOAAAAZHJzL2Uyb0RvYy54bWysVEtv2zAMvg/YfxB0T22nSZoEdQo3RYYB&#10;RVusHXpWZCkxJouapCTuhv33UbKdPrZLh+XgkNJHivz4OL9oakX2wroKdE6zk5QSoTmUld7k9OvD&#10;ajClxHmmS6ZAi5w+CUcvFh8/nB/MXAxhC6oUlqAT7eYHk9Ot92aeJI5vRc3cCRih8VKCrZlH1W6S&#10;0rIDeq9VMkzTSXIAWxoLXDiHp1ftJV1E/1IK7m+ldMITlVOMzcevjd91+CaLczbfWGa2Fe/CYP8Q&#10;Rc0qjY8eXV0xz8jOVn+4qituwYH0JxzqBKSsuIg5YDZZ+iab+y0zIuaC5DhzpMn9P7f8Zn9nSVXm&#10;FAulWY0lehCNJ5fQkGlg52DcHEH3BmG+wWOscn/u8DAk3Uhbh39Mh+A98vx05DY443g4ng5npyle&#10;cbwbn2VjlNF98mxtrPOfBNQkCDm1WLtIKdtfO99Ce0h4TMOqUirWT2lyyOnkdBzcM+wiq8to6kBV&#10;ZYAFA2c366WyZM+wFyYTbJ5JF8ErmIWdLtvnlA52IrZRGwNqjUcxnmNmscQ/l+OzYXE2ng0mxTgb&#10;jLJ0OiiKdDi4WhVpkY5Wy9no8lf3Vm+fBGJbAqPkn5QIXpX+IiQWJPIYww6jII6BM86F9rEEyF1E&#10;B5TEJN9j2OFjHjG/9xi3jKBFfBm0PxrXlQbbUv867PJbH7Js8Vj6F3kH0TfrJnbisO+vNZRP2HYW&#10;2rF1hq8q7I1r5vwdszinWG/cPf4WP1IB9gB0EiVbsD/+dh7wOD54S8kB5z6n7vuOWUGJ+qxxsLJp&#10;ij/cFK2WBpUSG7VZNhqhso7KCIuOit7VS8CGynDPGR7FgPeqF6WF+hGXVBHexSumOb6eU9+LS9/u&#10;I1xyXBRFBOFyMMxf63vDg+vAc+j9h+aRWdMNiMdWuoF+R7D5mzlpscFSQ7HzIKs4RIHplteuArhY&#10;4hh2SzBsrpd6RD2v6sVvAAAA//8DAFBLAwQUAAYACAAAACEAfOmzy90AAAALAQAADwAAAGRycy9k&#10;b3ducmV2LnhtbExPy07DMBC8I/EP1iJxo04j8VCIU6FKcKhaoRYQHJ14cSLidWS7Tfh7Nid6m50Z&#10;zc6Uq8n14oQhdp4ULBcZCKTGm46sgve355sHEDFpMrr3hAp+McKqurwodWH8SHs8HZIVHEKx0Ara&#10;lIZCyti06HRc+AGJtW8fnE58BitN0COHu17mWXYnne6IP7R6wHWLzc/h6BSE/efrh69342Zbd/Zl&#10;a3eb9ZdR6vpqenoEkXBK/2aY63N1qLhT7Y9kougV5Lc5b0kz4AmzYXmfMVPPiClZlfJ8Q/UHAAD/&#10;/wMAUEsBAi0AFAAGAAgAAAAhALaDOJL+AAAA4QEAABMAAAAAAAAAAAAAAAAAAAAAAFtDb250ZW50&#10;X1R5cGVzXS54bWxQSwECLQAUAAYACAAAACEAOP0h/9YAAACUAQAACwAAAAAAAAAAAAAAAAAvAQAA&#10;X3JlbHMvLnJlbHNQSwECLQAUAAYACAAAACEAsmn4iNsCAADyBQAADgAAAAAAAAAAAAAAAAAuAgAA&#10;ZHJzL2Uyb0RvYy54bWxQSwECLQAUAAYACAAAACEAfOmzy90AAAALAQAADwAAAAAAAAAAAAAAAAA1&#10;BQAAZHJzL2Rvd25yZXYueG1sUEsFBgAAAAAEAAQA8wAAAD8GAAAAAA==&#10;" filled="f" strokecolor="#606" strokeweight=".5pt">
                <v:stroke joinstyle="round" endcap="round"/>
                <v:textbox inset="5mm,3mm">
                  <w:txbxContent>
                    <w:p w14:paraId="05EF0922" w14:textId="77777777" w:rsidR="00BD7507" w:rsidRPr="009A05A1" w:rsidRDefault="00BD7507" w:rsidP="009A05A1">
                      <w:pPr>
                        <w:pStyle w:val="Title"/>
                        <w:jc w:val="left"/>
                        <w:rPr>
                          <w:sz w:val="44"/>
                          <w:szCs w:val="44"/>
                        </w:rPr>
                      </w:pPr>
                      <w:r w:rsidRPr="009A05A1">
                        <w:rPr>
                          <w:sz w:val="44"/>
                          <w:szCs w:val="44"/>
                        </w:rPr>
                        <w:t>GENDER ANALYSIS TOOLKIT</w:t>
                      </w:r>
                    </w:p>
                    <w:p w14:paraId="3E3E0464" w14:textId="77777777" w:rsidR="00BD7507" w:rsidRDefault="00BD7507" w:rsidP="009A05A1"/>
                  </w:txbxContent>
                </v:textbox>
              </v:shape>
            </w:pict>
          </mc:Fallback>
        </mc:AlternateContent>
      </w:r>
    </w:p>
    <w:p w14:paraId="23BD13C3" w14:textId="77777777" w:rsidR="009A05A1" w:rsidRDefault="009A05A1" w:rsidP="009A05A1">
      <w:pPr>
        <w:jc w:val="right"/>
        <w:rPr>
          <w:b/>
          <w:color w:val="660066"/>
          <w:sz w:val="36"/>
          <w:szCs w:val="36"/>
        </w:rPr>
      </w:pPr>
    </w:p>
    <w:p w14:paraId="27ABEA52" w14:textId="77777777" w:rsidR="009A05A1" w:rsidRDefault="009A05A1" w:rsidP="009A05A1">
      <w:pPr>
        <w:jc w:val="right"/>
        <w:rPr>
          <w:b/>
          <w:color w:val="660066"/>
          <w:sz w:val="36"/>
          <w:szCs w:val="36"/>
        </w:rPr>
      </w:pPr>
    </w:p>
    <w:p w14:paraId="09491466" w14:textId="77777777" w:rsidR="009A05A1" w:rsidRDefault="009A05A1" w:rsidP="009A05A1">
      <w:pPr>
        <w:spacing w:after="0" w:line="240" w:lineRule="auto"/>
        <w:jc w:val="right"/>
        <w:rPr>
          <w:b/>
          <w:color w:val="660066"/>
          <w:sz w:val="36"/>
          <w:szCs w:val="36"/>
        </w:rPr>
      </w:pPr>
      <w:r w:rsidRPr="000B22AB">
        <w:rPr>
          <w:b/>
          <w:color w:val="660066"/>
          <w:sz w:val="36"/>
          <w:szCs w:val="36"/>
        </w:rPr>
        <w:t xml:space="preserve">Section </w:t>
      </w:r>
      <w:r>
        <w:rPr>
          <w:b/>
          <w:color w:val="660066"/>
          <w:sz w:val="36"/>
          <w:szCs w:val="36"/>
        </w:rPr>
        <w:t>2</w:t>
      </w:r>
      <w:r w:rsidRPr="00250BFF">
        <w:rPr>
          <w:b/>
          <w:color w:val="FFFFFF" w:themeColor="background1"/>
          <w:sz w:val="36"/>
          <w:szCs w:val="36"/>
        </w:rPr>
        <w:t>1</w:t>
      </w:r>
    </w:p>
    <w:p w14:paraId="53A040E7" w14:textId="77777777" w:rsidR="009A05A1" w:rsidRPr="000B22AB" w:rsidRDefault="009A05A1" w:rsidP="009A05A1">
      <w:pPr>
        <w:spacing w:after="0" w:line="240" w:lineRule="auto"/>
        <w:jc w:val="right"/>
        <w:rPr>
          <w:b/>
          <w:color w:val="660066"/>
          <w:sz w:val="36"/>
          <w:szCs w:val="36"/>
        </w:rPr>
      </w:pPr>
      <w:r>
        <w:rPr>
          <w:b/>
          <w:color w:val="660066"/>
          <w:sz w:val="36"/>
          <w:szCs w:val="36"/>
        </w:rPr>
        <w:t xml:space="preserve"> </w:t>
      </w:r>
    </w:p>
    <w:p w14:paraId="45E6D26E" w14:textId="77777777" w:rsidR="009A05A1" w:rsidRDefault="009A05A1" w:rsidP="009A05A1">
      <w:pPr>
        <w:pStyle w:val="Title"/>
        <w:rPr>
          <w:lang w:val="en-AU"/>
        </w:rPr>
      </w:pPr>
      <w:r w:rsidRPr="009A05A1">
        <w:rPr>
          <w:lang w:val="en-AU"/>
        </w:rPr>
        <w:t>Why is gender analysis necessary?</w:t>
      </w:r>
    </w:p>
    <w:p w14:paraId="7C57DD90" w14:textId="2F844417" w:rsidR="00EB619F" w:rsidRPr="00A33FFF" w:rsidRDefault="009A05A1" w:rsidP="00586BC4">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240" w:line="240" w:lineRule="auto"/>
        <w:jc w:val="left"/>
        <w:rPr>
          <w:rFonts w:eastAsia="Malgun Gothic" w:cs="Arial"/>
          <w:color w:val="385623"/>
          <w:szCs w:val="22"/>
          <w:lang w:val="en-AU" w:eastAsia="ko-KR"/>
        </w:rPr>
      </w:pPr>
      <w:r>
        <w:rPr>
          <w:lang w:val="en-AU"/>
        </w:rPr>
        <w:br w:type="page"/>
      </w:r>
      <w:r w:rsidR="00EB619F" w:rsidRPr="00410F9F">
        <w:rPr>
          <w:rFonts w:ascii="Calibri" w:eastAsia="Malgun Gothic" w:hAnsi="Calibri" w:cs="Times New Roman"/>
          <w:b/>
          <w:color w:val="385623"/>
          <w:sz w:val="40"/>
          <w:szCs w:val="40"/>
          <w:lang w:val="en-AU" w:eastAsia="ko-KR"/>
        </w:rPr>
        <w:lastRenderedPageBreak/>
        <w:t xml:space="preserve">GENDER </w:t>
      </w:r>
      <w:r w:rsidR="00EB619F">
        <w:rPr>
          <w:rFonts w:ascii="Calibri" w:eastAsia="Malgun Gothic" w:hAnsi="Calibri" w:cs="Times New Roman"/>
          <w:b/>
          <w:color w:val="385623"/>
          <w:sz w:val="40"/>
          <w:szCs w:val="40"/>
          <w:lang w:val="en-AU" w:eastAsia="ko-KR"/>
        </w:rPr>
        <w:t>EQUALITY IS THE LAW</w:t>
      </w:r>
      <w:r w:rsidR="00480F75">
        <w:rPr>
          <w:rFonts w:ascii="Calibri" w:eastAsia="Malgun Gothic" w:hAnsi="Calibri" w:cs="Times New Roman"/>
          <w:b/>
          <w:color w:val="385623"/>
          <w:sz w:val="40"/>
          <w:szCs w:val="40"/>
          <w:lang w:val="en-AU" w:eastAsia="ko-KR"/>
        </w:rPr>
        <w:t xml:space="preserve">                         </w:t>
      </w:r>
      <w:r w:rsidR="00EB619F">
        <w:rPr>
          <w:rFonts w:ascii="Calibri" w:eastAsia="Malgun Gothic" w:hAnsi="Calibri" w:cs="Times New Roman"/>
          <w:b/>
          <w:color w:val="385623"/>
          <w:sz w:val="40"/>
          <w:szCs w:val="40"/>
          <w:lang w:val="en-AU" w:eastAsia="ko-KR"/>
        </w:rPr>
        <w:t xml:space="preserve">  </w:t>
      </w:r>
      <w:r w:rsidR="00480F75">
        <w:rPr>
          <w:rFonts w:ascii="Calibri" w:eastAsia="Malgun Gothic" w:hAnsi="Calibri" w:cs="Times New Roman"/>
          <w:b/>
          <w:noProof/>
          <w:color w:val="385623"/>
          <w:sz w:val="40"/>
          <w:szCs w:val="40"/>
          <w:lang w:val="en-AU" w:eastAsia="ko-KR"/>
        </w:rPr>
        <w:drawing>
          <wp:inline distT="0" distB="0" distL="0" distR="0" wp14:anchorId="494018A1" wp14:editId="3AFDBC71">
            <wp:extent cx="871855" cy="871855"/>
            <wp:effectExtent l="0" t="0" r="444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pic:spPr>
                </pic:pic>
              </a:graphicData>
            </a:graphic>
          </wp:inline>
        </w:drawing>
      </w:r>
    </w:p>
    <w:p w14:paraId="67761BCA" w14:textId="77777777" w:rsidR="00FF7F65" w:rsidRPr="00FF7F65" w:rsidRDefault="00FF7F65">
      <w:pPr>
        <w:spacing w:after="0" w:line="240" w:lineRule="auto"/>
        <w:jc w:val="left"/>
        <w:rPr>
          <w:rFonts w:ascii="Calibri" w:eastAsia="Malgun Gothic" w:hAnsi="Calibri" w:cs="Times New Roman"/>
          <w:szCs w:val="22"/>
          <w:lang w:val="en-AU" w:eastAsia="ko-KR"/>
        </w:rPr>
      </w:pPr>
      <w:r w:rsidRPr="00FF7F65">
        <w:rPr>
          <w:rFonts w:ascii="Calibri" w:eastAsia="Malgun Gothic" w:hAnsi="Calibri" w:cs="Times New Roman"/>
          <w:szCs w:val="22"/>
          <w:lang w:val="en-AU" w:eastAsia="ko-KR"/>
        </w:rPr>
        <w:t>The Queensland and Commonwealth governments have each made commitments to gender equality, expressed in policies, legislation and agreements at state, national and international levels.</w:t>
      </w:r>
    </w:p>
    <w:p w14:paraId="31DF4356" w14:textId="77777777" w:rsidR="00FF7F65" w:rsidRPr="00FF7F65" w:rsidRDefault="00FF7F65" w:rsidP="00FF7F65">
      <w:pPr>
        <w:keepNext/>
        <w:keepLines/>
        <w:spacing w:before="100" w:beforeAutospacing="1" w:after="100" w:afterAutospacing="1" w:line="240" w:lineRule="auto"/>
        <w:jc w:val="left"/>
        <w:outlineLvl w:val="2"/>
        <w:rPr>
          <w:rFonts w:ascii="Calibri Light" w:eastAsia="Malgun Gothic" w:hAnsi="Calibri Light" w:cs="Times New Roman"/>
          <w:b/>
          <w:color w:val="385623"/>
          <w:sz w:val="28"/>
          <w:szCs w:val="28"/>
          <w:lang w:val="en-AU" w:eastAsia="ko-KR"/>
        </w:rPr>
      </w:pPr>
      <w:r w:rsidRPr="00FF7F65">
        <w:rPr>
          <w:rFonts w:ascii="Calibri Light" w:eastAsia="Malgun Gothic" w:hAnsi="Calibri Light" w:cs="Times New Roman"/>
          <w:b/>
          <w:color w:val="385623"/>
          <w:sz w:val="28"/>
          <w:szCs w:val="28"/>
          <w:lang w:val="en-AU" w:eastAsia="ko-KR"/>
        </w:rPr>
        <w:t>Queensland’s strategic commitment</w:t>
      </w:r>
    </w:p>
    <w:p w14:paraId="5D26F6A2" w14:textId="77777777" w:rsidR="00FF7F65" w:rsidRPr="00FF7F65" w:rsidRDefault="00FF7F65" w:rsidP="00FF7F65">
      <w:pPr>
        <w:spacing w:before="100" w:beforeAutospacing="1" w:after="100" w:afterAutospacing="1" w:line="240" w:lineRule="auto"/>
        <w:jc w:val="left"/>
        <w:rPr>
          <w:rFonts w:ascii="Calibri" w:eastAsia="Malgun Gothic" w:hAnsi="Calibri" w:cs="Times New Roman"/>
          <w:szCs w:val="22"/>
          <w:lang w:val="en-AU" w:eastAsia="ko-KR"/>
        </w:rPr>
      </w:pPr>
      <w:r w:rsidRPr="00FF7F65">
        <w:rPr>
          <w:rFonts w:ascii="Calibri" w:eastAsia="Malgun Gothic" w:hAnsi="Calibri" w:cs="Times New Roman"/>
          <w:szCs w:val="22"/>
          <w:lang w:val="en-AU" w:eastAsia="ko-KR"/>
        </w:rPr>
        <w:t xml:space="preserve">The Queensland Government’s commitment is articulated in the Queensland Women’s Strategy 2016-21. The strategy presents a vision that: </w:t>
      </w:r>
    </w:p>
    <w:p w14:paraId="3AD08E20" w14:textId="77777777" w:rsidR="00FF7F65" w:rsidRPr="00FF7F65" w:rsidRDefault="00FF7F65" w:rsidP="00FF7F65">
      <w:pPr>
        <w:spacing w:before="100" w:beforeAutospacing="1" w:after="100" w:afterAutospacing="1" w:line="240" w:lineRule="auto"/>
        <w:ind w:left="284"/>
        <w:jc w:val="left"/>
        <w:rPr>
          <w:rFonts w:ascii="Calibri" w:eastAsia="Malgun Gothic" w:hAnsi="Calibri" w:cs="Times New Roman"/>
          <w:i/>
          <w:szCs w:val="22"/>
          <w:lang w:val="en-AU" w:eastAsia="ko-KR"/>
        </w:rPr>
      </w:pPr>
      <w:r w:rsidRPr="00FF7F65">
        <w:rPr>
          <w:rFonts w:ascii="Calibri" w:eastAsia="Malgun Gothic" w:hAnsi="Calibri" w:cs="Times New Roman"/>
          <w:i/>
          <w:szCs w:val="22"/>
          <w:lang w:val="en-AU" w:eastAsia="ko-KR"/>
        </w:rPr>
        <w:t xml:space="preserve">the Queensland community respects women, embraces gender equality and promotes and protects the rights, interests and wellbeing of women and girls. </w:t>
      </w:r>
    </w:p>
    <w:p w14:paraId="6DE94354" w14:textId="77777777" w:rsidR="00FF7F65" w:rsidRPr="00FF7F65" w:rsidRDefault="00FF7F65" w:rsidP="00FF7F65">
      <w:pPr>
        <w:spacing w:before="100" w:beforeAutospacing="1" w:after="100" w:afterAutospacing="1" w:line="240" w:lineRule="auto"/>
        <w:jc w:val="left"/>
        <w:rPr>
          <w:rFonts w:ascii="Calibri" w:eastAsia="Malgun Gothic" w:hAnsi="Calibri" w:cs="Times New Roman"/>
          <w:szCs w:val="22"/>
          <w:lang w:val="en-AU" w:eastAsia="ko-KR"/>
        </w:rPr>
      </w:pPr>
      <w:r w:rsidRPr="00FF7F65">
        <w:rPr>
          <w:rFonts w:ascii="Calibri" w:eastAsia="Malgun Gothic" w:hAnsi="Calibri" w:cs="Times New Roman"/>
          <w:szCs w:val="22"/>
          <w:lang w:val="en-AU" w:eastAsia="ko-KR"/>
        </w:rPr>
        <w:t>The associated Community Implementation Plan sets out how government, businesses and the community are working together across Queensland to achieve this vision.</w:t>
      </w:r>
    </w:p>
    <w:p w14:paraId="4D1A5B88" w14:textId="77777777" w:rsidR="00CE4F89" w:rsidRPr="00CE4F89" w:rsidRDefault="00CE4F89" w:rsidP="00CE4F89">
      <w:pPr>
        <w:keepNext/>
        <w:keepLines/>
        <w:spacing w:before="100" w:beforeAutospacing="1" w:after="100" w:afterAutospacing="1" w:line="240" w:lineRule="auto"/>
        <w:jc w:val="left"/>
        <w:outlineLvl w:val="2"/>
        <w:rPr>
          <w:rFonts w:ascii="Calibri Light" w:eastAsia="Malgun Gothic" w:hAnsi="Calibri Light" w:cs="Times New Roman"/>
          <w:b/>
          <w:color w:val="385623"/>
          <w:sz w:val="28"/>
          <w:szCs w:val="28"/>
          <w:lang w:val="en-AU" w:eastAsia="ko-KR"/>
        </w:rPr>
      </w:pPr>
      <w:r w:rsidRPr="00CE4F89">
        <w:rPr>
          <w:rFonts w:ascii="Calibri Light" w:eastAsia="Malgun Gothic" w:hAnsi="Calibri Light" w:cs="Times New Roman"/>
          <w:b/>
          <w:color w:val="385623"/>
          <w:sz w:val="28"/>
          <w:szCs w:val="28"/>
          <w:lang w:val="en-AU" w:eastAsia="ko-KR"/>
        </w:rPr>
        <w:t xml:space="preserve">Gender discrimination laws </w:t>
      </w:r>
    </w:p>
    <w:p w14:paraId="07364FCB" w14:textId="77777777" w:rsidR="00CE4F89" w:rsidRPr="00CE4F89" w:rsidRDefault="00CE4F89" w:rsidP="00380550">
      <w:pPr>
        <w:numPr>
          <w:ilvl w:val="0"/>
          <w:numId w:val="17"/>
        </w:numPr>
        <w:spacing w:before="100" w:beforeAutospacing="1" w:after="100" w:afterAutospacing="1" w:line="240" w:lineRule="auto"/>
        <w:ind w:left="357" w:hanging="357"/>
        <w:jc w:val="left"/>
        <w:rPr>
          <w:rFonts w:ascii="Calibri Light" w:eastAsia="Malgun Gothic" w:hAnsi="Calibri Light" w:cs="Times New Roman"/>
          <w:color w:val="385623"/>
          <w:sz w:val="24"/>
          <w:lang w:val="en-AU" w:eastAsia="ko-KR"/>
        </w:rPr>
      </w:pPr>
      <w:r w:rsidRPr="00CE4F89">
        <w:rPr>
          <w:rFonts w:ascii="Calibri Light" w:eastAsia="Malgun Gothic" w:hAnsi="Calibri Light" w:cs="Times New Roman"/>
          <w:color w:val="385623"/>
          <w:sz w:val="24"/>
          <w:lang w:val="en-AU" w:eastAsia="ko-KR"/>
        </w:rPr>
        <w:t>Federal anti-discrimination legislation</w:t>
      </w:r>
    </w:p>
    <w:p w14:paraId="499FDAFD" w14:textId="77777777" w:rsidR="00CE4F89" w:rsidRPr="00CE4F89" w:rsidRDefault="00CE4F89" w:rsidP="00CE4F89">
      <w:pPr>
        <w:spacing w:before="100" w:beforeAutospacing="1" w:after="100" w:afterAutospacing="1" w:line="259" w:lineRule="auto"/>
        <w:jc w:val="left"/>
        <w:rPr>
          <w:rFonts w:ascii="Calibri" w:eastAsia="Malgun Gothic" w:hAnsi="Calibri" w:cs="Times New Roman"/>
          <w:szCs w:val="22"/>
          <w:lang w:val="en-AU" w:eastAsia="ko-KR"/>
        </w:rPr>
      </w:pPr>
      <w:r w:rsidRPr="00CE4F89">
        <w:rPr>
          <w:rFonts w:ascii="Calibri" w:eastAsia="Malgun Gothic" w:hAnsi="Calibri" w:cs="Times New Roman"/>
          <w:szCs w:val="22"/>
          <w:lang w:val="en-AU" w:eastAsia="ko-KR"/>
        </w:rPr>
        <w:t xml:space="preserve">The </w:t>
      </w:r>
      <w:hyperlink r:id="rId27" w:anchor="Age" w:history="1">
        <w:r w:rsidRPr="00CE4F89">
          <w:rPr>
            <w:rFonts w:ascii="Calibri" w:eastAsia="Malgun Gothic" w:hAnsi="Calibri" w:cs="Times New Roman"/>
            <w:i/>
            <w:color w:val="0000FF"/>
            <w:szCs w:val="22"/>
            <w:u w:val="single"/>
            <w:lang w:val="en-AU" w:eastAsia="ko-KR"/>
          </w:rPr>
          <w:t>Sex Discrimination Act 1984</w:t>
        </w:r>
      </w:hyperlink>
      <w:r w:rsidRPr="00CE4F89">
        <w:rPr>
          <w:rFonts w:ascii="Calibri" w:eastAsia="Malgun Gothic" w:hAnsi="Calibri" w:cs="Times New Roman"/>
          <w:szCs w:val="22"/>
          <w:lang w:val="en-AU" w:eastAsia="ko-KR"/>
        </w:rPr>
        <w:t xml:space="preserve"> prohibits </w:t>
      </w:r>
      <w:r w:rsidRPr="00CE4F89">
        <w:rPr>
          <w:rFonts w:ascii="Calibri" w:eastAsia="Malgun Gothic" w:hAnsi="Calibri" w:cs="Times New Roman"/>
          <w:bCs/>
          <w:szCs w:val="22"/>
          <w:lang w:val="en-AU" w:eastAsia="ko-KR"/>
        </w:rPr>
        <w:t>discrimination</w:t>
      </w:r>
      <w:r w:rsidRPr="00CE4F89">
        <w:rPr>
          <w:rFonts w:ascii="Calibri" w:eastAsia="Malgun Gothic" w:hAnsi="Calibri" w:cs="Times New Roman"/>
          <w:szCs w:val="22"/>
          <w:lang w:val="en-AU" w:eastAsia="ko-KR"/>
        </w:rPr>
        <w:t xml:space="preserve"> on the basis of </w:t>
      </w:r>
      <w:r w:rsidRPr="00CE4F89">
        <w:rPr>
          <w:rFonts w:ascii="Calibri" w:eastAsia="Malgun Gothic" w:hAnsi="Calibri" w:cs="Times New Roman"/>
          <w:bCs/>
          <w:szCs w:val="22"/>
          <w:lang w:val="en-AU" w:eastAsia="ko-KR"/>
        </w:rPr>
        <w:t>sex</w:t>
      </w:r>
      <w:r w:rsidRPr="00CE4F89">
        <w:rPr>
          <w:rFonts w:ascii="Calibri" w:eastAsia="Malgun Gothic" w:hAnsi="Calibri" w:cs="Times New Roman"/>
          <w:szCs w:val="22"/>
          <w:lang w:val="en-AU" w:eastAsia="ko-KR"/>
        </w:rPr>
        <w:t xml:space="preserve">, marital or relationship status, pregnancy, sexual orientation, </w:t>
      </w:r>
      <w:r w:rsidRPr="00CE4F89">
        <w:rPr>
          <w:rFonts w:ascii="Calibri" w:eastAsia="Malgun Gothic" w:hAnsi="Calibri" w:cs="Times New Roman"/>
          <w:bCs/>
          <w:szCs w:val="22"/>
          <w:lang w:val="en-AU" w:eastAsia="ko-KR"/>
        </w:rPr>
        <w:t>gender</w:t>
      </w:r>
      <w:r w:rsidRPr="00CE4F89">
        <w:rPr>
          <w:rFonts w:ascii="Calibri" w:eastAsia="Malgun Gothic" w:hAnsi="Calibri" w:cs="Times New Roman"/>
          <w:szCs w:val="22"/>
          <w:lang w:val="en-AU" w:eastAsia="ko-KR"/>
        </w:rPr>
        <w:t xml:space="preserve"> identity, intersex status or breastfeeding in a range of areas of public life.</w:t>
      </w:r>
    </w:p>
    <w:p w14:paraId="14A0F740" w14:textId="77777777" w:rsidR="00CE4F89" w:rsidRPr="00CE4F89" w:rsidRDefault="00CE4F89" w:rsidP="00CE4F89">
      <w:pPr>
        <w:spacing w:before="100" w:beforeAutospacing="1" w:after="100" w:afterAutospacing="1" w:line="259" w:lineRule="auto"/>
        <w:jc w:val="left"/>
        <w:rPr>
          <w:rFonts w:ascii="Calibri" w:eastAsia="Malgun Gothic" w:hAnsi="Calibri" w:cs="Times New Roman"/>
          <w:szCs w:val="22"/>
          <w:lang w:val="en-AU" w:eastAsia="ko-KR"/>
        </w:rPr>
      </w:pPr>
      <w:r w:rsidRPr="00CE4F89">
        <w:rPr>
          <w:rFonts w:ascii="Calibri" w:eastAsia="Malgun Gothic" w:hAnsi="Calibri" w:cs="Times New Roman"/>
          <w:szCs w:val="22"/>
          <w:lang w:val="en-AU" w:eastAsia="ko-KR"/>
        </w:rPr>
        <w:t xml:space="preserve">This Act gives effect to Australia's obligations under the Convention on the Elimination of All Forms of Discrimination Against Women. It is actioned via the </w:t>
      </w:r>
      <w:hyperlink r:id="rId28" w:history="1">
        <w:r w:rsidRPr="00CE4F89">
          <w:rPr>
            <w:rFonts w:ascii="Calibri" w:eastAsia="Malgun Gothic" w:hAnsi="Calibri" w:cs="Times New Roman"/>
            <w:color w:val="0000FF"/>
            <w:szCs w:val="22"/>
            <w:u w:val="single"/>
            <w:lang w:val="en-AU" w:eastAsia="ko-KR"/>
          </w:rPr>
          <w:t>Australian Human Rights Commission</w:t>
        </w:r>
      </w:hyperlink>
      <w:r w:rsidRPr="00CE4F89">
        <w:rPr>
          <w:rFonts w:ascii="Calibri" w:eastAsia="Malgun Gothic" w:hAnsi="Calibri" w:cs="Times New Roman"/>
          <w:szCs w:val="22"/>
          <w:lang w:val="en-AU" w:eastAsia="ko-KR"/>
        </w:rPr>
        <w:t xml:space="preserve"> (More information: </w:t>
      </w:r>
      <w:hyperlink r:id="rId29" w:history="1">
        <w:r w:rsidRPr="00CE4F89">
          <w:rPr>
            <w:rFonts w:ascii="Calibri" w:eastAsia="Malgun Gothic" w:hAnsi="Calibri" w:cs="Times New Roman"/>
            <w:color w:val="0000FF"/>
            <w:szCs w:val="22"/>
            <w:u w:val="single"/>
            <w:lang w:val="en-AU" w:eastAsia="ko-KR"/>
          </w:rPr>
          <w:t>https://www.humanrights.gov.au/</w:t>
        </w:r>
      </w:hyperlink>
      <w:r w:rsidRPr="00CE4F89">
        <w:rPr>
          <w:rFonts w:ascii="Calibri" w:eastAsia="Malgun Gothic" w:hAnsi="Calibri" w:cs="Times New Roman"/>
          <w:szCs w:val="22"/>
          <w:lang w:val="en-AU" w:eastAsia="ko-KR"/>
        </w:rPr>
        <w:t>)</w:t>
      </w:r>
    </w:p>
    <w:p w14:paraId="7E3A15D5" w14:textId="77777777" w:rsidR="00CE4F89" w:rsidRPr="00CE4F89" w:rsidRDefault="00CE4F89" w:rsidP="00380550">
      <w:pPr>
        <w:numPr>
          <w:ilvl w:val="0"/>
          <w:numId w:val="17"/>
        </w:numPr>
        <w:spacing w:before="100" w:beforeAutospacing="1" w:after="100" w:afterAutospacing="1" w:line="240" w:lineRule="auto"/>
        <w:ind w:left="357" w:hanging="357"/>
        <w:jc w:val="left"/>
        <w:rPr>
          <w:rFonts w:ascii="Calibri Light" w:eastAsia="Malgun Gothic" w:hAnsi="Calibri Light" w:cs="Times New Roman"/>
          <w:color w:val="385623"/>
          <w:sz w:val="24"/>
          <w:lang w:val="en-AU" w:eastAsia="ko-KR"/>
        </w:rPr>
      </w:pPr>
      <w:r w:rsidRPr="00CE4F89">
        <w:rPr>
          <w:rFonts w:ascii="Calibri Light" w:eastAsia="Malgun Gothic" w:hAnsi="Calibri Light" w:cs="Times New Roman"/>
          <w:color w:val="385623"/>
          <w:sz w:val="24"/>
          <w:lang w:val="en-AU" w:eastAsia="ko-KR"/>
        </w:rPr>
        <w:t>Federal employment provisions</w:t>
      </w:r>
    </w:p>
    <w:p w14:paraId="15648671" w14:textId="77777777" w:rsidR="00CE4F89" w:rsidRPr="00CE4F89" w:rsidRDefault="00CE4F89" w:rsidP="00CE4F89">
      <w:pPr>
        <w:spacing w:before="100" w:beforeAutospacing="1" w:after="100" w:afterAutospacing="1" w:line="240" w:lineRule="auto"/>
        <w:jc w:val="left"/>
        <w:rPr>
          <w:rFonts w:ascii="Calibri" w:eastAsia="Malgun Gothic" w:hAnsi="Calibri" w:cs="Times New Roman"/>
          <w:szCs w:val="22"/>
          <w:lang w:val="en-AU" w:eastAsia="ko-KR"/>
        </w:rPr>
      </w:pPr>
      <w:r w:rsidRPr="00CE4F89">
        <w:rPr>
          <w:rFonts w:ascii="Calibri" w:eastAsia="Malgun Gothic" w:hAnsi="Calibri" w:cs="Times New Roman"/>
          <w:szCs w:val="22"/>
          <w:lang w:val="en-AU" w:eastAsia="ko-KR"/>
        </w:rPr>
        <w:t xml:space="preserve">The </w:t>
      </w:r>
      <w:hyperlink r:id="rId30" w:history="1">
        <w:r w:rsidRPr="00CE4F89">
          <w:rPr>
            <w:rFonts w:ascii="Calibri" w:eastAsia="Malgun Gothic" w:hAnsi="Calibri" w:cs="Times New Roman"/>
            <w:i/>
            <w:color w:val="0000FF"/>
            <w:szCs w:val="22"/>
            <w:u w:val="single"/>
            <w:lang w:val="en-AU" w:eastAsia="ko-KR"/>
          </w:rPr>
          <w:t>Workplace Gender Equality Act 2012</w:t>
        </w:r>
      </w:hyperlink>
      <w:r w:rsidRPr="00CE4F89">
        <w:rPr>
          <w:rFonts w:ascii="Calibri" w:eastAsia="Malgun Gothic" w:hAnsi="Calibri" w:cs="Times New Roman"/>
          <w:szCs w:val="22"/>
          <w:lang w:val="en-AU" w:eastAsia="ko-KR"/>
        </w:rPr>
        <w:t xml:space="preserve"> aims to improve and promote equality for both women and men in the workplace. It replaced the </w:t>
      </w:r>
      <w:r w:rsidRPr="00CE4F89">
        <w:rPr>
          <w:rFonts w:ascii="Calibri" w:eastAsia="Malgun Gothic" w:hAnsi="Calibri" w:cs="Times New Roman"/>
          <w:i/>
          <w:szCs w:val="22"/>
          <w:lang w:val="en-AU" w:eastAsia="ko-KR"/>
        </w:rPr>
        <w:t>Equal Opportunity for Women in the Workplace Act 1999</w:t>
      </w:r>
      <w:r w:rsidRPr="00CE4F89">
        <w:rPr>
          <w:rFonts w:ascii="Calibri" w:eastAsia="Malgun Gothic" w:hAnsi="Calibri" w:cs="Times New Roman"/>
          <w:szCs w:val="22"/>
          <w:lang w:val="en-AU" w:eastAsia="ko-KR"/>
        </w:rPr>
        <w:t xml:space="preserve">, and is administered by the </w:t>
      </w:r>
      <w:hyperlink r:id="rId31" w:history="1">
        <w:r w:rsidRPr="00CE4F89">
          <w:rPr>
            <w:rFonts w:ascii="Calibri" w:eastAsia="Malgun Gothic" w:hAnsi="Calibri" w:cs="Times New Roman"/>
            <w:color w:val="0000FF"/>
            <w:szCs w:val="22"/>
            <w:u w:val="single"/>
            <w:lang w:val="en-AU" w:eastAsia="ko-KR"/>
          </w:rPr>
          <w:t>Workplace Gender Equality Agency</w:t>
        </w:r>
      </w:hyperlink>
      <w:r w:rsidRPr="00CE4F89">
        <w:rPr>
          <w:rFonts w:ascii="Calibri" w:eastAsia="Malgun Gothic" w:hAnsi="Calibri" w:cs="Times New Roman"/>
          <w:szCs w:val="22"/>
          <w:lang w:val="en-AU" w:eastAsia="ko-KR"/>
        </w:rPr>
        <w:t>. (More information: https://www.wgea.gov.au/)</w:t>
      </w:r>
    </w:p>
    <w:p w14:paraId="4C864C7B" w14:textId="77777777" w:rsidR="00CE4F89" w:rsidRPr="00CE4F89" w:rsidRDefault="00CE4F89" w:rsidP="00380550">
      <w:pPr>
        <w:numPr>
          <w:ilvl w:val="0"/>
          <w:numId w:val="17"/>
        </w:numPr>
        <w:spacing w:before="100" w:beforeAutospacing="1" w:after="100" w:afterAutospacing="1" w:line="240" w:lineRule="auto"/>
        <w:ind w:left="357" w:hanging="357"/>
        <w:jc w:val="left"/>
        <w:rPr>
          <w:rFonts w:ascii="Calibri Light" w:eastAsia="Malgun Gothic" w:hAnsi="Calibri Light" w:cs="Times New Roman"/>
          <w:color w:val="385623"/>
          <w:sz w:val="24"/>
          <w:lang w:val="en-AU" w:eastAsia="ko-KR"/>
        </w:rPr>
      </w:pPr>
      <w:r w:rsidRPr="00CE4F89">
        <w:rPr>
          <w:rFonts w:ascii="Calibri Light" w:eastAsia="Malgun Gothic" w:hAnsi="Calibri Light" w:cs="Times New Roman"/>
          <w:color w:val="385623"/>
          <w:sz w:val="24"/>
          <w:lang w:val="en-AU" w:eastAsia="ko-KR"/>
        </w:rPr>
        <w:t>State Anti-discrimination legislation</w:t>
      </w:r>
    </w:p>
    <w:p w14:paraId="5730E3B3" w14:textId="77777777" w:rsidR="00CE4F89" w:rsidRPr="00CE4F89" w:rsidRDefault="00CE4F89" w:rsidP="00CE4F89">
      <w:pPr>
        <w:spacing w:before="100" w:beforeAutospacing="1" w:after="100" w:afterAutospacing="1" w:line="240" w:lineRule="auto"/>
        <w:jc w:val="left"/>
        <w:rPr>
          <w:rFonts w:ascii="Calibri" w:eastAsia="Malgun Gothic" w:hAnsi="Calibri" w:cs="Times New Roman"/>
          <w:szCs w:val="22"/>
          <w:highlight w:val="yellow"/>
          <w:lang w:val="en-AU" w:eastAsia="ko-KR"/>
        </w:rPr>
      </w:pPr>
      <w:r w:rsidRPr="00CE4F89">
        <w:rPr>
          <w:rFonts w:ascii="Calibri" w:eastAsia="Malgun Gothic" w:hAnsi="Calibri" w:cs="Times New Roman"/>
          <w:szCs w:val="22"/>
          <w:lang w:val="en-AU" w:eastAsia="ko-KR"/>
        </w:rPr>
        <w:t xml:space="preserve">The </w:t>
      </w:r>
      <w:hyperlink r:id="rId32" w:history="1">
        <w:r w:rsidRPr="00CE4F89">
          <w:rPr>
            <w:rFonts w:ascii="Calibri" w:eastAsia="Malgun Gothic" w:hAnsi="Calibri" w:cs="Times New Roman"/>
            <w:i/>
            <w:color w:val="0000FF"/>
            <w:szCs w:val="22"/>
            <w:u w:val="single"/>
            <w:lang w:val="en-AU" w:eastAsia="ko-KR"/>
          </w:rPr>
          <w:t>Anti-Discrimination Act 1991</w:t>
        </w:r>
        <w:r w:rsidRPr="00CE4F89">
          <w:rPr>
            <w:rFonts w:ascii="Calibri" w:eastAsia="Malgun Gothic" w:hAnsi="Calibri" w:cs="Times New Roman"/>
            <w:color w:val="0000FF"/>
            <w:szCs w:val="22"/>
            <w:u w:val="single"/>
            <w:lang w:val="en-AU" w:eastAsia="ko-KR"/>
          </w:rPr>
          <w:t xml:space="preserve"> (Queensland)</w:t>
        </w:r>
      </w:hyperlink>
      <w:r w:rsidRPr="00CE4F89">
        <w:rPr>
          <w:rFonts w:ascii="Calibri" w:eastAsia="Malgun Gothic" w:hAnsi="Calibri" w:cs="Times New Roman"/>
          <w:szCs w:val="22"/>
          <w:lang w:val="en-AU" w:eastAsia="ko-KR"/>
        </w:rPr>
        <w:t xml:space="preserve"> aims to protect people in Queensland from unfair discrimination, sexual harassment and other offensive conduct. The Act is administered by the </w:t>
      </w:r>
      <w:hyperlink r:id="rId33" w:history="1">
        <w:r w:rsidRPr="00CE4F89">
          <w:rPr>
            <w:rFonts w:ascii="Calibri" w:eastAsia="Malgun Gothic" w:hAnsi="Calibri" w:cs="Times New Roman"/>
            <w:color w:val="0000FF"/>
            <w:szCs w:val="22"/>
            <w:u w:val="single"/>
            <w:lang w:val="en-AU" w:eastAsia="ko-KR"/>
          </w:rPr>
          <w:t>Anti-Discrimination Commission Queensland</w:t>
        </w:r>
      </w:hyperlink>
      <w:r w:rsidRPr="00CE4F89">
        <w:rPr>
          <w:rFonts w:ascii="Calibri" w:eastAsia="Malgun Gothic" w:hAnsi="Calibri" w:cs="Times New Roman"/>
          <w:szCs w:val="22"/>
          <w:lang w:val="en-AU" w:eastAsia="ko-KR"/>
        </w:rPr>
        <w:t>. (More information: https://www.adcq.qld.gov.au/)</w:t>
      </w:r>
    </w:p>
    <w:p w14:paraId="070D8CA5" w14:textId="77777777" w:rsidR="00E04526" w:rsidRDefault="00E04526">
      <w:pPr>
        <w:spacing w:after="0" w:line="240" w:lineRule="auto"/>
        <w:jc w:val="left"/>
        <w:rPr>
          <w:rFonts w:ascii="Calibri Light" w:eastAsia="Malgun Gothic" w:hAnsi="Calibri Light" w:cs="Times New Roman"/>
          <w:color w:val="385623"/>
          <w:sz w:val="24"/>
          <w:lang w:val="en-AU" w:eastAsia="ko-KR"/>
        </w:rPr>
      </w:pPr>
      <w:r>
        <w:rPr>
          <w:rFonts w:ascii="Calibri Light" w:eastAsia="Malgun Gothic" w:hAnsi="Calibri Light" w:cs="Times New Roman"/>
          <w:color w:val="385623"/>
          <w:sz w:val="24"/>
          <w:lang w:val="en-AU" w:eastAsia="ko-KR"/>
        </w:rPr>
        <w:br w:type="page"/>
      </w:r>
    </w:p>
    <w:p w14:paraId="099C1BC7" w14:textId="767524B1" w:rsidR="00CE4F89" w:rsidRPr="00CE4F89" w:rsidRDefault="00CE4F89" w:rsidP="00380550">
      <w:pPr>
        <w:numPr>
          <w:ilvl w:val="0"/>
          <w:numId w:val="17"/>
        </w:numPr>
        <w:spacing w:before="100" w:beforeAutospacing="1" w:after="100" w:afterAutospacing="1" w:line="240" w:lineRule="auto"/>
        <w:ind w:left="357" w:hanging="357"/>
        <w:jc w:val="left"/>
        <w:rPr>
          <w:rFonts w:ascii="Calibri Light" w:eastAsia="Malgun Gothic" w:hAnsi="Calibri Light" w:cs="Times New Roman"/>
          <w:color w:val="385623"/>
          <w:sz w:val="24"/>
          <w:lang w:val="en-AU" w:eastAsia="ko-KR"/>
        </w:rPr>
      </w:pPr>
      <w:r w:rsidRPr="00CE4F89">
        <w:rPr>
          <w:rFonts w:ascii="Calibri Light" w:eastAsia="Malgun Gothic" w:hAnsi="Calibri Light" w:cs="Times New Roman"/>
          <w:color w:val="385623"/>
          <w:sz w:val="24"/>
          <w:lang w:val="en-AU" w:eastAsia="ko-KR"/>
        </w:rPr>
        <w:lastRenderedPageBreak/>
        <w:t>State employment provisions</w:t>
      </w:r>
    </w:p>
    <w:p w14:paraId="2B800D37" w14:textId="44E25B4A" w:rsidR="00FF7F65" w:rsidRDefault="00CE4F89" w:rsidP="00CE4F89">
      <w:pPr>
        <w:spacing w:after="0" w:line="240" w:lineRule="auto"/>
        <w:jc w:val="left"/>
        <w:rPr>
          <w:rFonts w:ascii="Calibri" w:hAnsi="Calibri" w:cs="Calibri"/>
          <w:szCs w:val="22"/>
          <w:lang w:val="en-AU" w:eastAsia="ko-KR"/>
        </w:rPr>
      </w:pPr>
      <w:r w:rsidRPr="00CE4F89">
        <w:rPr>
          <w:rFonts w:ascii="Calibri" w:eastAsia="Malgun Gothic" w:hAnsi="Calibri" w:cs="Times New Roman"/>
          <w:szCs w:val="22"/>
          <w:lang w:val="en-AU" w:eastAsia="ko-KR"/>
        </w:rPr>
        <w:t xml:space="preserve">The </w:t>
      </w:r>
      <w:hyperlink r:id="rId34" w:history="1">
        <w:r w:rsidRPr="00CE4F89">
          <w:rPr>
            <w:rFonts w:ascii="Calibri" w:eastAsia="Malgun Gothic" w:hAnsi="Calibri" w:cs="Times New Roman"/>
            <w:i/>
            <w:color w:val="0000FF"/>
            <w:szCs w:val="22"/>
            <w:u w:val="single"/>
            <w:lang w:val="en-AU" w:eastAsia="ko-KR"/>
          </w:rPr>
          <w:t>Public Service Act 2008</w:t>
        </w:r>
      </w:hyperlink>
      <w:r w:rsidRPr="00CE4F89">
        <w:rPr>
          <w:rFonts w:ascii="Calibri" w:eastAsia="Malgun Gothic" w:hAnsi="Calibri" w:cs="Times New Roman"/>
          <w:i/>
          <w:color w:val="0000FF"/>
          <w:szCs w:val="22"/>
          <w:u w:val="single"/>
          <w:lang w:val="en-AU" w:eastAsia="ko-KR"/>
        </w:rPr>
        <w:t xml:space="preserve"> </w:t>
      </w:r>
      <w:r w:rsidRPr="00CE4F89">
        <w:rPr>
          <w:rFonts w:ascii="Calibri" w:eastAsia="Malgun Gothic" w:hAnsi="Calibri" w:cs="Times New Roman"/>
          <w:color w:val="0000FF"/>
          <w:szCs w:val="22"/>
          <w:lang w:val="en-AU" w:eastAsia="ko-KR"/>
        </w:rPr>
        <w:t xml:space="preserve">, </w:t>
      </w:r>
      <w:hyperlink r:id="rId35" w:history="1">
        <w:r w:rsidRPr="00CE4F89">
          <w:rPr>
            <w:rFonts w:ascii="Calibri" w:eastAsia="Malgun Gothic" w:hAnsi="Calibri" w:cs="Times New Roman"/>
            <w:i/>
            <w:color w:val="0000FF"/>
            <w:szCs w:val="22"/>
            <w:u w:val="single"/>
            <w:lang w:val="en-AU" w:eastAsia="ko-KR"/>
          </w:rPr>
          <w:t>Industrial Relations Act 2016</w:t>
        </w:r>
      </w:hyperlink>
      <w:r w:rsidRPr="00CE4F89">
        <w:rPr>
          <w:rFonts w:ascii="Calibri" w:eastAsia="Malgun Gothic" w:hAnsi="Calibri" w:cs="Times New Roman"/>
          <w:szCs w:val="22"/>
          <w:lang w:val="en-AU" w:eastAsia="ko-KR"/>
        </w:rPr>
        <w:t xml:space="preserve"> and various Queensland Industrial Relations Awards further protect against sex and gender discrimination in employment. (More information: </w:t>
      </w:r>
      <w:hyperlink r:id="rId36" w:history="1">
        <w:r w:rsidRPr="00CE4F89">
          <w:rPr>
            <w:rFonts w:ascii="Calibri" w:eastAsia="Malgun Gothic" w:hAnsi="Calibri" w:cs="Times New Roman"/>
            <w:color w:val="0000FF"/>
            <w:szCs w:val="22"/>
            <w:u w:val="single"/>
            <w:lang w:val="en-AU" w:eastAsia="ko-KR"/>
          </w:rPr>
          <w:t>https://www.treasury.qld.gov.au/fair-and-safe-work/industrial-relations/</w:t>
        </w:r>
      </w:hyperlink>
      <w:r w:rsidRPr="00CE4F89">
        <w:rPr>
          <w:rFonts w:ascii="Calibri" w:eastAsia="Malgun Gothic" w:hAnsi="Calibri" w:cs="Times New Roman"/>
          <w:szCs w:val="22"/>
          <w:lang w:val="en-AU" w:eastAsia="ko-KR"/>
        </w:rPr>
        <w:t>)</w:t>
      </w:r>
    </w:p>
    <w:p w14:paraId="559646E5" w14:textId="77777777" w:rsidR="002E2365" w:rsidRPr="002E2365" w:rsidRDefault="002E2365" w:rsidP="002E2365">
      <w:pPr>
        <w:keepNext/>
        <w:keepLines/>
        <w:spacing w:before="100" w:beforeAutospacing="1" w:after="100" w:afterAutospacing="1" w:line="240" w:lineRule="auto"/>
        <w:jc w:val="left"/>
        <w:outlineLvl w:val="2"/>
        <w:rPr>
          <w:rFonts w:ascii="Calibri Light" w:eastAsia="Malgun Gothic" w:hAnsi="Calibri Light" w:cs="Times New Roman"/>
          <w:b/>
          <w:color w:val="385623"/>
          <w:sz w:val="28"/>
          <w:szCs w:val="28"/>
          <w:lang w:val="en-AU" w:eastAsia="ko-KR"/>
        </w:rPr>
      </w:pPr>
      <w:r w:rsidRPr="002E2365">
        <w:rPr>
          <w:rFonts w:ascii="Calibri Light" w:eastAsia="Malgun Gothic" w:hAnsi="Calibri Light" w:cs="Times New Roman"/>
          <w:b/>
          <w:color w:val="385623"/>
          <w:sz w:val="28"/>
          <w:szCs w:val="28"/>
          <w:lang w:val="en-AU" w:eastAsia="ko-KR"/>
        </w:rPr>
        <w:t>International conventions and agreements</w:t>
      </w:r>
    </w:p>
    <w:p w14:paraId="012AA22D" w14:textId="77777777" w:rsidR="002E2365" w:rsidRPr="002E2365" w:rsidRDefault="002E2365" w:rsidP="00380550">
      <w:pPr>
        <w:numPr>
          <w:ilvl w:val="0"/>
          <w:numId w:val="17"/>
        </w:numPr>
        <w:spacing w:before="100" w:beforeAutospacing="1" w:after="100" w:afterAutospacing="1" w:line="240" w:lineRule="auto"/>
        <w:ind w:left="357" w:hanging="357"/>
        <w:jc w:val="left"/>
        <w:rPr>
          <w:rFonts w:ascii="Calibri Light" w:eastAsia="Malgun Gothic" w:hAnsi="Calibri Light" w:cs="Times New Roman"/>
          <w:color w:val="385623"/>
          <w:sz w:val="24"/>
          <w:lang w:val="en-AU" w:eastAsia="ko-KR"/>
        </w:rPr>
      </w:pPr>
      <w:r w:rsidRPr="002E2365">
        <w:rPr>
          <w:rFonts w:ascii="Calibri Light" w:eastAsia="Malgun Gothic" w:hAnsi="Calibri Light" w:cs="Times New Roman"/>
          <w:color w:val="385623"/>
          <w:sz w:val="24"/>
          <w:lang w:val="en-AU" w:eastAsia="ko-KR"/>
        </w:rPr>
        <w:t>The United Nations Convention on Elimination of All Forms of Discrimination Against Women (CEDAW)</w:t>
      </w:r>
    </w:p>
    <w:p w14:paraId="5B9C49CD" w14:textId="77777777" w:rsidR="002E2365" w:rsidRPr="002E2365" w:rsidRDefault="002E2365" w:rsidP="002E2365">
      <w:pPr>
        <w:spacing w:before="100" w:beforeAutospacing="1" w:after="100" w:afterAutospacing="1" w:line="240" w:lineRule="auto"/>
        <w:jc w:val="left"/>
        <w:rPr>
          <w:rFonts w:ascii="Calibri" w:eastAsia="Malgun Gothic" w:hAnsi="Calibri" w:cs="Times New Roman"/>
          <w:szCs w:val="22"/>
          <w:lang w:val="en-AU" w:eastAsia="ko-KR"/>
        </w:rPr>
      </w:pPr>
      <w:r w:rsidRPr="002E2365">
        <w:rPr>
          <w:rFonts w:ascii="Calibri" w:eastAsia="Malgun Gothic" w:hAnsi="Calibri" w:cs="Times New Roman"/>
          <w:szCs w:val="22"/>
          <w:lang w:val="en-AU" w:eastAsia="ko-KR"/>
        </w:rPr>
        <w:t xml:space="preserve">The CEDAW sets an agenda for national action to end discrimination against women, and promote equality. It commits Australia to taking steps to eliminate discrimination against women and work towards equality for women in all areas of social, economic and political life. It was adopted by the UN General Assembly in 1979 and ratified by Australia in 1983. </w:t>
      </w:r>
    </w:p>
    <w:p w14:paraId="15C812D2" w14:textId="77777777" w:rsidR="002E2365" w:rsidRPr="002E2365" w:rsidRDefault="002E2365" w:rsidP="002E2365">
      <w:pPr>
        <w:spacing w:before="100" w:beforeAutospacing="1" w:after="100" w:afterAutospacing="1" w:line="240" w:lineRule="auto"/>
        <w:jc w:val="left"/>
        <w:rPr>
          <w:rFonts w:ascii="Calibri" w:eastAsia="Malgun Gothic" w:hAnsi="Calibri" w:cs="Times New Roman"/>
          <w:szCs w:val="22"/>
          <w:lang w:val="en-AU" w:eastAsia="ko-KR"/>
        </w:rPr>
      </w:pPr>
      <w:r w:rsidRPr="002E2365">
        <w:rPr>
          <w:rFonts w:ascii="Calibri" w:eastAsia="Malgun Gothic" w:hAnsi="Calibri" w:cs="Times New Roman"/>
          <w:szCs w:val="22"/>
          <w:lang w:val="en-AU" w:eastAsia="ko-KR"/>
        </w:rPr>
        <w:t>The CEDAW also commits Australia to submit a national report on measures it has taken to comply with its obligations. Queensland contributes to Australia’s periodic report. (More information: http://www.un.org/womenwatch/daw/cedaw/reports.htm)</w:t>
      </w:r>
    </w:p>
    <w:p w14:paraId="3786BCF5" w14:textId="77777777" w:rsidR="002E2365" w:rsidRPr="002E2365" w:rsidRDefault="002E2365" w:rsidP="00380550">
      <w:pPr>
        <w:numPr>
          <w:ilvl w:val="0"/>
          <w:numId w:val="17"/>
        </w:numPr>
        <w:spacing w:before="100" w:beforeAutospacing="1" w:after="100" w:afterAutospacing="1" w:line="240" w:lineRule="auto"/>
        <w:ind w:left="357" w:hanging="357"/>
        <w:jc w:val="left"/>
        <w:rPr>
          <w:rFonts w:ascii="Calibri Light" w:eastAsia="Malgun Gothic" w:hAnsi="Calibri Light" w:cs="Times New Roman"/>
          <w:color w:val="385623"/>
          <w:sz w:val="24"/>
          <w:lang w:val="en-AU" w:eastAsia="ko-KR"/>
        </w:rPr>
      </w:pPr>
      <w:r w:rsidRPr="002E2365">
        <w:rPr>
          <w:rFonts w:ascii="Calibri Light" w:eastAsia="Malgun Gothic" w:hAnsi="Calibri Light" w:cs="Times New Roman"/>
          <w:color w:val="385623"/>
          <w:sz w:val="24"/>
          <w:lang w:val="en-AU" w:eastAsia="ko-KR"/>
        </w:rPr>
        <w:t>Fourth World Conference on Women,  Beijing, 1995</w:t>
      </w:r>
    </w:p>
    <w:p w14:paraId="46D0DC0A" w14:textId="2E6EAD45" w:rsidR="002E2365" w:rsidRDefault="002E2365" w:rsidP="002E2365">
      <w:pPr>
        <w:spacing w:after="0" w:line="240" w:lineRule="auto"/>
        <w:jc w:val="left"/>
        <w:rPr>
          <w:rFonts w:ascii="Calibri" w:hAnsi="Calibri" w:cs="Calibri"/>
          <w:szCs w:val="22"/>
          <w:lang w:val="en-AU" w:eastAsia="ko-KR"/>
        </w:rPr>
      </w:pPr>
      <w:r w:rsidRPr="002E2365">
        <w:rPr>
          <w:rFonts w:ascii="Calibri" w:eastAsia="Malgun Gothic" w:hAnsi="Calibri" w:cs="Times New Roman"/>
          <w:szCs w:val="22"/>
          <w:lang w:val="en-AU" w:eastAsia="ko-KR"/>
        </w:rPr>
        <w:t xml:space="preserve">This conference made declarations and adopted a global platform for action in areas of concern for women and girls. These included gender mainstreaming in policy and planning as well as poverty, education, health, violence, economic self-reliance, and participation in decision-making. (More information: </w:t>
      </w:r>
      <w:hyperlink r:id="rId37" w:history="1">
        <w:r w:rsidRPr="002E2365">
          <w:rPr>
            <w:rFonts w:ascii="Calibri" w:eastAsia="Malgun Gothic" w:hAnsi="Calibri" w:cs="Times New Roman"/>
            <w:color w:val="0000FF"/>
            <w:szCs w:val="22"/>
            <w:u w:val="single"/>
            <w:lang w:val="en-AU" w:eastAsia="ko-KR"/>
          </w:rPr>
          <w:t>http://www.un.org/womenwatch/daw/beijing/platform/</w:t>
        </w:r>
      </w:hyperlink>
      <w:r>
        <w:rPr>
          <w:rFonts w:ascii="Calibri" w:eastAsia="Malgun Gothic" w:hAnsi="Calibri" w:cs="Times New Roman"/>
          <w:color w:val="0000FF"/>
          <w:szCs w:val="22"/>
          <w:u w:val="single"/>
          <w:lang w:val="en-AU" w:eastAsia="ko-KR"/>
        </w:rPr>
        <w:t>)</w:t>
      </w:r>
    </w:p>
    <w:p w14:paraId="385D7F59" w14:textId="66A6DB50" w:rsidR="00F62632" w:rsidRPr="00A33FFF" w:rsidRDefault="00214B0D" w:rsidP="00586BC4">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240" w:line="240" w:lineRule="auto"/>
        <w:jc w:val="left"/>
        <w:rPr>
          <w:rFonts w:eastAsia="Malgun Gothic" w:cs="Arial"/>
          <w:color w:val="385623"/>
          <w:szCs w:val="22"/>
          <w:lang w:val="en-AU" w:eastAsia="ko-KR"/>
        </w:rPr>
      </w:pPr>
      <w:r>
        <w:rPr>
          <w:lang w:val="en-AU"/>
        </w:rPr>
        <w:br w:type="page"/>
      </w:r>
      <w:r w:rsidR="00F62632" w:rsidRPr="00F62632">
        <w:rPr>
          <w:rFonts w:ascii="Calibri" w:eastAsia="Malgun Gothic" w:hAnsi="Calibri" w:cs="Times New Roman"/>
          <w:b/>
          <w:color w:val="385623"/>
          <w:sz w:val="36"/>
          <w:szCs w:val="36"/>
          <w:lang w:val="en-AU" w:eastAsia="ko-KR"/>
        </w:rPr>
        <w:lastRenderedPageBreak/>
        <w:t>WHAT ARE THE BENEFITS OF GENDER ANALYSIS?</w:t>
      </w:r>
      <w:r w:rsidR="00F62632">
        <w:rPr>
          <w:rFonts w:ascii="Calibri" w:eastAsia="Malgun Gothic" w:hAnsi="Calibri" w:cs="Times New Roman"/>
          <w:b/>
          <w:noProof/>
          <w:color w:val="385623"/>
          <w:sz w:val="40"/>
          <w:szCs w:val="40"/>
          <w:lang w:val="en-AU" w:eastAsia="ko-KR"/>
        </w:rPr>
        <w:t xml:space="preserve">   </w:t>
      </w:r>
      <w:r w:rsidR="00F62632">
        <w:rPr>
          <w:rFonts w:ascii="Calibri" w:eastAsia="Malgun Gothic" w:hAnsi="Calibri" w:cs="Times New Roman"/>
          <w:b/>
          <w:noProof/>
          <w:color w:val="385623"/>
          <w:sz w:val="40"/>
          <w:szCs w:val="40"/>
          <w:lang w:val="en-AU" w:eastAsia="ko-KR"/>
        </w:rPr>
        <w:drawing>
          <wp:inline distT="0" distB="0" distL="0" distR="0" wp14:anchorId="75EB517B" wp14:editId="5FA1E39A">
            <wp:extent cx="871855" cy="871855"/>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pic:spPr>
                </pic:pic>
              </a:graphicData>
            </a:graphic>
          </wp:inline>
        </w:drawing>
      </w:r>
    </w:p>
    <w:p w14:paraId="492FB5E3" w14:textId="77777777" w:rsidR="003F7B7D" w:rsidRPr="003F7B7D" w:rsidRDefault="003F7B7D" w:rsidP="003F7B7D">
      <w:pPr>
        <w:keepNext/>
        <w:keepLines/>
        <w:spacing w:before="100" w:beforeAutospacing="1" w:after="100" w:afterAutospacing="1" w:line="240" w:lineRule="auto"/>
        <w:jc w:val="left"/>
        <w:outlineLvl w:val="2"/>
        <w:rPr>
          <w:rFonts w:ascii="Calibri Light" w:eastAsia="Malgun Gothic" w:hAnsi="Calibri Light" w:cs="Times New Roman"/>
          <w:b/>
          <w:color w:val="385623"/>
          <w:sz w:val="28"/>
          <w:szCs w:val="28"/>
          <w:lang w:val="en-AU" w:eastAsia="ko-KR"/>
        </w:rPr>
      </w:pPr>
      <w:r w:rsidRPr="003F7B7D">
        <w:rPr>
          <w:rFonts w:ascii="Calibri Light" w:eastAsia="Malgun Gothic" w:hAnsi="Calibri Light" w:cs="Times New Roman"/>
          <w:b/>
          <w:color w:val="385623"/>
          <w:sz w:val="28"/>
          <w:szCs w:val="28"/>
          <w:lang w:val="en-AU" w:eastAsia="ko-KR"/>
        </w:rPr>
        <w:t>Everyone benefits</w:t>
      </w:r>
    </w:p>
    <w:p w14:paraId="4661AE4A" w14:textId="77777777" w:rsidR="003F7B7D" w:rsidRPr="003F7B7D" w:rsidRDefault="003F7B7D" w:rsidP="003F7B7D">
      <w:pPr>
        <w:spacing w:before="100" w:beforeAutospacing="1" w:after="100" w:afterAutospacing="1" w:line="240" w:lineRule="auto"/>
        <w:jc w:val="left"/>
        <w:rPr>
          <w:rFonts w:ascii="Calibri" w:eastAsia="Malgun Gothic" w:hAnsi="Calibri" w:cs="Times New Roman"/>
          <w:szCs w:val="22"/>
          <w:lang w:val="en-AU" w:eastAsia="ko-KR"/>
        </w:rPr>
      </w:pPr>
      <w:r w:rsidRPr="003F7B7D">
        <w:rPr>
          <w:rFonts w:ascii="Calibri" w:eastAsia="Malgun Gothic" w:hAnsi="Calibri" w:cs="Times New Roman"/>
          <w:szCs w:val="22"/>
          <w:lang w:val="en-AU" w:eastAsia="ko-KR"/>
        </w:rPr>
        <w:t xml:space="preserve">Gender analysis is a tool to examine key disparities and gaps between people of different gender identities in all aspects of society. It enables policies and programs that aim to redress gender inequalities and inequities. </w:t>
      </w:r>
    </w:p>
    <w:p w14:paraId="2C682B25" w14:textId="77777777" w:rsidR="003F7B7D" w:rsidRPr="003F7B7D" w:rsidRDefault="003F7B7D" w:rsidP="003F7B7D">
      <w:pPr>
        <w:spacing w:before="100" w:beforeAutospacing="1" w:after="100" w:afterAutospacing="1" w:line="240" w:lineRule="auto"/>
        <w:jc w:val="left"/>
        <w:rPr>
          <w:rFonts w:ascii="Calibri" w:eastAsia="Malgun Gothic" w:hAnsi="Calibri" w:cs="Times New Roman"/>
          <w:szCs w:val="22"/>
          <w:lang w:val="en" w:eastAsia="ko-KR"/>
        </w:rPr>
      </w:pPr>
      <w:r w:rsidRPr="003F7B7D">
        <w:rPr>
          <w:rFonts w:ascii="Calibri" w:eastAsia="Malgun Gothic" w:hAnsi="Calibri" w:cs="Times New Roman"/>
          <w:szCs w:val="22"/>
          <w:lang w:val="en" w:eastAsia="ko-KR"/>
        </w:rPr>
        <w:t>Greater gender equality is important not only for reasons of human rights and social justice. It also has a positive impact on the social and economic development of society as a whole.</w:t>
      </w:r>
      <w:r w:rsidRPr="003F7B7D">
        <w:rPr>
          <w:rFonts w:ascii="Calibri" w:eastAsia="Malgun Gothic" w:hAnsi="Calibri" w:cs="Times New Roman"/>
          <w:szCs w:val="22"/>
          <w:vertAlign w:val="superscript"/>
          <w:lang w:val="en-AU" w:eastAsia="ko-KR"/>
        </w:rPr>
        <w:endnoteReference w:id="18"/>
      </w:r>
      <w:r w:rsidRPr="003F7B7D">
        <w:rPr>
          <w:rFonts w:ascii="Calibri" w:eastAsia="Malgun Gothic" w:hAnsi="Calibri" w:cs="Times New Roman"/>
          <w:szCs w:val="22"/>
          <w:lang w:val="en" w:eastAsia="ko-KR"/>
        </w:rPr>
        <w:t xml:space="preserve"> </w:t>
      </w:r>
    </w:p>
    <w:p w14:paraId="334BF140" w14:textId="77777777" w:rsidR="003F7B7D" w:rsidRPr="003F7B7D" w:rsidRDefault="003F7B7D" w:rsidP="003F7B7D">
      <w:pPr>
        <w:spacing w:before="100" w:beforeAutospacing="1" w:after="100" w:afterAutospacing="1" w:line="240" w:lineRule="auto"/>
        <w:jc w:val="left"/>
        <w:rPr>
          <w:rFonts w:ascii="Calibri" w:eastAsia="Malgun Gothic" w:hAnsi="Calibri" w:cs="Times New Roman"/>
          <w:szCs w:val="22"/>
          <w:lang w:val="en" w:eastAsia="ko-KR"/>
        </w:rPr>
      </w:pPr>
      <w:r w:rsidRPr="003F7B7D">
        <w:rPr>
          <w:rFonts w:ascii="Calibri" w:eastAsia="Malgun Gothic" w:hAnsi="Calibri" w:cs="Times New Roman"/>
          <w:szCs w:val="22"/>
          <w:lang w:val="en" w:eastAsia="ko-KR"/>
        </w:rPr>
        <w:t>When inequality persists, the progress of the whole society is restricted. Inequality excludes or limits the opportunities of a segment of society. It constrains those people from reaching their full potential and contributing fully to social and economic life.</w:t>
      </w:r>
    </w:p>
    <w:p w14:paraId="0372F0AE" w14:textId="77777777" w:rsidR="003F7B7D" w:rsidRPr="003F7B7D" w:rsidRDefault="003F7B7D" w:rsidP="003F7B7D">
      <w:pPr>
        <w:spacing w:before="100" w:beforeAutospacing="1" w:after="100" w:afterAutospacing="1" w:line="240" w:lineRule="auto"/>
        <w:jc w:val="left"/>
        <w:rPr>
          <w:rFonts w:ascii="Calibri" w:eastAsia="Malgun Gothic" w:hAnsi="Calibri" w:cs="Arial"/>
          <w:szCs w:val="22"/>
          <w:lang w:val="en-AU" w:eastAsia="ko-KR"/>
        </w:rPr>
      </w:pPr>
      <w:r w:rsidRPr="003F7B7D">
        <w:rPr>
          <w:rFonts w:ascii="Calibri" w:eastAsia="Malgun Gothic" w:hAnsi="Calibri" w:cs="Times New Roman"/>
          <w:szCs w:val="22"/>
          <w:lang w:val="en" w:eastAsia="ko-KR"/>
        </w:rPr>
        <w:t xml:space="preserve">Gender responsive </w:t>
      </w:r>
      <w:r w:rsidRPr="003F7B7D">
        <w:rPr>
          <w:rFonts w:ascii="Calibri" w:eastAsia="Malgun Gothic" w:hAnsi="Calibri" w:cs="Arial"/>
          <w:szCs w:val="22"/>
          <w:lang w:val="en-AU" w:eastAsia="ko-KR"/>
        </w:rPr>
        <w:t xml:space="preserve">policies, programs and services are an acknowledgement of the positive benefits for all the community. </w:t>
      </w:r>
    </w:p>
    <w:p w14:paraId="6B88012D" w14:textId="77777777" w:rsidR="003F7B7D" w:rsidRPr="003F7B7D" w:rsidRDefault="003F7B7D" w:rsidP="003F7B7D">
      <w:pPr>
        <w:keepNext/>
        <w:keepLines/>
        <w:spacing w:before="100" w:beforeAutospacing="1" w:after="100" w:afterAutospacing="1" w:line="240" w:lineRule="auto"/>
        <w:jc w:val="left"/>
        <w:outlineLvl w:val="2"/>
        <w:rPr>
          <w:rFonts w:ascii="Calibri Light" w:eastAsia="Malgun Gothic" w:hAnsi="Calibri Light" w:cs="Times New Roman"/>
          <w:b/>
          <w:color w:val="385623"/>
          <w:sz w:val="28"/>
          <w:szCs w:val="28"/>
          <w:lang w:val="en-AU" w:eastAsia="ko-KR"/>
        </w:rPr>
      </w:pPr>
      <w:r w:rsidRPr="003F7B7D">
        <w:rPr>
          <w:rFonts w:ascii="Calibri Light" w:eastAsia="Malgun Gothic" w:hAnsi="Calibri Light" w:cs="Times New Roman"/>
          <w:b/>
          <w:color w:val="385623"/>
          <w:sz w:val="28"/>
          <w:szCs w:val="28"/>
          <w:lang w:val="en-AU" w:eastAsia="ko-KR"/>
        </w:rPr>
        <w:t>Bringing economic and social benefits to women and society as a whole</w:t>
      </w:r>
    </w:p>
    <w:p w14:paraId="5BA1FD81" w14:textId="77777777" w:rsidR="003F7B7D" w:rsidRPr="003F7B7D" w:rsidRDefault="003F7B7D" w:rsidP="003F7B7D">
      <w:pPr>
        <w:spacing w:before="100" w:beforeAutospacing="1" w:after="100" w:afterAutospacing="1" w:line="240" w:lineRule="auto"/>
        <w:jc w:val="left"/>
        <w:rPr>
          <w:rFonts w:ascii="Calibri" w:eastAsia="Malgun Gothic" w:hAnsi="Calibri" w:cs="Times New Roman"/>
          <w:szCs w:val="22"/>
          <w:lang w:val="en" w:eastAsia="ko-KR"/>
        </w:rPr>
      </w:pPr>
      <w:r w:rsidRPr="003F7B7D">
        <w:rPr>
          <w:rFonts w:ascii="Calibri" w:eastAsia="Malgun Gothic" w:hAnsi="Calibri" w:cs="Times New Roman"/>
          <w:szCs w:val="22"/>
          <w:lang w:val="en" w:eastAsia="ko-KR"/>
        </w:rPr>
        <w:t>Where inequalities between women and men exist, it is generally women who have lesser access to and control over resources, opportunities and decision-making.</w:t>
      </w:r>
      <w:r w:rsidRPr="003F7B7D">
        <w:rPr>
          <w:rFonts w:ascii="Calibri" w:eastAsia="Malgun Gothic" w:hAnsi="Calibri" w:cs="Times New Roman"/>
          <w:szCs w:val="22"/>
          <w:vertAlign w:val="superscript"/>
          <w:lang w:val="en" w:eastAsia="ko-KR"/>
        </w:rPr>
        <w:endnoteReference w:id="19"/>
      </w:r>
      <w:r w:rsidRPr="003F7B7D">
        <w:rPr>
          <w:rFonts w:ascii="Calibri" w:eastAsia="Malgun Gothic" w:hAnsi="Calibri" w:cs="Times New Roman"/>
          <w:szCs w:val="22"/>
          <w:vertAlign w:val="superscript"/>
          <w:lang w:val="en" w:eastAsia="ko-KR"/>
        </w:rPr>
        <w:t xml:space="preserve"> </w:t>
      </w:r>
      <w:r w:rsidRPr="003F7B7D">
        <w:rPr>
          <w:rFonts w:ascii="Calibri" w:eastAsia="Malgun Gothic" w:hAnsi="Calibri" w:cs="Times New Roman"/>
          <w:szCs w:val="22"/>
          <w:lang w:val="en" w:eastAsia="ko-KR"/>
        </w:rPr>
        <w:t>Gender analysis brings economic and social benefits to women and society as a whole:</w:t>
      </w:r>
    </w:p>
    <w:p w14:paraId="708715E7" w14:textId="77777777" w:rsidR="003F7B7D" w:rsidRPr="003F7B7D" w:rsidRDefault="003F7B7D" w:rsidP="00380550">
      <w:pPr>
        <w:numPr>
          <w:ilvl w:val="0"/>
          <w:numId w:val="18"/>
        </w:numPr>
        <w:spacing w:after="240" w:line="240" w:lineRule="auto"/>
        <w:ind w:right="113"/>
        <w:jc w:val="left"/>
        <w:rPr>
          <w:rFonts w:ascii="Calibri" w:eastAsia="Malgun Gothic" w:hAnsi="Calibri" w:cs="Arial"/>
          <w:szCs w:val="22"/>
          <w:lang w:val="en-AU" w:eastAsia="ko-KR"/>
        </w:rPr>
      </w:pPr>
      <w:r w:rsidRPr="003F7B7D">
        <w:rPr>
          <w:rFonts w:ascii="Calibri" w:eastAsia="Malgun Gothic" w:hAnsi="Calibri" w:cs="Arial"/>
          <w:szCs w:val="22"/>
          <w:lang w:val="en-AU" w:eastAsia="ko-KR"/>
        </w:rPr>
        <w:t>It helps to increase</w:t>
      </w:r>
      <w:r w:rsidRPr="003F7B7D">
        <w:rPr>
          <w:rFonts w:ascii="Calibri" w:eastAsia="Malgun Gothic" w:hAnsi="Calibri" w:cs="Arial"/>
          <w:b/>
          <w:color w:val="5A5098"/>
          <w:szCs w:val="22"/>
          <w:lang w:val="en-AU" w:eastAsia="ko-KR"/>
        </w:rPr>
        <w:t xml:space="preserve"> participation</w:t>
      </w:r>
      <w:r w:rsidRPr="003F7B7D">
        <w:rPr>
          <w:rFonts w:ascii="Calibri" w:eastAsia="Malgun Gothic" w:hAnsi="Calibri" w:cs="Arial"/>
          <w:szCs w:val="22"/>
          <w:lang w:val="en-AU" w:eastAsia="ko-KR"/>
        </w:rPr>
        <w:t xml:space="preserve"> by women. This benefits society through access to additional skills and experience, enhanced purchasing power, increased tax revenue and reduced demand for welfare assistance.</w:t>
      </w:r>
    </w:p>
    <w:p w14:paraId="0960292C" w14:textId="77777777" w:rsidR="003F7B7D" w:rsidRPr="003F7B7D" w:rsidRDefault="003F7B7D" w:rsidP="00380550">
      <w:pPr>
        <w:numPr>
          <w:ilvl w:val="0"/>
          <w:numId w:val="18"/>
        </w:numPr>
        <w:spacing w:after="240" w:line="240" w:lineRule="auto"/>
        <w:ind w:right="113"/>
        <w:jc w:val="left"/>
        <w:rPr>
          <w:rFonts w:ascii="Calibri" w:eastAsia="Malgun Gothic" w:hAnsi="Calibri" w:cs="Arial"/>
          <w:szCs w:val="22"/>
          <w:lang w:val="en-AU" w:eastAsia="ko-KR"/>
        </w:rPr>
      </w:pPr>
      <w:r w:rsidRPr="003F7B7D">
        <w:rPr>
          <w:rFonts w:ascii="Calibri" w:eastAsia="Malgun Gothic" w:hAnsi="Calibri" w:cs="Arial"/>
          <w:szCs w:val="22"/>
          <w:lang w:val="en-AU" w:eastAsia="ko-KR"/>
        </w:rPr>
        <w:t xml:space="preserve">Policies, programs and services are </w:t>
      </w:r>
      <w:r w:rsidRPr="003F7B7D">
        <w:rPr>
          <w:rFonts w:ascii="Calibri" w:eastAsia="Malgun Gothic" w:hAnsi="Calibri" w:cs="Arial"/>
          <w:b/>
          <w:color w:val="5A5098"/>
          <w:szCs w:val="22"/>
          <w:lang w:val="en-AU" w:eastAsia="ko-KR"/>
        </w:rPr>
        <w:t xml:space="preserve">better targeted </w:t>
      </w:r>
      <w:r w:rsidRPr="003F7B7D">
        <w:rPr>
          <w:rFonts w:ascii="Calibri" w:eastAsia="Malgun Gothic" w:hAnsi="Calibri" w:cs="Arial"/>
          <w:szCs w:val="22"/>
          <w:lang w:val="en-AU" w:eastAsia="ko-KR"/>
        </w:rPr>
        <w:t>to clients. For instance, to enable women from low socioeconomic backgrounds to take full advantage of employment training programs, assistance may be necessary in childcare and transport. Such programs increase women's potential and help them move off welfare benefits.</w:t>
      </w:r>
    </w:p>
    <w:p w14:paraId="49181FFA" w14:textId="39414E95" w:rsidR="003F7B7D" w:rsidRPr="003F7B7D" w:rsidRDefault="003F7B7D" w:rsidP="00380550">
      <w:pPr>
        <w:numPr>
          <w:ilvl w:val="0"/>
          <w:numId w:val="18"/>
        </w:numPr>
        <w:spacing w:after="240" w:line="240" w:lineRule="auto"/>
        <w:ind w:right="113"/>
        <w:jc w:val="left"/>
        <w:rPr>
          <w:rFonts w:ascii="Calibri" w:eastAsia="Malgun Gothic" w:hAnsi="Calibri" w:cs="Arial"/>
          <w:szCs w:val="22"/>
          <w:lang w:val="en-AU" w:eastAsia="ko-KR"/>
        </w:rPr>
      </w:pPr>
      <w:r w:rsidRPr="003F7B7D">
        <w:rPr>
          <w:rFonts w:ascii="Calibri" w:eastAsia="Malgun Gothic" w:hAnsi="Calibri" w:cs="Arial"/>
          <w:szCs w:val="22"/>
          <w:lang w:val="en-AU" w:eastAsia="ko-KR"/>
        </w:rPr>
        <w:t xml:space="preserve">It supports </w:t>
      </w:r>
      <w:r w:rsidRPr="003F7B7D">
        <w:rPr>
          <w:rFonts w:ascii="Calibri" w:eastAsia="Malgun Gothic" w:hAnsi="Calibri" w:cs="Arial"/>
          <w:b/>
          <w:color w:val="5A5098"/>
          <w:szCs w:val="22"/>
          <w:lang w:val="en-AU" w:eastAsia="ko-KR"/>
        </w:rPr>
        <w:t>gender diversity</w:t>
      </w:r>
      <w:r w:rsidRPr="003F7B7D">
        <w:rPr>
          <w:rFonts w:ascii="Calibri" w:eastAsia="Malgun Gothic" w:hAnsi="Calibri" w:cs="Arial"/>
          <w:szCs w:val="22"/>
          <w:lang w:val="en-AU" w:eastAsia="ko-KR"/>
        </w:rPr>
        <w:t>. National and international studies have shown a positive association between gender diversity and economic and social performance. A recent study found that gender diversity and inclusion on Queensland boards would deliver an estimated $87 million productivity gain for Queensland.</w:t>
      </w:r>
      <w:r w:rsidRPr="003F7B7D">
        <w:rPr>
          <w:rFonts w:ascii="Calibri" w:eastAsia="Malgun Gothic" w:hAnsi="Calibri" w:cs="Times New Roman"/>
          <w:szCs w:val="22"/>
          <w:vertAlign w:val="superscript"/>
          <w:lang w:val="en-AU" w:eastAsia="ko-KR"/>
        </w:rPr>
        <w:endnoteReference w:id="20"/>
      </w:r>
    </w:p>
    <w:p w14:paraId="3D8F8CFE" w14:textId="7C4A2A68" w:rsidR="003F7B7D" w:rsidRPr="003F7B7D" w:rsidRDefault="003F7B7D" w:rsidP="00380550">
      <w:pPr>
        <w:numPr>
          <w:ilvl w:val="0"/>
          <w:numId w:val="18"/>
        </w:numPr>
        <w:spacing w:after="240" w:line="240" w:lineRule="auto"/>
        <w:ind w:right="113"/>
        <w:jc w:val="left"/>
        <w:rPr>
          <w:rFonts w:ascii="Calibri" w:eastAsia="Malgun Gothic" w:hAnsi="Calibri" w:cs="Arial"/>
          <w:szCs w:val="22"/>
          <w:lang w:val="en-AU" w:eastAsia="ko-KR"/>
        </w:rPr>
      </w:pPr>
      <w:r w:rsidRPr="003F7B7D">
        <w:rPr>
          <w:rFonts w:ascii="Calibri" w:eastAsia="Malgun Gothic" w:hAnsi="Calibri" w:cs="Arial"/>
          <w:szCs w:val="22"/>
          <w:lang w:val="en-AU" w:eastAsia="ko-KR"/>
        </w:rPr>
        <w:t xml:space="preserve">It broadens the focus of economic analysis by raising </w:t>
      </w:r>
      <w:r w:rsidRPr="003F7B7D">
        <w:rPr>
          <w:rFonts w:ascii="Calibri" w:eastAsia="Malgun Gothic" w:hAnsi="Calibri" w:cs="Arial"/>
          <w:b/>
          <w:color w:val="5A5098"/>
          <w:szCs w:val="22"/>
          <w:lang w:val="en-AU" w:eastAsia="ko-KR"/>
        </w:rPr>
        <w:t>different questions and issues</w:t>
      </w:r>
      <w:r w:rsidRPr="003F7B7D">
        <w:rPr>
          <w:rFonts w:ascii="Calibri" w:eastAsia="Malgun Gothic" w:hAnsi="Calibri" w:cs="Arial"/>
          <w:szCs w:val="22"/>
          <w:lang w:val="en-AU" w:eastAsia="ko-KR"/>
        </w:rPr>
        <w:t>. For example, the issue of women’s over-representation in lower paid and unpaid work can be examined in terms of the structural barriers that limit women’s opportunities, rather than viewed as a woman</w:t>
      </w:r>
      <w:r w:rsidR="00753A43">
        <w:rPr>
          <w:rFonts w:ascii="Calibri" w:eastAsia="Malgun Gothic" w:hAnsi="Calibri" w:cs="Arial"/>
          <w:szCs w:val="22"/>
          <w:lang w:val="en-AU" w:eastAsia="ko-KR"/>
        </w:rPr>
        <w:t>’s</w:t>
      </w:r>
      <w:r w:rsidRPr="003F7B7D">
        <w:rPr>
          <w:rFonts w:ascii="Calibri" w:eastAsia="Malgun Gothic" w:hAnsi="Calibri" w:cs="Arial"/>
          <w:szCs w:val="22"/>
          <w:lang w:val="en-AU" w:eastAsia="ko-KR"/>
        </w:rPr>
        <w:t xml:space="preserve"> choice.</w:t>
      </w:r>
    </w:p>
    <w:p w14:paraId="4720B794" w14:textId="77777777" w:rsidR="003F7B7D" w:rsidRPr="003F7B7D" w:rsidRDefault="003F7B7D" w:rsidP="00380550">
      <w:pPr>
        <w:numPr>
          <w:ilvl w:val="0"/>
          <w:numId w:val="18"/>
        </w:numPr>
        <w:spacing w:after="240" w:line="240" w:lineRule="auto"/>
        <w:jc w:val="left"/>
        <w:rPr>
          <w:rFonts w:ascii="Calibri" w:eastAsia="Malgun Gothic" w:hAnsi="Calibri" w:cs="Times New Roman"/>
          <w:szCs w:val="22"/>
          <w:lang w:val="en-AU" w:eastAsia="ko-KR"/>
        </w:rPr>
      </w:pPr>
      <w:r w:rsidRPr="003F7B7D">
        <w:rPr>
          <w:rFonts w:ascii="Calibri" w:eastAsia="Malgun Gothic" w:hAnsi="Calibri" w:cs="Arial"/>
          <w:szCs w:val="22"/>
          <w:lang w:val="en-AU" w:eastAsia="ko-KR"/>
        </w:rPr>
        <w:t xml:space="preserve">Organisations are better able to </w:t>
      </w:r>
      <w:r w:rsidRPr="003F7B7D">
        <w:rPr>
          <w:rFonts w:ascii="Calibri" w:eastAsia="Malgun Gothic" w:hAnsi="Calibri" w:cs="Arial"/>
          <w:b/>
          <w:color w:val="5A5098"/>
          <w:szCs w:val="22"/>
          <w:lang w:val="en-AU" w:eastAsia="ko-KR"/>
        </w:rPr>
        <w:t>identify the impacts</w:t>
      </w:r>
      <w:r w:rsidRPr="003F7B7D">
        <w:rPr>
          <w:rFonts w:ascii="Calibri" w:eastAsia="Malgun Gothic" w:hAnsi="Calibri" w:cs="Arial"/>
          <w:szCs w:val="22"/>
          <w:lang w:val="en-AU" w:eastAsia="ko-KR"/>
        </w:rPr>
        <w:t xml:space="preserve"> of policies, programs and services on people of all genders, including inequities and inequalities between genders and unintended consequences.</w:t>
      </w:r>
    </w:p>
    <w:p w14:paraId="4D2F714C" w14:textId="77777777" w:rsidR="003F7B7D" w:rsidRPr="003F7B7D" w:rsidRDefault="003F7B7D" w:rsidP="003F7B7D">
      <w:pPr>
        <w:keepNext/>
        <w:keepLines/>
        <w:spacing w:before="100" w:beforeAutospacing="1" w:after="100" w:afterAutospacing="1" w:line="240" w:lineRule="auto"/>
        <w:jc w:val="left"/>
        <w:outlineLvl w:val="2"/>
        <w:rPr>
          <w:rFonts w:ascii="Calibri Light" w:eastAsia="Malgun Gothic" w:hAnsi="Calibri Light" w:cs="Times New Roman"/>
          <w:b/>
          <w:color w:val="385623"/>
          <w:sz w:val="28"/>
          <w:szCs w:val="28"/>
          <w:lang w:val="en-AU" w:eastAsia="ko-KR"/>
        </w:rPr>
      </w:pPr>
      <w:r w:rsidRPr="003F7B7D">
        <w:rPr>
          <w:rFonts w:ascii="Calibri Light" w:eastAsia="Malgun Gothic" w:hAnsi="Calibri Light" w:cs="Times New Roman"/>
          <w:b/>
          <w:color w:val="385623"/>
          <w:sz w:val="28"/>
          <w:szCs w:val="28"/>
          <w:lang w:val="en-AU" w:eastAsia="ko-KR"/>
        </w:rPr>
        <w:lastRenderedPageBreak/>
        <w:t>Ensuring quality advice</w:t>
      </w:r>
    </w:p>
    <w:p w14:paraId="301A43DB" w14:textId="77777777" w:rsidR="003F7B7D" w:rsidRPr="003F7B7D" w:rsidRDefault="003F7B7D" w:rsidP="003F7B7D">
      <w:pPr>
        <w:autoSpaceDE w:val="0"/>
        <w:autoSpaceDN w:val="0"/>
        <w:spacing w:before="100" w:beforeAutospacing="1" w:after="100" w:afterAutospacing="1" w:line="240" w:lineRule="auto"/>
        <w:jc w:val="left"/>
        <w:rPr>
          <w:rFonts w:ascii="Calibri" w:eastAsia="Malgun Gothic" w:hAnsi="Calibri" w:cs="Arial"/>
          <w:szCs w:val="22"/>
          <w:lang w:val="en-AU" w:eastAsia="ko-KR"/>
        </w:rPr>
      </w:pPr>
      <w:r w:rsidRPr="003F7B7D">
        <w:rPr>
          <w:rFonts w:ascii="Calibri" w:eastAsia="Malgun Gothic" w:hAnsi="Calibri" w:cs="Arial"/>
          <w:szCs w:val="22"/>
          <w:lang w:val="en-AU" w:eastAsia="ko-KR"/>
        </w:rPr>
        <w:t xml:space="preserve">Incorporating gender analysis increases the quality of advice by: </w:t>
      </w:r>
    </w:p>
    <w:p w14:paraId="7AA9FAD4" w14:textId="77777777" w:rsidR="003F7B7D" w:rsidRPr="003F7B7D" w:rsidRDefault="003F7B7D" w:rsidP="00380550">
      <w:pPr>
        <w:numPr>
          <w:ilvl w:val="0"/>
          <w:numId w:val="19"/>
        </w:numPr>
        <w:spacing w:after="240" w:line="240" w:lineRule="auto"/>
        <w:ind w:left="357" w:hanging="357"/>
        <w:jc w:val="left"/>
        <w:rPr>
          <w:rFonts w:ascii="Calibri" w:eastAsia="Malgun Gothic" w:hAnsi="Calibri" w:cs="Arial"/>
          <w:szCs w:val="22"/>
          <w:lang w:val="en-AU" w:eastAsia="ko-KR"/>
        </w:rPr>
      </w:pPr>
      <w:r w:rsidRPr="003F7B7D">
        <w:rPr>
          <w:rFonts w:ascii="Calibri" w:eastAsia="Malgun Gothic" w:hAnsi="Calibri" w:cs="Arial"/>
          <w:szCs w:val="22"/>
          <w:lang w:val="en-AU" w:eastAsia="ko-KR"/>
        </w:rPr>
        <w:t>generating useful data on gender, age, disability and other factors relevant to a particular issue</w:t>
      </w:r>
    </w:p>
    <w:p w14:paraId="660881C9" w14:textId="77777777" w:rsidR="003F7B7D" w:rsidRPr="003F7B7D" w:rsidRDefault="003F7B7D" w:rsidP="00380550">
      <w:pPr>
        <w:numPr>
          <w:ilvl w:val="0"/>
          <w:numId w:val="19"/>
        </w:numPr>
        <w:spacing w:after="240" w:line="240" w:lineRule="auto"/>
        <w:ind w:left="357" w:hanging="357"/>
        <w:jc w:val="left"/>
        <w:rPr>
          <w:rFonts w:ascii="Calibri" w:eastAsia="Malgun Gothic" w:hAnsi="Calibri" w:cs="Arial"/>
          <w:szCs w:val="22"/>
          <w:lang w:val="en-AU" w:eastAsia="ko-KR"/>
        </w:rPr>
      </w:pPr>
      <w:r w:rsidRPr="003F7B7D">
        <w:rPr>
          <w:rFonts w:ascii="Calibri" w:eastAsia="Malgun Gothic" w:hAnsi="Calibri" w:cs="Arial"/>
          <w:szCs w:val="22"/>
          <w:lang w:val="en-AU" w:eastAsia="ko-KR"/>
        </w:rPr>
        <w:t>identifying where more detailed evidence is needed to base policy decisions and program and service delivery</w:t>
      </w:r>
    </w:p>
    <w:p w14:paraId="6F67F613" w14:textId="77777777" w:rsidR="003F7B7D" w:rsidRPr="003F7B7D" w:rsidRDefault="003F7B7D" w:rsidP="00380550">
      <w:pPr>
        <w:numPr>
          <w:ilvl w:val="0"/>
          <w:numId w:val="19"/>
        </w:numPr>
        <w:spacing w:after="240" w:line="240" w:lineRule="auto"/>
        <w:ind w:left="357" w:hanging="357"/>
        <w:jc w:val="left"/>
        <w:rPr>
          <w:rFonts w:ascii="Calibri" w:eastAsia="Malgun Gothic" w:hAnsi="Calibri" w:cs="Arial"/>
          <w:szCs w:val="22"/>
          <w:lang w:val="en-AU" w:eastAsia="ko-KR"/>
        </w:rPr>
      </w:pPr>
      <w:r w:rsidRPr="003F7B7D">
        <w:rPr>
          <w:rFonts w:ascii="Calibri" w:eastAsia="Malgun Gothic" w:hAnsi="Calibri" w:cs="Arial"/>
          <w:szCs w:val="22"/>
          <w:lang w:val="en-AU" w:eastAsia="ko-KR"/>
        </w:rPr>
        <w:t>examining underlying issues, uncovering relevant considerations and exposing hidden assumptions, all of which may sustain gender-based inequality</w:t>
      </w:r>
    </w:p>
    <w:p w14:paraId="025832FD" w14:textId="77777777" w:rsidR="003F7B7D" w:rsidRPr="003F7B7D" w:rsidRDefault="003F7B7D" w:rsidP="00380550">
      <w:pPr>
        <w:numPr>
          <w:ilvl w:val="0"/>
          <w:numId w:val="19"/>
        </w:numPr>
        <w:spacing w:after="240" w:line="240" w:lineRule="auto"/>
        <w:jc w:val="left"/>
        <w:rPr>
          <w:rFonts w:ascii="Calibri" w:eastAsia="Malgun Gothic" w:hAnsi="Calibri" w:cs="Arial"/>
          <w:szCs w:val="22"/>
          <w:lang w:val="en-AU" w:eastAsia="ko-KR"/>
        </w:rPr>
      </w:pPr>
      <w:r w:rsidRPr="003F7B7D">
        <w:rPr>
          <w:rFonts w:ascii="Calibri" w:eastAsia="Malgun Gothic" w:hAnsi="Calibri" w:cs="Arial"/>
          <w:szCs w:val="22"/>
          <w:lang w:val="en-AU" w:eastAsia="ko-KR"/>
        </w:rPr>
        <w:t>identifying and examining the differences in the lives of people of all genders, to reduce unintended discrimination and avoid program and service delivery failure</w:t>
      </w:r>
    </w:p>
    <w:p w14:paraId="20C8A25C" w14:textId="77777777" w:rsidR="00751F2B" w:rsidRPr="00751F2B" w:rsidRDefault="003F7B7D" w:rsidP="00380550">
      <w:pPr>
        <w:numPr>
          <w:ilvl w:val="0"/>
          <w:numId w:val="19"/>
        </w:numPr>
        <w:spacing w:after="240" w:line="240" w:lineRule="auto"/>
        <w:ind w:left="357" w:hanging="357"/>
        <w:jc w:val="left"/>
        <w:rPr>
          <w:lang w:val="en-AU"/>
        </w:rPr>
      </w:pPr>
      <w:r w:rsidRPr="003F7B7D">
        <w:rPr>
          <w:rFonts w:ascii="Calibri" w:eastAsia="Malgun Gothic" w:hAnsi="Calibri" w:cs="Arial"/>
          <w:szCs w:val="22"/>
          <w:lang w:val="en-AU" w:eastAsia="ko-KR"/>
        </w:rPr>
        <w:t>ensuring that opportunities are not missed, such as promoting a woman's earning capacity and future choices by presenting her with a broad range of job opportunities or career choices, including traditionally male-dominated occupations and industries</w:t>
      </w:r>
    </w:p>
    <w:p w14:paraId="436E7BEF" w14:textId="221FBB0B" w:rsidR="00894870" w:rsidRDefault="003F7B7D" w:rsidP="00380550">
      <w:pPr>
        <w:numPr>
          <w:ilvl w:val="0"/>
          <w:numId w:val="19"/>
        </w:numPr>
        <w:spacing w:after="240" w:line="240" w:lineRule="auto"/>
        <w:ind w:left="357" w:hanging="357"/>
        <w:jc w:val="left"/>
        <w:rPr>
          <w:rFonts w:ascii="Calibri" w:eastAsia="Malgun Gothic" w:hAnsi="Calibri" w:cs="Arial"/>
          <w:szCs w:val="22"/>
          <w:lang w:val="en-AU" w:eastAsia="ko-KR"/>
        </w:rPr>
      </w:pPr>
      <w:r w:rsidRPr="00751F2B">
        <w:rPr>
          <w:rFonts w:ascii="Calibri" w:eastAsia="Malgun Gothic" w:hAnsi="Calibri" w:cs="Arial"/>
          <w:szCs w:val="22"/>
          <w:lang w:val="en-AU" w:eastAsia="ko-KR"/>
        </w:rPr>
        <w:t>ensuring that policy, programs and services will have greater credibility and validity among those affected by them.</w:t>
      </w:r>
    </w:p>
    <w:p w14:paraId="36575A4E" w14:textId="77777777" w:rsidR="00894870" w:rsidRDefault="00894870">
      <w:pPr>
        <w:spacing w:after="0" w:line="240" w:lineRule="auto"/>
        <w:jc w:val="left"/>
        <w:rPr>
          <w:rFonts w:ascii="Calibri" w:eastAsia="Malgun Gothic" w:hAnsi="Calibri" w:cs="Arial"/>
          <w:szCs w:val="22"/>
          <w:lang w:val="en-AU" w:eastAsia="ko-KR"/>
        </w:rPr>
      </w:pPr>
      <w:r>
        <w:rPr>
          <w:rFonts w:ascii="Calibri" w:eastAsia="Malgun Gothic" w:hAnsi="Calibri" w:cs="Arial"/>
          <w:szCs w:val="22"/>
          <w:lang w:val="en-AU" w:eastAsia="ko-KR"/>
        </w:rPr>
        <w:br w:type="page"/>
      </w:r>
    </w:p>
    <w:tbl>
      <w:tblPr>
        <w:tblStyle w:val="TableGrid"/>
        <w:tblW w:w="0" w:type="auto"/>
        <w:tblLook w:val="04A0" w:firstRow="1" w:lastRow="0" w:firstColumn="1" w:lastColumn="0" w:noHBand="0" w:noVBand="1"/>
      </w:tblPr>
      <w:tblGrid>
        <w:gridCol w:w="9016"/>
      </w:tblGrid>
      <w:tr w:rsidR="00252B60" w:rsidRPr="00D16B03" w14:paraId="2C8B2532" w14:textId="77777777" w:rsidTr="00284916">
        <w:tc>
          <w:tcPr>
            <w:tcW w:w="9016" w:type="dxa"/>
            <w:tcBorders>
              <w:top w:val="nil"/>
              <w:left w:val="nil"/>
              <w:bottom w:val="nil"/>
              <w:right w:val="nil"/>
            </w:tcBorders>
            <w:shd w:val="clear" w:color="auto" w:fill="385623"/>
          </w:tcPr>
          <w:p w14:paraId="50FD9D5F" w14:textId="5F344C0F" w:rsidR="00252B60" w:rsidRPr="00D16B03" w:rsidRDefault="00252B60" w:rsidP="00252B60">
            <w:pPr>
              <w:spacing w:before="240" w:after="240" w:line="240" w:lineRule="auto"/>
              <w:jc w:val="left"/>
              <w:rPr>
                <w:rFonts w:ascii="Calibri" w:eastAsia="Malgun Gothic" w:hAnsi="Calibri" w:cs="Times New Roman"/>
                <w:b/>
                <w:color w:val="FFFFFF"/>
                <w:sz w:val="36"/>
                <w:szCs w:val="36"/>
              </w:rPr>
            </w:pPr>
            <w:r>
              <w:rPr>
                <w:rFonts w:ascii="Calibri" w:eastAsia="Malgun Gothic" w:hAnsi="Calibri" w:cs="Times New Roman"/>
                <w:noProof/>
                <w:color w:val="FFFFFF"/>
                <w:sz w:val="36"/>
                <w:szCs w:val="36"/>
              </w:rPr>
              <w:lastRenderedPageBreak/>
              <w:drawing>
                <wp:inline distT="0" distB="0" distL="0" distR="0" wp14:anchorId="19F9DD55" wp14:editId="21ACC2F3">
                  <wp:extent cx="871855" cy="871855"/>
                  <wp:effectExtent l="0" t="0" r="444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pic:spPr>
                      </pic:pic>
                    </a:graphicData>
                  </a:graphic>
                </wp:inline>
              </w:drawing>
            </w:r>
            <w:r w:rsidRPr="00E436A5">
              <w:rPr>
                <w:rFonts w:ascii="Calibri" w:eastAsia="Malgun Gothic" w:hAnsi="Calibri" w:cs="Times New Roman"/>
                <w:color w:val="FFFFFF"/>
                <w:sz w:val="40"/>
                <w:szCs w:val="40"/>
              </w:rPr>
              <w:t xml:space="preserve">SUMMARY: </w:t>
            </w:r>
            <w:r>
              <w:rPr>
                <w:rFonts w:ascii="Calibri" w:eastAsia="Malgun Gothic" w:hAnsi="Calibri" w:cs="Times New Roman"/>
                <w:color w:val="FFFFFF"/>
                <w:sz w:val="40"/>
                <w:szCs w:val="40"/>
              </w:rPr>
              <w:t>BENEFITS OF GENDER ANALYSIS</w:t>
            </w:r>
          </w:p>
        </w:tc>
      </w:tr>
      <w:tr w:rsidR="00252B60" w:rsidRPr="00D16B03" w14:paraId="3A884CDF" w14:textId="77777777" w:rsidTr="00284916">
        <w:tc>
          <w:tcPr>
            <w:tcW w:w="9016" w:type="dxa"/>
            <w:tcBorders>
              <w:top w:val="nil"/>
              <w:left w:val="nil"/>
              <w:bottom w:val="nil"/>
              <w:right w:val="nil"/>
            </w:tcBorders>
            <w:shd w:val="clear" w:color="auto" w:fill="EFF6EA"/>
          </w:tcPr>
          <w:p w14:paraId="554F9F25" w14:textId="3FBA1B82" w:rsidR="00252B60" w:rsidRPr="00894870" w:rsidRDefault="00252B60" w:rsidP="00380550">
            <w:pPr>
              <w:pStyle w:val="ListParagraph"/>
              <w:numPr>
                <w:ilvl w:val="0"/>
                <w:numId w:val="20"/>
              </w:numPr>
              <w:spacing w:before="240" w:after="240" w:line="240" w:lineRule="auto"/>
              <w:jc w:val="left"/>
              <w:rPr>
                <w:rFonts w:ascii="Calibri Light" w:eastAsia="Malgun Gothic" w:hAnsi="Calibri Light" w:cs="Times New Roman"/>
                <w:b/>
                <w:color w:val="385623"/>
                <w:sz w:val="28"/>
                <w:szCs w:val="28"/>
              </w:rPr>
            </w:pPr>
            <w:r w:rsidRPr="00894870">
              <w:rPr>
                <w:rFonts w:ascii="Calibri Light" w:eastAsia="Malgun Gothic" w:hAnsi="Calibri Light" w:cs="Times New Roman"/>
                <w:b/>
                <w:color w:val="385623"/>
                <w:sz w:val="28"/>
                <w:szCs w:val="28"/>
              </w:rPr>
              <w:t>Identification</w:t>
            </w:r>
          </w:p>
          <w:p w14:paraId="6A9941AE" w14:textId="77777777" w:rsidR="00252B60" w:rsidRPr="00252B60" w:rsidRDefault="00252B60" w:rsidP="00894870">
            <w:pPr>
              <w:spacing w:line="240" w:lineRule="auto"/>
              <w:ind w:left="714" w:firstLine="0"/>
              <w:jc w:val="left"/>
              <w:rPr>
                <w:rFonts w:ascii="Calibri" w:eastAsia="Malgun Gothic" w:hAnsi="Calibri" w:cs="Calibri"/>
              </w:rPr>
            </w:pPr>
            <w:r w:rsidRPr="00252B60">
              <w:rPr>
                <w:rFonts w:ascii="Calibri" w:eastAsia="Malgun Gothic" w:hAnsi="Calibri" w:cs="Calibri"/>
              </w:rPr>
              <w:t xml:space="preserve">Gender </w:t>
            </w:r>
            <w:r w:rsidRPr="00252B60">
              <w:rPr>
                <w:rFonts w:ascii="Calibri" w:eastAsia="Malgun Gothic" w:hAnsi="Calibri" w:cs="Times New Roman"/>
              </w:rPr>
              <w:t>analysis</w:t>
            </w:r>
            <w:r w:rsidRPr="00252B60">
              <w:rPr>
                <w:rFonts w:ascii="Calibri" w:eastAsia="Malgun Gothic" w:hAnsi="Calibri" w:cs="Calibri"/>
              </w:rPr>
              <w:t xml:space="preserve"> promotes better understanding of the gender differences and diversity of clients and customers.</w:t>
            </w:r>
          </w:p>
          <w:p w14:paraId="147997FD" w14:textId="77777777" w:rsidR="00252B60" w:rsidRPr="00894870" w:rsidRDefault="00252B60" w:rsidP="00380550">
            <w:pPr>
              <w:pStyle w:val="ListParagraph"/>
              <w:numPr>
                <w:ilvl w:val="0"/>
                <w:numId w:val="20"/>
              </w:numPr>
              <w:spacing w:before="240" w:after="240" w:line="240" w:lineRule="auto"/>
              <w:jc w:val="left"/>
              <w:rPr>
                <w:rFonts w:ascii="Calibri Light" w:eastAsia="Malgun Gothic" w:hAnsi="Calibri Light" w:cs="Times New Roman"/>
                <w:b/>
                <w:color w:val="385623"/>
                <w:sz w:val="28"/>
                <w:szCs w:val="28"/>
              </w:rPr>
            </w:pPr>
            <w:r w:rsidRPr="00894870">
              <w:rPr>
                <w:rFonts w:ascii="Calibri Light" w:eastAsia="Malgun Gothic" w:hAnsi="Calibri Light" w:cs="Times New Roman"/>
                <w:b/>
                <w:color w:val="385623"/>
                <w:sz w:val="28"/>
                <w:szCs w:val="28"/>
              </w:rPr>
              <w:t>Evidence</w:t>
            </w:r>
          </w:p>
          <w:p w14:paraId="17C88E58" w14:textId="77777777" w:rsidR="00252B60" w:rsidRPr="00252B60" w:rsidRDefault="00252B60" w:rsidP="00894870">
            <w:pPr>
              <w:spacing w:line="240" w:lineRule="auto"/>
              <w:ind w:left="714" w:firstLine="0"/>
              <w:jc w:val="left"/>
              <w:rPr>
                <w:rFonts w:ascii="Calibri" w:eastAsia="Malgun Gothic" w:hAnsi="Calibri" w:cs="Times New Roman"/>
              </w:rPr>
            </w:pPr>
            <w:r w:rsidRPr="00252B60">
              <w:rPr>
                <w:rFonts w:ascii="Calibri" w:eastAsia="Malgun Gothic" w:hAnsi="Calibri" w:cs="Times New Roman"/>
              </w:rPr>
              <w:t>Gender analysis gathers evidence on the relevance and impacts of policies, programs and services for people of different genders.</w:t>
            </w:r>
          </w:p>
          <w:p w14:paraId="040979C0" w14:textId="77777777" w:rsidR="00252B60" w:rsidRPr="00894870" w:rsidRDefault="00252B60" w:rsidP="00380550">
            <w:pPr>
              <w:pStyle w:val="ListParagraph"/>
              <w:numPr>
                <w:ilvl w:val="0"/>
                <w:numId w:val="20"/>
              </w:numPr>
              <w:spacing w:before="240" w:after="240" w:line="240" w:lineRule="auto"/>
              <w:jc w:val="left"/>
              <w:rPr>
                <w:rFonts w:ascii="Calibri Light" w:eastAsia="Malgun Gothic" w:hAnsi="Calibri Light" w:cs="Times New Roman"/>
                <w:b/>
                <w:color w:val="385623"/>
                <w:sz w:val="28"/>
                <w:szCs w:val="28"/>
              </w:rPr>
            </w:pPr>
            <w:r w:rsidRPr="00894870">
              <w:rPr>
                <w:rFonts w:ascii="Calibri Light" w:eastAsia="Malgun Gothic" w:hAnsi="Calibri Light" w:cs="Times New Roman"/>
                <w:b/>
                <w:color w:val="385623"/>
                <w:sz w:val="28"/>
                <w:szCs w:val="28"/>
              </w:rPr>
              <w:t>Efficiency</w:t>
            </w:r>
          </w:p>
          <w:p w14:paraId="7A905B91" w14:textId="7AE1DD47" w:rsidR="00252B60" w:rsidRPr="00252B60" w:rsidRDefault="00252B60" w:rsidP="00894870">
            <w:pPr>
              <w:spacing w:line="240" w:lineRule="auto"/>
              <w:ind w:left="714" w:firstLine="0"/>
              <w:jc w:val="left"/>
              <w:rPr>
                <w:rFonts w:ascii="Calibri" w:eastAsia="Malgun Gothic" w:hAnsi="Calibri" w:cs="Times New Roman"/>
              </w:rPr>
            </w:pPr>
            <w:r w:rsidRPr="00252B60">
              <w:rPr>
                <w:rFonts w:ascii="Calibri" w:eastAsia="Malgun Gothic" w:hAnsi="Calibri" w:cs="Times New Roman"/>
              </w:rPr>
              <w:t>Gender analysis tools improve the predictability of outcomes and minimise unintended consequences.</w:t>
            </w:r>
          </w:p>
          <w:p w14:paraId="0F15B8F3" w14:textId="77777777" w:rsidR="00252B60" w:rsidRPr="00894870" w:rsidRDefault="00252B60" w:rsidP="00380550">
            <w:pPr>
              <w:pStyle w:val="ListParagraph"/>
              <w:numPr>
                <w:ilvl w:val="0"/>
                <w:numId w:val="20"/>
              </w:numPr>
              <w:spacing w:before="240" w:after="240" w:line="240" w:lineRule="auto"/>
              <w:jc w:val="left"/>
              <w:rPr>
                <w:rFonts w:ascii="Calibri Light" w:eastAsia="Malgun Gothic" w:hAnsi="Calibri Light" w:cs="Times New Roman"/>
                <w:b/>
                <w:color w:val="385623"/>
                <w:sz w:val="28"/>
                <w:szCs w:val="28"/>
              </w:rPr>
            </w:pPr>
            <w:r w:rsidRPr="00894870">
              <w:rPr>
                <w:rFonts w:ascii="Calibri Light" w:eastAsia="Malgun Gothic" w:hAnsi="Calibri Light" w:cs="Times New Roman"/>
                <w:b/>
                <w:color w:val="385623"/>
                <w:sz w:val="28"/>
                <w:szCs w:val="28"/>
              </w:rPr>
              <w:t>Action</w:t>
            </w:r>
          </w:p>
          <w:p w14:paraId="4F64EBB6" w14:textId="77777777" w:rsidR="00252B60" w:rsidRPr="00252B60" w:rsidRDefault="00252B60" w:rsidP="00894870">
            <w:pPr>
              <w:spacing w:line="240" w:lineRule="auto"/>
              <w:ind w:left="714" w:firstLine="0"/>
              <w:jc w:val="left"/>
              <w:rPr>
                <w:rFonts w:ascii="Calibri" w:eastAsia="Malgun Gothic" w:hAnsi="Calibri" w:cs="Times New Roman"/>
              </w:rPr>
            </w:pPr>
            <w:r w:rsidRPr="00252B60">
              <w:rPr>
                <w:rFonts w:ascii="Calibri" w:eastAsia="Malgun Gothic" w:hAnsi="Calibri" w:cs="Times New Roman"/>
              </w:rPr>
              <w:t>Gender analysis helps to better understand clients and customers and make effective and equitable decisions.</w:t>
            </w:r>
          </w:p>
          <w:p w14:paraId="6DB3901D" w14:textId="77777777" w:rsidR="00252B60" w:rsidRPr="00894870" w:rsidRDefault="00252B60" w:rsidP="00380550">
            <w:pPr>
              <w:pStyle w:val="ListParagraph"/>
              <w:numPr>
                <w:ilvl w:val="0"/>
                <w:numId w:val="20"/>
              </w:numPr>
              <w:spacing w:before="240" w:after="240" w:line="240" w:lineRule="auto"/>
              <w:jc w:val="left"/>
              <w:rPr>
                <w:rFonts w:ascii="Calibri Light" w:eastAsia="Malgun Gothic" w:hAnsi="Calibri Light" w:cs="Times New Roman"/>
                <w:b/>
                <w:color w:val="385623"/>
                <w:sz w:val="28"/>
                <w:szCs w:val="28"/>
              </w:rPr>
            </w:pPr>
            <w:r w:rsidRPr="00894870">
              <w:rPr>
                <w:rFonts w:ascii="Calibri Light" w:eastAsia="Malgun Gothic" w:hAnsi="Calibri Light" w:cs="Times New Roman"/>
                <w:b/>
                <w:color w:val="385623"/>
                <w:sz w:val="28"/>
                <w:szCs w:val="28"/>
              </w:rPr>
              <w:t>Engagement</w:t>
            </w:r>
          </w:p>
          <w:p w14:paraId="1CAC9110" w14:textId="77777777" w:rsidR="00252B60" w:rsidRPr="00252B60" w:rsidRDefault="00252B60" w:rsidP="00894870">
            <w:pPr>
              <w:spacing w:line="240" w:lineRule="auto"/>
              <w:ind w:left="714" w:firstLine="0"/>
              <w:jc w:val="left"/>
              <w:rPr>
                <w:rFonts w:ascii="Calibri" w:eastAsia="Malgun Gothic" w:hAnsi="Calibri" w:cs="Times New Roman"/>
              </w:rPr>
            </w:pPr>
            <w:r w:rsidRPr="00252B60">
              <w:rPr>
                <w:rFonts w:ascii="Calibri" w:eastAsia="Malgun Gothic" w:hAnsi="Calibri" w:cs="Times New Roman"/>
              </w:rPr>
              <w:t>Gender analysis engages people who experience gender inequalities in policy and program development to deliver more equitable services.</w:t>
            </w:r>
          </w:p>
          <w:p w14:paraId="2345D547" w14:textId="77777777" w:rsidR="00252B60" w:rsidRPr="00894870" w:rsidRDefault="00252B60" w:rsidP="00380550">
            <w:pPr>
              <w:pStyle w:val="ListParagraph"/>
              <w:numPr>
                <w:ilvl w:val="0"/>
                <w:numId w:val="20"/>
              </w:numPr>
              <w:spacing w:before="240" w:after="240" w:line="240" w:lineRule="auto"/>
              <w:jc w:val="left"/>
              <w:rPr>
                <w:rFonts w:ascii="Calibri Light" w:eastAsia="Malgun Gothic" w:hAnsi="Calibri Light" w:cs="Times New Roman"/>
                <w:b/>
                <w:color w:val="385623"/>
                <w:sz w:val="28"/>
                <w:szCs w:val="28"/>
              </w:rPr>
            </w:pPr>
            <w:r w:rsidRPr="00894870">
              <w:rPr>
                <w:rFonts w:ascii="Calibri Light" w:eastAsia="Malgun Gothic" w:hAnsi="Calibri Light" w:cs="Times New Roman"/>
                <w:b/>
                <w:color w:val="385623"/>
                <w:sz w:val="28"/>
                <w:szCs w:val="28"/>
              </w:rPr>
              <w:t>Systems</w:t>
            </w:r>
          </w:p>
          <w:p w14:paraId="4913BCB0" w14:textId="77777777" w:rsidR="00252B60" w:rsidRPr="00252B60" w:rsidRDefault="00252B60" w:rsidP="00894870">
            <w:pPr>
              <w:spacing w:line="240" w:lineRule="auto"/>
              <w:ind w:left="714" w:firstLine="0"/>
              <w:jc w:val="left"/>
              <w:rPr>
                <w:rFonts w:ascii="Calibri" w:eastAsia="Malgun Gothic" w:hAnsi="Calibri" w:cs="Times New Roman"/>
              </w:rPr>
            </w:pPr>
            <w:r w:rsidRPr="00252B60">
              <w:rPr>
                <w:rFonts w:ascii="Calibri" w:eastAsia="Malgun Gothic" w:hAnsi="Calibri" w:cs="Times New Roman"/>
              </w:rPr>
              <w:t xml:space="preserve">Gender analysis enhances planning, implementing, monitoring, evaluating and reporting. </w:t>
            </w:r>
          </w:p>
          <w:p w14:paraId="153A991C" w14:textId="77777777" w:rsidR="00252B60" w:rsidRPr="00894870" w:rsidRDefault="00252B60" w:rsidP="00380550">
            <w:pPr>
              <w:pStyle w:val="ListParagraph"/>
              <w:numPr>
                <w:ilvl w:val="0"/>
                <w:numId w:val="20"/>
              </w:numPr>
              <w:spacing w:before="240" w:after="240" w:line="240" w:lineRule="auto"/>
              <w:jc w:val="left"/>
              <w:rPr>
                <w:rFonts w:ascii="Calibri Light" w:eastAsia="Malgun Gothic" w:hAnsi="Calibri Light" w:cs="Times New Roman"/>
                <w:b/>
                <w:color w:val="385623"/>
                <w:sz w:val="28"/>
                <w:szCs w:val="28"/>
              </w:rPr>
            </w:pPr>
            <w:r w:rsidRPr="00894870">
              <w:rPr>
                <w:rFonts w:ascii="Calibri Light" w:eastAsia="Malgun Gothic" w:hAnsi="Calibri Light" w:cs="Times New Roman"/>
                <w:b/>
                <w:color w:val="385623"/>
                <w:sz w:val="28"/>
                <w:szCs w:val="28"/>
              </w:rPr>
              <w:t>Innovation</w:t>
            </w:r>
          </w:p>
          <w:p w14:paraId="0410939A" w14:textId="77777777" w:rsidR="00252B60" w:rsidRPr="00252B60" w:rsidRDefault="00252B60" w:rsidP="00894870">
            <w:pPr>
              <w:spacing w:line="240" w:lineRule="auto"/>
              <w:ind w:left="714" w:firstLine="0"/>
              <w:jc w:val="left"/>
              <w:rPr>
                <w:rFonts w:ascii="Calibri" w:eastAsia="Malgun Gothic" w:hAnsi="Calibri" w:cs="Times New Roman"/>
              </w:rPr>
            </w:pPr>
            <w:r w:rsidRPr="00252B60">
              <w:rPr>
                <w:rFonts w:ascii="Calibri" w:eastAsia="Malgun Gothic" w:hAnsi="Calibri" w:cs="Times New Roman"/>
              </w:rPr>
              <w:t>Gender analysis raises different questions, challenges old ways of thinking and prompts new responses.</w:t>
            </w:r>
          </w:p>
          <w:p w14:paraId="0AFB38EA" w14:textId="77777777" w:rsidR="00252B60" w:rsidRPr="00894870" w:rsidRDefault="00252B60" w:rsidP="00380550">
            <w:pPr>
              <w:pStyle w:val="ListParagraph"/>
              <w:numPr>
                <w:ilvl w:val="0"/>
                <w:numId w:val="20"/>
              </w:numPr>
              <w:spacing w:before="240" w:after="240" w:line="240" w:lineRule="auto"/>
              <w:jc w:val="left"/>
              <w:rPr>
                <w:rFonts w:ascii="Calibri Light" w:eastAsia="Malgun Gothic" w:hAnsi="Calibri Light" w:cs="Times New Roman"/>
                <w:b/>
                <w:color w:val="385623"/>
                <w:sz w:val="28"/>
                <w:szCs w:val="28"/>
              </w:rPr>
            </w:pPr>
            <w:r w:rsidRPr="00894870">
              <w:rPr>
                <w:rFonts w:ascii="Calibri Light" w:eastAsia="Malgun Gothic" w:hAnsi="Calibri Light" w:cs="Times New Roman"/>
                <w:b/>
                <w:color w:val="385623"/>
                <w:sz w:val="28"/>
                <w:szCs w:val="28"/>
              </w:rPr>
              <w:t>Quality of life</w:t>
            </w:r>
          </w:p>
          <w:p w14:paraId="69A35888" w14:textId="50303CD9" w:rsidR="00252B60" w:rsidRPr="00D16B03" w:rsidRDefault="00252B60" w:rsidP="00894870">
            <w:pPr>
              <w:spacing w:line="240" w:lineRule="auto"/>
              <w:ind w:left="714" w:firstLine="0"/>
              <w:jc w:val="left"/>
              <w:rPr>
                <w:rFonts w:ascii="Calibri" w:eastAsia="Malgun Gothic" w:hAnsi="Calibri" w:cs="Times New Roman"/>
              </w:rPr>
            </w:pPr>
            <w:r w:rsidRPr="00252B60">
              <w:rPr>
                <w:rFonts w:ascii="Calibri" w:eastAsia="Malgun Gothic" w:hAnsi="Calibri" w:cs="Times New Roman"/>
              </w:rPr>
              <w:t>Gender analysis ultimately improves the quality of life of people of all genders and advances their engagement in society.</w:t>
            </w:r>
          </w:p>
        </w:tc>
      </w:tr>
    </w:tbl>
    <w:p w14:paraId="165790DF" w14:textId="009556AC" w:rsidR="00F62632" w:rsidRPr="00751F2B" w:rsidRDefault="00F62632" w:rsidP="00380550">
      <w:pPr>
        <w:numPr>
          <w:ilvl w:val="0"/>
          <w:numId w:val="19"/>
        </w:numPr>
        <w:spacing w:after="240" w:line="240" w:lineRule="auto"/>
        <w:ind w:left="357" w:hanging="357"/>
        <w:jc w:val="left"/>
        <w:rPr>
          <w:lang w:val="en-AU"/>
        </w:rPr>
      </w:pPr>
      <w:r w:rsidRPr="00751F2B">
        <w:rPr>
          <w:lang w:val="en-AU"/>
        </w:rPr>
        <w:br w:type="page"/>
      </w:r>
    </w:p>
    <w:p w14:paraId="1396146F" w14:textId="76D99114" w:rsidR="005D349E" w:rsidRPr="00A33FFF" w:rsidRDefault="005D349E" w:rsidP="00586BC4">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240" w:line="240" w:lineRule="auto"/>
        <w:jc w:val="left"/>
        <w:rPr>
          <w:rFonts w:eastAsia="Malgun Gothic" w:cs="Arial"/>
          <w:color w:val="385623"/>
          <w:szCs w:val="22"/>
          <w:lang w:val="en-AU" w:eastAsia="ko-KR"/>
        </w:rPr>
      </w:pPr>
      <w:r>
        <w:rPr>
          <w:rFonts w:ascii="Calibri" w:eastAsia="Malgun Gothic" w:hAnsi="Calibri" w:cs="Times New Roman"/>
          <w:b/>
          <w:color w:val="385623"/>
          <w:sz w:val="36"/>
          <w:szCs w:val="36"/>
          <w:lang w:val="en-AU" w:eastAsia="ko-KR"/>
        </w:rPr>
        <w:lastRenderedPageBreak/>
        <w:t>EXAMPLES: APPLYING A GENDER LENS</w:t>
      </w:r>
      <w:r w:rsidRPr="00977BC1">
        <w:rPr>
          <w:rFonts w:ascii="Calibri" w:eastAsia="Malgun Gothic" w:hAnsi="Calibri" w:cs="Times New Roman"/>
          <w:b/>
          <w:color w:val="385623"/>
          <w:sz w:val="36"/>
          <w:szCs w:val="36"/>
          <w:lang w:val="en-AU" w:eastAsia="ko-KR"/>
        </w:rPr>
        <w:t xml:space="preserve">                    </w:t>
      </w:r>
      <w:r w:rsidRPr="00977BC1">
        <w:rPr>
          <w:rFonts w:ascii="Calibri" w:eastAsia="Malgun Gothic" w:hAnsi="Calibri" w:cs="Times New Roman"/>
          <w:b/>
          <w:noProof/>
          <w:color w:val="385623"/>
          <w:sz w:val="40"/>
          <w:szCs w:val="40"/>
          <w:lang w:val="en-AU" w:eastAsia="ko-KR"/>
        </w:rPr>
        <w:t xml:space="preserve">   </w:t>
      </w:r>
      <w:r>
        <w:rPr>
          <w:rFonts w:ascii="Calibri" w:eastAsia="Malgun Gothic" w:hAnsi="Calibri" w:cs="Times New Roman"/>
          <w:b/>
          <w:noProof/>
          <w:color w:val="385623"/>
          <w:sz w:val="40"/>
          <w:szCs w:val="40"/>
          <w:lang w:val="en-AU" w:eastAsia="ko-KR"/>
        </w:rPr>
        <w:drawing>
          <wp:inline distT="0" distB="0" distL="0" distR="0" wp14:anchorId="6CE7F2A7" wp14:editId="1954F25F">
            <wp:extent cx="871855" cy="871855"/>
            <wp:effectExtent l="0" t="0" r="4445" b="444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pic:spPr>
                </pic:pic>
              </a:graphicData>
            </a:graphic>
          </wp:inline>
        </w:drawing>
      </w:r>
    </w:p>
    <w:p w14:paraId="56AF6D69" w14:textId="77777777" w:rsidR="00C5716D" w:rsidRDefault="005D349E" w:rsidP="005D349E">
      <w:pPr>
        <w:spacing w:after="240" w:line="240" w:lineRule="auto"/>
        <w:jc w:val="left"/>
        <w:rPr>
          <w:rFonts w:ascii="Calibri" w:eastAsia="Malgun Gothic" w:hAnsi="Calibri" w:cs="Arial"/>
          <w:szCs w:val="22"/>
          <w:lang w:val="en-AU" w:eastAsia="ko-KR"/>
        </w:rPr>
      </w:pPr>
      <w:r w:rsidRPr="005D349E">
        <w:rPr>
          <w:rFonts w:ascii="Calibri" w:eastAsia="Malgun Gothic" w:hAnsi="Calibri" w:cs="Arial"/>
          <w:szCs w:val="22"/>
          <w:lang w:val="en-AU" w:eastAsia="ko-KR"/>
        </w:rPr>
        <w:t xml:space="preserve">The examples below will help you identify and consider gender issues, using a gender lens. Taking these issues into account will help your work be more inclusive and responsive to </w:t>
      </w:r>
      <w:r w:rsidRPr="005D349E">
        <w:rPr>
          <w:rFonts w:ascii="Calibri" w:eastAsia="Malgun Gothic" w:hAnsi="Calibri" w:cs="Arial"/>
          <w:bCs/>
          <w:szCs w:val="22"/>
          <w:lang w:val="en-AU" w:eastAsia="ko-KR"/>
        </w:rPr>
        <w:t>the needs of your organisation, its customers and the community. It will also help meet your desired outcomes</w:t>
      </w:r>
      <w:r w:rsidRPr="005D349E">
        <w:rPr>
          <w:rFonts w:ascii="Calibri" w:eastAsia="Malgun Gothic" w:hAnsi="Calibri" w:cs="Arial"/>
          <w:szCs w:val="22"/>
          <w:lang w:val="en-AU" w:eastAsia="ko-KR"/>
        </w:rPr>
        <w:t>.</w:t>
      </w:r>
    </w:p>
    <w:p w14:paraId="707A71AA" w14:textId="23053222" w:rsidR="005D349E" w:rsidRPr="005D349E" w:rsidRDefault="005D349E" w:rsidP="005D349E">
      <w:pPr>
        <w:spacing w:after="240" w:line="240" w:lineRule="auto"/>
        <w:jc w:val="left"/>
        <w:rPr>
          <w:rFonts w:ascii="Calibri" w:eastAsia="Malgun Gothic" w:hAnsi="Calibri" w:cs="Arial"/>
          <w:bCs/>
          <w:szCs w:val="22"/>
          <w:lang w:val="en-AU" w:eastAsia="ko-KR"/>
        </w:rPr>
      </w:pPr>
      <w:r w:rsidRPr="005D349E">
        <w:rPr>
          <w:rFonts w:ascii="Calibri" w:eastAsia="Malgun Gothic" w:hAnsi="Calibri" w:cs="Arial"/>
          <w:szCs w:val="22"/>
          <w:lang w:val="en-AU" w:eastAsia="ko-KR"/>
        </w:rPr>
        <w:t xml:space="preserve">Note: These examples are not meant to cover all issues that should be considered in the formulation of policy </w:t>
      </w:r>
      <w:r w:rsidRPr="005D349E">
        <w:rPr>
          <w:rFonts w:ascii="Calibri" w:eastAsia="Malgun Gothic" w:hAnsi="Calibri" w:cs="Arial"/>
          <w:bCs/>
          <w:szCs w:val="22"/>
          <w:lang w:val="en-AU" w:eastAsia="ko-KR"/>
        </w:rPr>
        <w:t>advice or program and service delivery. They should complement other relevant guides.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D349E" w:rsidRPr="005D349E" w14:paraId="3C4A3082" w14:textId="77777777" w:rsidTr="00284916">
        <w:tc>
          <w:tcPr>
            <w:tcW w:w="9016" w:type="dxa"/>
            <w:shd w:val="clear" w:color="auto" w:fill="E6E7F2"/>
          </w:tcPr>
          <w:p w14:paraId="246771FB" w14:textId="77777777" w:rsidR="005D349E" w:rsidRPr="005D349E" w:rsidRDefault="005D349E" w:rsidP="005D349E">
            <w:pPr>
              <w:spacing w:before="240" w:after="240" w:line="240" w:lineRule="auto"/>
              <w:jc w:val="center"/>
              <w:rPr>
                <w:rFonts w:ascii="Calibri Light" w:eastAsia="Malgun Gothic" w:hAnsi="Calibri Light" w:cs="Arial"/>
                <w:b/>
                <w:bCs/>
                <w:color w:val="5A5098"/>
                <w:sz w:val="28"/>
                <w:szCs w:val="28"/>
              </w:rPr>
            </w:pPr>
            <w:r w:rsidRPr="005D349E">
              <w:rPr>
                <w:rFonts w:ascii="Calibri Light" w:eastAsia="Malgun Gothic" w:hAnsi="Calibri Light" w:cs="Arial"/>
                <w:b/>
                <w:color w:val="5A5098"/>
                <w:sz w:val="28"/>
                <w:szCs w:val="28"/>
                <w:lang w:eastAsia="en-GB"/>
              </w:rPr>
              <w:t xml:space="preserve">Example 1: </w:t>
            </w:r>
            <w:r w:rsidRPr="005D349E">
              <w:rPr>
                <w:rFonts w:ascii="Calibri Light" w:eastAsia="Malgun Gothic" w:hAnsi="Calibri Light" w:cs="Arial"/>
                <w:b/>
                <w:bCs/>
                <w:color w:val="5A5098"/>
                <w:sz w:val="28"/>
                <w:szCs w:val="28"/>
              </w:rPr>
              <w:t>Workforce development in the renewable energy sector</w:t>
            </w:r>
          </w:p>
          <w:p w14:paraId="2F8C8154" w14:textId="34E3E55B" w:rsidR="005D349E" w:rsidRPr="005D349E" w:rsidRDefault="005D349E" w:rsidP="006F3CD7">
            <w:pPr>
              <w:spacing w:before="240" w:after="240" w:line="240" w:lineRule="auto"/>
              <w:ind w:left="284" w:right="284"/>
              <w:jc w:val="left"/>
              <w:rPr>
                <w:rFonts w:ascii="Calibri" w:eastAsia="Malgun Gothic" w:hAnsi="Calibri" w:cs="Arial"/>
                <w:bCs/>
              </w:rPr>
            </w:pPr>
            <w:r w:rsidRPr="005D349E">
              <w:rPr>
                <w:rFonts w:ascii="Calibri" w:eastAsia="Malgun Gothic" w:hAnsi="Calibri" w:cs="Arial"/>
                <w:bCs/>
              </w:rPr>
              <w:t>The renewable energy sector will need to hire close to 32,000 by 2030. Many of these jobs will be located in regional areas.</w:t>
            </w:r>
            <w:r w:rsidRPr="005D349E">
              <w:rPr>
                <w:rFonts w:ascii="Calibri" w:eastAsia="Malgun Gothic" w:hAnsi="Calibri" w:cs="Arial"/>
                <w:bCs/>
                <w:vertAlign w:val="superscript"/>
              </w:rPr>
              <w:endnoteReference w:id="21"/>
            </w:r>
          </w:p>
        </w:tc>
      </w:tr>
      <w:tr w:rsidR="005D349E" w:rsidRPr="005D349E" w14:paraId="2D47386B" w14:textId="77777777" w:rsidTr="00284916">
        <w:tc>
          <w:tcPr>
            <w:tcW w:w="9016" w:type="dxa"/>
            <w:shd w:val="clear" w:color="auto" w:fill="EDF5E7"/>
          </w:tcPr>
          <w:p w14:paraId="0533BF86" w14:textId="77777777" w:rsidR="005D349E" w:rsidRPr="005D349E" w:rsidRDefault="005D349E" w:rsidP="005D349E">
            <w:pPr>
              <w:spacing w:before="240" w:after="240" w:line="240" w:lineRule="auto"/>
              <w:jc w:val="center"/>
              <w:rPr>
                <w:rFonts w:ascii="Calibri Light" w:eastAsia="Malgun Gothic" w:hAnsi="Calibri Light" w:cs="Arial"/>
                <w:b/>
                <w:color w:val="000000"/>
                <w:sz w:val="28"/>
                <w:szCs w:val="28"/>
                <w:lang w:eastAsia="en-GB"/>
              </w:rPr>
            </w:pPr>
            <w:r w:rsidRPr="005D349E">
              <w:rPr>
                <w:rFonts w:ascii="Calibri Light" w:eastAsia="Malgun Gothic" w:hAnsi="Calibri Light" w:cs="Arial"/>
                <w:b/>
                <w:noProof/>
                <w:color w:val="385623"/>
                <w:sz w:val="28"/>
                <w:szCs w:val="28"/>
              </w:rPr>
              <w:drawing>
                <wp:anchor distT="0" distB="0" distL="114300" distR="114300" simplePos="0" relativeHeight="251694080" behindDoc="0" locked="0" layoutInCell="1" allowOverlap="1" wp14:anchorId="5F8FAC8A" wp14:editId="25DB0C37">
                  <wp:simplePos x="0" y="0"/>
                  <wp:positionH relativeFrom="margin">
                    <wp:posOffset>4204652</wp:posOffset>
                  </wp:positionH>
                  <wp:positionV relativeFrom="paragraph">
                    <wp:posOffset>-48577</wp:posOffset>
                  </wp:positionV>
                  <wp:extent cx="431553" cy="401369"/>
                  <wp:effectExtent l="91123" t="80327" r="79057" b="79058"/>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BEBA8EAE-BF5A-486C-A8C5-ECC9F3942E4B}">
                                <a14:imgProps xmlns:a14="http://schemas.microsoft.com/office/drawing/2010/main">
                                  <a14:imgLayer r:embed="rId39">
                                    <a14:imgEffect>
                                      <a14:sharpenSoften amount="50000"/>
                                    </a14:imgEffect>
                                    <a14:imgEffect>
                                      <a14:colorTemperature colorTemp="5900"/>
                                    </a14:imgEffect>
                                  </a14:imgLayer>
                                </a14:imgProps>
                              </a:ext>
                              <a:ext uri="{28A0092B-C50C-407E-A947-70E740481C1C}">
                                <a14:useLocalDpi xmlns:a14="http://schemas.microsoft.com/office/drawing/2010/main" val="0"/>
                              </a:ext>
                            </a:extLst>
                          </a:blip>
                          <a:stretch>
                            <a:fillRect/>
                          </a:stretch>
                        </pic:blipFill>
                        <pic:spPr>
                          <a:xfrm rot="17835879">
                            <a:off x="0" y="0"/>
                            <a:ext cx="431553" cy="401369"/>
                          </a:xfrm>
                          <a:prstGeom prst="rect">
                            <a:avLst/>
                          </a:prstGeom>
                        </pic:spPr>
                      </pic:pic>
                    </a:graphicData>
                  </a:graphic>
                  <wp14:sizeRelH relativeFrom="margin">
                    <wp14:pctWidth>0</wp14:pctWidth>
                  </wp14:sizeRelH>
                  <wp14:sizeRelV relativeFrom="margin">
                    <wp14:pctHeight>0</wp14:pctHeight>
                  </wp14:sizeRelV>
                </wp:anchor>
              </w:drawing>
            </w:r>
            <w:r w:rsidRPr="005D349E">
              <w:rPr>
                <w:rFonts w:ascii="Calibri Light" w:eastAsia="Malgun Gothic" w:hAnsi="Calibri Light" w:cs="Arial"/>
                <w:b/>
                <w:color w:val="385623"/>
                <w:sz w:val="28"/>
                <w:szCs w:val="28"/>
                <w:lang w:eastAsia="en-GB"/>
              </w:rPr>
              <w:t>Issues identified using a gender lens</w:t>
            </w:r>
          </w:p>
        </w:tc>
      </w:tr>
      <w:tr w:rsidR="005D349E" w:rsidRPr="005D349E" w14:paraId="4F0B8054" w14:textId="77777777" w:rsidTr="00284916">
        <w:tc>
          <w:tcPr>
            <w:tcW w:w="9016" w:type="dxa"/>
            <w:shd w:val="clear" w:color="auto" w:fill="EDF5E7"/>
          </w:tcPr>
          <w:p w14:paraId="204C3851" w14:textId="77777777" w:rsidR="005D349E" w:rsidRPr="005D349E" w:rsidRDefault="005D349E" w:rsidP="00380550">
            <w:pPr>
              <w:numPr>
                <w:ilvl w:val="0"/>
                <w:numId w:val="22"/>
              </w:numPr>
              <w:spacing w:before="120" w:after="160" w:line="240" w:lineRule="auto"/>
              <w:ind w:hanging="357"/>
              <w:jc w:val="left"/>
              <w:rPr>
                <w:rFonts w:ascii="Calibri" w:eastAsia="Malgun Gothic" w:hAnsi="Calibri" w:cs="Arial"/>
                <w:bCs/>
              </w:rPr>
            </w:pPr>
            <w:r w:rsidRPr="005D349E">
              <w:rPr>
                <w:rFonts w:ascii="Calibri" w:eastAsia="Malgun Gothic" w:hAnsi="Calibri" w:cs="Arial"/>
                <w:bCs/>
              </w:rPr>
              <w:t>What are the current socio-demographic characteristics of the renewable energy sector workforce? For example, sector workforce statistics broken down by sex and by age, and leadership in the sector broken down by sex.</w:t>
            </w:r>
          </w:p>
          <w:p w14:paraId="27192DEE" w14:textId="77777777" w:rsidR="005D349E" w:rsidRPr="005D349E" w:rsidRDefault="005D349E" w:rsidP="00380550">
            <w:pPr>
              <w:numPr>
                <w:ilvl w:val="0"/>
                <w:numId w:val="22"/>
              </w:numPr>
              <w:spacing w:before="120" w:after="160" w:line="240" w:lineRule="auto"/>
              <w:ind w:hanging="357"/>
              <w:jc w:val="left"/>
              <w:rPr>
                <w:rFonts w:ascii="Calibri" w:eastAsia="Malgun Gothic" w:hAnsi="Calibri" w:cs="Arial"/>
                <w:bCs/>
              </w:rPr>
            </w:pPr>
            <w:r w:rsidRPr="005D349E">
              <w:rPr>
                <w:rFonts w:ascii="Calibri" w:eastAsia="Malgun Gothic" w:hAnsi="Calibri" w:cs="Arial"/>
                <w:bCs/>
              </w:rPr>
              <w:t>Are there any population groups that are under-represented in the sector? For example, women, Aboriginal and/or Torres Strait Islander people or people with disability.</w:t>
            </w:r>
          </w:p>
          <w:p w14:paraId="0C03C746" w14:textId="77777777" w:rsidR="005D349E" w:rsidRPr="005D349E" w:rsidRDefault="005D349E" w:rsidP="00380550">
            <w:pPr>
              <w:numPr>
                <w:ilvl w:val="0"/>
                <w:numId w:val="22"/>
              </w:numPr>
              <w:spacing w:before="120" w:after="160" w:line="240" w:lineRule="auto"/>
              <w:ind w:hanging="357"/>
              <w:jc w:val="left"/>
              <w:rPr>
                <w:rFonts w:ascii="Calibri" w:eastAsia="Malgun Gothic" w:hAnsi="Calibri" w:cs="Arial"/>
                <w:bCs/>
              </w:rPr>
            </w:pPr>
            <w:r w:rsidRPr="005D349E">
              <w:rPr>
                <w:rFonts w:ascii="Calibri" w:eastAsia="Malgun Gothic" w:hAnsi="Calibri" w:cs="Arial"/>
                <w:bCs/>
              </w:rPr>
              <w:t xml:space="preserve">What are the barriers to participation for those under-represented groups? For example, remote locations, employer stereotypes, lack of flexible work arrangements, shift work. </w:t>
            </w:r>
          </w:p>
          <w:p w14:paraId="08008AAC" w14:textId="77777777" w:rsidR="005D349E" w:rsidRPr="005D349E" w:rsidRDefault="005D349E" w:rsidP="00380550">
            <w:pPr>
              <w:numPr>
                <w:ilvl w:val="0"/>
                <w:numId w:val="22"/>
              </w:numPr>
              <w:spacing w:before="120" w:after="160" w:line="240" w:lineRule="auto"/>
              <w:ind w:hanging="357"/>
              <w:jc w:val="left"/>
              <w:rPr>
                <w:rFonts w:ascii="Calibri" w:eastAsia="Malgun Gothic" w:hAnsi="Calibri" w:cs="Arial"/>
                <w:bCs/>
              </w:rPr>
            </w:pPr>
            <w:r w:rsidRPr="005D349E">
              <w:rPr>
                <w:rFonts w:ascii="Calibri" w:eastAsia="Malgun Gothic" w:hAnsi="Calibri" w:cs="Arial"/>
                <w:bCs/>
              </w:rPr>
              <w:t>What can be done to address perceived or identified barriers? Are there any success stories/best practice examples in other states or overseas? Are separate approaches needed to address barriers for different groups of women and men?</w:t>
            </w:r>
          </w:p>
          <w:p w14:paraId="17D48B7B" w14:textId="77777777" w:rsidR="005D349E" w:rsidRPr="005D349E" w:rsidRDefault="005D349E" w:rsidP="00380550">
            <w:pPr>
              <w:numPr>
                <w:ilvl w:val="0"/>
                <w:numId w:val="22"/>
              </w:numPr>
              <w:spacing w:before="120" w:after="160" w:line="240" w:lineRule="auto"/>
              <w:ind w:hanging="357"/>
              <w:jc w:val="left"/>
              <w:rPr>
                <w:rFonts w:ascii="Calibri" w:eastAsia="Malgun Gothic" w:hAnsi="Calibri" w:cs="Arial"/>
                <w:bCs/>
              </w:rPr>
            </w:pPr>
            <w:r w:rsidRPr="005D349E">
              <w:rPr>
                <w:rFonts w:ascii="Calibri" w:eastAsia="Malgun Gothic" w:hAnsi="Calibri" w:cs="Arial"/>
                <w:bCs/>
              </w:rPr>
              <w:t xml:space="preserve">Could staff be better retained though clear career pathways and continuing professional development, especially for those from under-represented groups? </w:t>
            </w:r>
          </w:p>
          <w:p w14:paraId="4FF79A7D" w14:textId="77777777" w:rsidR="005D349E" w:rsidRPr="005D349E" w:rsidRDefault="005D349E" w:rsidP="00380550">
            <w:pPr>
              <w:numPr>
                <w:ilvl w:val="1"/>
                <w:numId w:val="23"/>
              </w:numPr>
              <w:spacing w:before="120" w:after="160" w:line="240" w:lineRule="auto"/>
              <w:ind w:hanging="357"/>
              <w:jc w:val="left"/>
              <w:rPr>
                <w:rFonts w:ascii="Calibri" w:eastAsia="Malgun Gothic" w:hAnsi="Calibri" w:cs="Arial"/>
                <w:bCs/>
              </w:rPr>
            </w:pPr>
            <w:r w:rsidRPr="005D349E">
              <w:rPr>
                <w:rFonts w:ascii="Calibri" w:eastAsia="Malgun Gothic" w:hAnsi="Calibri" w:cs="Arial"/>
                <w:bCs/>
              </w:rPr>
              <w:t>Are separate approaches and different career pathways needed for different groups of women and men to accommodate different needs? For example, work-life balance, upskilling/reskilling of people who re-enter the workforce after a career break due to caring responsibilities.</w:t>
            </w:r>
          </w:p>
          <w:p w14:paraId="68EE9F13" w14:textId="77777777" w:rsidR="005D349E" w:rsidRPr="005D349E" w:rsidRDefault="005D349E" w:rsidP="00380550">
            <w:pPr>
              <w:numPr>
                <w:ilvl w:val="1"/>
                <w:numId w:val="23"/>
              </w:numPr>
              <w:spacing w:before="120" w:after="160" w:line="240" w:lineRule="auto"/>
              <w:ind w:hanging="357"/>
              <w:jc w:val="left"/>
              <w:rPr>
                <w:rFonts w:ascii="Calibri" w:eastAsia="Malgun Gothic" w:hAnsi="Calibri" w:cs="Arial"/>
                <w:bCs/>
              </w:rPr>
            </w:pPr>
            <w:r w:rsidRPr="005D349E">
              <w:rPr>
                <w:rFonts w:ascii="Calibri" w:eastAsia="Malgun Gothic" w:hAnsi="Calibri" w:cs="Arial"/>
                <w:bCs/>
              </w:rPr>
              <w:t>How can pathways to leadership be more inclusive of under-represented groups?</w:t>
            </w:r>
          </w:p>
          <w:p w14:paraId="25598ACC" w14:textId="77777777" w:rsidR="005D349E" w:rsidRPr="005D349E" w:rsidRDefault="005D349E" w:rsidP="00380550">
            <w:pPr>
              <w:numPr>
                <w:ilvl w:val="0"/>
                <w:numId w:val="24"/>
              </w:numPr>
              <w:spacing w:before="120" w:after="160" w:line="240" w:lineRule="auto"/>
              <w:ind w:hanging="357"/>
              <w:jc w:val="left"/>
              <w:rPr>
                <w:rFonts w:ascii="Calibri" w:eastAsia="Malgun Gothic" w:hAnsi="Calibri" w:cs="Arial"/>
                <w:bCs/>
              </w:rPr>
            </w:pPr>
            <w:r w:rsidRPr="005D349E">
              <w:rPr>
                <w:rFonts w:ascii="Calibri" w:eastAsia="Malgun Gothic" w:hAnsi="Calibri" w:cs="Arial"/>
                <w:bCs/>
              </w:rPr>
              <w:t>Do your stakeholder engagement strategies encourage inclusion of under-represented groups?</w:t>
            </w:r>
          </w:p>
          <w:p w14:paraId="772E875A" w14:textId="77777777" w:rsidR="005D349E" w:rsidRPr="005D349E" w:rsidRDefault="005D349E" w:rsidP="00380550">
            <w:pPr>
              <w:numPr>
                <w:ilvl w:val="0"/>
                <w:numId w:val="24"/>
              </w:numPr>
              <w:spacing w:before="120" w:after="160" w:line="240" w:lineRule="auto"/>
              <w:ind w:hanging="357"/>
              <w:jc w:val="left"/>
              <w:rPr>
                <w:rFonts w:ascii="Calibri" w:eastAsia="Malgun Gothic" w:hAnsi="Calibri" w:cs="Arial"/>
                <w:bCs/>
              </w:rPr>
            </w:pPr>
            <w:r w:rsidRPr="005D349E">
              <w:rPr>
                <w:rFonts w:ascii="Calibri" w:eastAsia="Malgun Gothic" w:hAnsi="Calibri" w:cs="Arial"/>
                <w:bCs/>
              </w:rPr>
              <w:t xml:space="preserve">How are staff recruitment and retention monitored and reviewed? </w:t>
            </w:r>
          </w:p>
        </w:tc>
      </w:tr>
    </w:tbl>
    <w:p w14:paraId="2D3B2F46" w14:textId="77777777" w:rsidR="00E04526" w:rsidRDefault="00E04526">
      <w: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D349E" w:rsidRPr="005D349E" w14:paraId="3D95C265" w14:textId="77777777" w:rsidTr="00284916">
        <w:tc>
          <w:tcPr>
            <w:tcW w:w="9016" w:type="dxa"/>
            <w:shd w:val="clear" w:color="auto" w:fill="E6E7F2"/>
          </w:tcPr>
          <w:p w14:paraId="07470171" w14:textId="333C5950" w:rsidR="005D349E" w:rsidRPr="005D349E" w:rsidRDefault="005D349E" w:rsidP="005D349E">
            <w:pPr>
              <w:spacing w:before="240" w:after="240" w:line="240" w:lineRule="auto"/>
              <w:jc w:val="center"/>
              <w:rPr>
                <w:rFonts w:ascii="Calibri Light" w:eastAsia="Malgun Gothic" w:hAnsi="Calibri Light" w:cs="Arial"/>
                <w:b/>
                <w:bCs/>
                <w:color w:val="5A5098"/>
                <w:sz w:val="28"/>
                <w:szCs w:val="28"/>
              </w:rPr>
            </w:pPr>
            <w:r w:rsidRPr="005D349E">
              <w:rPr>
                <w:rFonts w:ascii="Calibri Light" w:eastAsia="Malgun Gothic" w:hAnsi="Calibri Light" w:cs="Arial"/>
                <w:b/>
                <w:color w:val="5A5098"/>
                <w:sz w:val="28"/>
                <w:szCs w:val="28"/>
                <w:lang w:eastAsia="en-GB"/>
              </w:rPr>
              <w:lastRenderedPageBreak/>
              <w:t xml:space="preserve">Example 2: </w:t>
            </w:r>
            <w:r w:rsidRPr="005D349E">
              <w:rPr>
                <w:rFonts w:ascii="Calibri Light" w:eastAsia="Malgun Gothic" w:hAnsi="Calibri Light" w:cs="Arial"/>
                <w:b/>
                <w:bCs/>
                <w:color w:val="5A5098"/>
                <w:sz w:val="28"/>
                <w:szCs w:val="28"/>
              </w:rPr>
              <w:t>Housing and neighbourhood planning</w:t>
            </w:r>
          </w:p>
          <w:p w14:paraId="4A0F073E" w14:textId="77777777" w:rsidR="005D349E" w:rsidRPr="005D349E" w:rsidRDefault="005D349E" w:rsidP="006F3CD7">
            <w:pPr>
              <w:spacing w:before="240" w:after="240" w:line="240" w:lineRule="auto"/>
              <w:ind w:left="284" w:right="284"/>
              <w:jc w:val="left"/>
              <w:rPr>
                <w:rFonts w:ascii="Calibri" w:eastAsia="Malgun Gothic" w:hAnsi="Calibri" w:cs="Arial"/>
                <w:bCs/>
              </w:rPr>
            </w:pPr>
            <w:r w:rsidRPr="005D349E">
              <w:rPr>
                <w:rFonts w:ascii="Calibri" w:eastAsia="Malgun Gothic" w:hAnsi="Calibri" w:cs="Arial"/>
                <w:bCs/>
              </w:rPr>
              <w:t>An urban planning company is starting a government-funded project for housing and neighbourhood planning in a suburb. The project is at design stage, with a requirement for equal access to urban spaces, such as public facilities, streets, open space and retail space.</w:t>
            </w:r>
            <w:r w:rsidRPr="005D349E">
              <w:rPr>
                <w:rFonts w:ascii="Calibri" w:eastAsia="Malgun Gothic" w:hAnsi="Calibri" w:cs="Arial"/>
                <w:bCs/>
                <w:vertAlign w:val="superscript"/>
              </w:rPr>
              <w:t xml:space="preserve"> </w:t>
            </w:r>
          </w:p>
        </w:tc>
      </w:tr>
      <w:tr w:rsidR="005D349E" w:rsidRPr="005D349E" w14:paraId="4412F61F" w14:textId="77777777" w:rsidTr="00284916">
        <w:tc>
          <w:tcPr>
            <w:tcW w:w="9016" w:type="dxa"/>
            <w:shd w:val="clear" w:color="auto" w:fill="EDF5E7"/>
          </w:tcPr>
          <w:p w14:paraId="354F739C" w14:textId="77777777" w:rsidR="005D349E" w:rsidRPr="005D349E" w:rsidRDefault="005D349E" w:rsidP="005D349E">
            <w:pPr>
              <w:spacing w:before="240" w:after="240" w:line="240" w:lineRule="auto"/>
              <w:jc w:val="center"/>
              <w:rPr>
                <w:rFonts w:ascii="Calibri Light" w:eastAsia="Malgun Gothic" w:hAnsi="Calibri Light" w:cs="Arial"/>
                <w:b/>
                <w:color w:val="000000"/>
                <w:sz w:val="28"/>
                <w:szCs w:val="28"/>
                <w:lang w:eastAsia="en-GB"/>
              </w:rPr>
            </w:pPr>
            <w:r w:rsidRPr="005D349E">
              <w:rPr>
                <w:rFonts w:ascii="Calibri" w:eastAsia="Malgun Gothic" w:hAnsi="Calibri" w:cs="Arial"/>
                <w:bCs/>
                <w:noProof/>
              </w:rPr>
              <w:drawing>
                <wp:anchor distT="0" distB="0" distL="114300" distR="114300" simplePos="0" relativeHeight="251693056" behindDoc="0" locked="0" layoutInCell="1" allowOverlap="1" wp14:anchorId="5F706AE7" wp14:editId="7BDB74BA">
                  <wp:simplePos x="0" y="0"/>
                  <wp:positionH relativeFrom="margin">
                    <wp:posOffset>4277677</wp:posOffset>
                  </wp:positionH>
                  <wp:positionV relativeFrom="paragraph">
                    <wp:posOffset>37148</wp:posOffset>
                  </wp:positionV>
                  <wp:extent cx="431553" cy="401369"/>
                  <wp:effectExtent l="91123" t="80327" r="79057" b="79058"/>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BEBA8EAE-BF5A-486C-A8C5-ECC9F3942E4B}">
                                <a14:imgProps xmlns:a14="http://schemas.microsoft.com/office/drawing/2010/main">
                                  <a14:imgLayer r:embed="rId39">
                                    <a14:imgEffect>
                                      <a14:sharpenSoften amount="50000"/>
                                    </a14:imgEffect>
                                    <a14:imgEffect>
                                      <a14:colorTemperature colorTemp="5900"/>
                                    </a14:imgEffect>
                                  </a14:imgLayer>
                                </a14:imgProps>
                              </a:ext>
                              <a:ext uri="{28A0092B-C50C-407E-A947-70E740481C1C}">
                                <a14:useLocalDpi xmlns:a14="http://schemas.microsoft.com/office/drawing/2010/main" val="0"/>
                              </a:ext>
                            </a:extLst>
                          </a:blip>
                          <a:stretch>
                            <a:fillRect/>
                          </a:stretch>
                        </pic:blipFill>
                        <pic:spPr>
                          <a:xfrm rot="17835879">
                            <a:off x="0" y="0"/>
                            <a:ext cx="431553" cy="401369"/>
                          </a:xfrm>
                          <a:prstGeom prst="rect">
                            <a:avLst/>
                          </a:prstGeom>
                        </pic:spPr>
                      </pic:pic>
                    </a:graphicData>
                  </a:graphic>
                  <wp14:sizeRelH relativeFrom="margin">
                    <wp14:pctWidth>0</wp14:pctWidth>
                  </wp14:sizeRelH>
                  <wp14:sizeRelV relativeFrom="margin">
                    <wp14:pctHeight>0</wp14:pctHeight>
                  </wp14:sizeRelV>
                </wp:anchor>
              </w:drawing>
            </w:r>
            <w:r w:rsidRPr="005D349E">
              <w:rPr>
                <w:rFonts w:ascii="Calibri Light" w:eastAsia="Malgun Gothic" w:hAnsi="Calibri Light" w:cs="Arial"/>
                <w:b/>
                <w:color w:val="385623"/>
                <w:sz w:val="28"/>
                <w:szCs w:val="28"/>
                <w:lang w:eastAsia="en-GB"/>
              </w:rPr>
              <w:t>Issues identified using a gender lens</w:t>
            </w:r>
            <w:r w:rsidRPr="005D349E">
              <w:rPr>
                <w:rFonts w:ascii="Calibri Light" w:eastAsia="Malgun Gothic" w:hAnsi="Calibri Light" w:cs="Arial"/>
                <w:b/>
                <w:bCs/>
                <w:sz w:val="28"/>
                <w:szCs w:val="28"/>
                <w:vertAlign w:val="superscript"/>
              </w:rPr>
              <w:endnoteReference w:id="22"/>
            </w:r>
          </w:p>
        </w:tc>
      </w:tr>
      <w:tr w:rsidR="005D349E" w:rsidRPr="005D349E" w14:paraId="4E4C48BF" w14:textId="77777777" w:rsidTr="00284916">
        <w:tc>
          <w:tcPr>
            <w:tcW w:w="9016" w:type="dxa"/>
            <w:shd w:val="clear" w:color="auto" w:fill="EDF5E7"/>
          </w:tcPr>
          <w:p w14:paraId="2678E3EC" w14:textId="77777777" w:rsidR="005D349E" w:rsidRPr="005D349E" w:rsidRDefault="005D349E" w:rsidP="00380550">
            <w:pPr>
              <w:numPr>
                <w:ilvl w:val="0"/>
                <w:numId w:val="21"/>
              </w:numPr>
              <w:spacing w:before="120" w:after="240" w:line="240" w:lineRule="auto"/>
              <w:ind w:left="714" w:hanging="357"/>
              <w:jc w:val="left"/>
              <w:rPr>
                <w:rFonts w:ascii="Calibri" w:eastAsia="Malgun Gothic" w:hAnsi="Calibri" w:cs="Arial"/>
                <w:bCs/>
              </w:rPr>
            </w:pPr>
            <w:r w:rsidRPr="005D349E">
              <w:rPr>
                <w:rFonts w:ascii="Calibri" w:eastAsia="Malgun Gothic" w:hAnsi="Calibri" w:cs="Arial"/>
                <w:bCs/>
              </w:rPr>
              <w:t>What does the evidence say about past urban design practices?</w:t>
            </w:r>
          </w:p>
          <w:p w14:paraId="06CC945A" w14:textId="77777777" w:rsidR="005D349E" w:rsidRPr="005D349E" w:rsidRDefault="005D349E" w:rsidP="00380550">
            <w:pPr>
              <w:numPr>
                <w:ilvl w:val="1"/>
                <w:numId w:val="25"/>
              </w:numPr>
              <w:spacing w:before="120" w:after="240" w:line="240" w:lineRule="auto"/>
              <w:jc w:val="left"/>
              <w:rPr>
                <w:rFonts w:ascii="Calibri" w:eastAsia="Malgun Gothic" w:hAnsi="Calibri" w:cs="Arial"/>
                <w:bCs/>
              </w:rPr>
            </w:pPr>
            <w:r w:rsidRPr="005D349E">
              <w:rPr>
                <w:rFonts w:ascii="Calibri" w:eastAsia="Malgun Gothic" w:hAnsi="Calibri" w:cs="Arial"/>
                <w:bCs/>
              </w:rPr>
              <w:t xml:space="preserve">For example, evidence acknowledged that urban design was generally blind to differences between groups (such as women, men, people using different forms of transport and performing different kinds of work). </w:t>
            </w:r>
          </w:p>
          <w:p w14:paraId="7163FC56" w14:textId="77777777" w:rsidR="005D349E" w:rsidRPr="005D349E" w:rsidRDefault="005D349E" w:rsidP="00380550">
            <w:pPr>
              <w:numPr>
                <w:ilvl w:val="1"/>
                <w:numId w:val="25"/>
              </w:numPr>
              <w:spacing w:before="120" w:after="240" w:line="240" w:lineRule="auto"/>
              <w:jc w:val="left"/>
              <w:rPr>
                <w:rFonts w:ascii="Calibri" w:eastAsia="Malgun Gothic" w:hAnsi="Calibri" w:cs="Arial"/>
                <w:bCs/>
              </w:rPr>
            </w:pPr>
            <w:r w:rsidRPr="005D349E">
              <w:rPr>
                <w:rFonts w:ascii="Calibri" w:eastAsia="Malgun Gothic" w:hAnsi="Calibri" w:cs="Arial"/>
                <w:bCs/>
              </w:rPr>
              <w:t>Urban design often focused on the needs of people who are in the paid workforce, overlooking the needs of people who undertake unpaid housework, childcare and eldercare.</w:t>
            </w:r>
          </w:p>
          <w:p w14:paraId="23D45F90" w14:textId="77777777" w:rsidR="005D349E" w:rsidRPr="005D349E" w:rsidRDefault="005D349E" w:rsidP="00380550">
            <w:pPr>
              <w:numPr>
                <w:ilvl w:val="0"/>
                <w:numId w:val="21"/>
              </w:numPr>
              <w:spacing w:before="120" w:after="240" w:line="240" w:lineRule="auto"/>
              <w:ind w:left="714" w:hanging="357"/>
              <w:jc w:val="left"/>
              <w:rPr>
                <w:rFonts w:ascii="Calibri" w:eastAsia="Malgun Gothic" w:hAnsi="Calibri" w:cs="Arial"/>
                <w:bCs/>
              </w:rPr>
            </w:pPr>
            <w:r w:rsidRPr="005D349E">
              <w:rPr>
                <w:rFonts w:ascii="Calibri" w:eastAsia="Malgun Gothic" w:hAnsi="Calibri" w:cs="Arial"/>
                <w:bCs/>
              </w:rPr>
              <w:t>How do different genders use space in relation to paid work, home life and work, social relations, cultural practices and leisure?</w:t>
            </w:r>
          </w:p>
          <w:p w14:paraId="2562D594" w14:textId="77777777" w:rsidR="005D349E" w:rsidRPr="005D349E" w:rsidRDefault="005D349E" w:rsidP="00380550">
            <w:pPr>
              <w:numPr>
                <w:ilvl w:val="0"/>
                <w:numId w:val="21"/>
              </w:numPr>
              <w:spacing w:before="120" w:after="240" w:line="240" w:lineRule="auto"/>
              <w:ind w:left="714" w:hanging="357"/>
              <w:jc w:val="left"/>
              <w:rPr>
                <w:rFonts w:ascii="Calibri" w:eastAsia="Malgun Gothic" w:hAnsi="Calibri" w:cs="Arial"/>
                <w:bCs/>
              </w:rPr>
            </w:pPr>
            <w:r w:rsidRPr="005D349E">
              <w:rPr>
                <w:rFonts w:ascii="Calibri" w:eastAsia="Malgun Gothic" w:hAnsi="Calibri" w:cs="Arial"/>
                <w:bCs/>
              </w:rPr>
              <w:t>What are the needs of different genders living in houses, units and the needs of the people who service those places, such as cleaners and maintenance people?</w:t>
            </w:r>
          </w:p>
          <w:p w14:paraId="5BA8666E" w14:textId="77777777" w:rsidR="005D349E" w:rsidRPr="005D349E" w:rsidRDefault="005D349E" w:rsidP="00380550">
            <w:pPr>
              <w:numPr>
                <w:ilvl w:val="0"/>
                <w:numId w:val="21"/>
              </w:numPr>
              <w:spacing w:before="120" w:after="240" w:line="240" w:lineRule="auto"/>
              <w:ind w:left="714" w:hanging="357"/>
              <w:jc w:val="left"/>
              <w:rPr>
                <w:rFonts w:ascii="Calibri" w:eastAsia="Malgun Gothic" w:hAnsi="Calibri" w:cs="Arial"/>
                <w:bCs/>
              </w:rPr>
            </w:pPr>
            <w:r w:rsidRPr="005D349E">
              <w:rPr>
                <w:rFonts w:ascii="Calibri" w:eastAsia="Malgun Gothic" w:hAnsi="Calibri" w:cs="Arial"/>
                <w:bCs/>
              </w:rPr>
              <w:t>What are the needs of people who combine employment with care responsibilities? How can large distances between homes, shops, schools, care facilities and medical facilities be reduced?</w:t>
            </w:r>
          </w:p>
          <w:p w14:paraId="666E77BB" w14:textId="77777777" w:rsidR="005D349E" w:rsidRPr="005D349E" w:rsidRDefault="005D349E" w:rsidP="00380550">
            <w:pPr>
              <w:numPr>
                <w:ilvl w:val="0"/>
                <w:numId w:val="21"/>
              </w:numPr>
              <w:spacing w:before="120" w:after="240" w:line="240" w:lineRule="auto"/>
              <w:ind w:left="714" w:hanging="357"/>
              <w:jc w:val="left"/>
              <w:rPr>
                <w:rFonts w:ascii="Calibri" w:eastAsia="Malgun Gothic" w:hAnsi="Calibri" w:cs="Arial"/>
                <w:bCs/>
              </w:rPr>
            </w:pPr>
            <w:r w:rsidRPr="005D349E">
              <w:rPr>
                <w:rFonts w:ascii="Calibri" w:eastAsia="Malgun Gothic" w:hAnsi="Calibri" w:cs="Arial"/>
                <w:bCs/>
              </w:rPr>
              <w:t>What strategies can be used to obtain input from all stakeholders, including different groups of women and men? Urban designers may ask people about their daily experiences, using a variety of methods, such as surveys, interviews and observation.</w:t>
            </w:r>
          </w:p>
          <w:p w14:paraId="36F41EBF" w14:textId="77777777" w:rsidR="005D349E" w:rsidRPr="005D349E" w:rsidRDefault="005D349E" w:rsidP="00380550">
            <w:pPr>
              <w:numPr>
                <w:ilvl w:val="0"/>
                <w:numId w:val="21"/>
              </w:numPr>
              <w:spacing w:before="120" w:after="240" w:line="240" w:lineRule="auto"/>
              <w:ind w:left="714" w:hanging="357"/>
              <w:jc w:val="left"/>
              <w:rPr>
                <w:rFonts w:ascii="Calibri" w:eastAsia="Malgun Gothic" w:hAnsi="Calibri" w:cs="Arial"/>
                <w:bCs/>
              </w:rPr>
            </w:pPr>
            <w:r w:rsidRPr="005D349E">
              <w:rPr>
                <w:rFonts w:ascii="Calibri" w:eastAsia="Malgun Gothic" w:hAnsi="Calibri" w:cs="Arial"/>
                <w:bCs/>
              </w:rPr>
              <w:t>What are the ways to evaluate and plan next steps? Can people of different genders and life experiences be involved in decision-making?</w:t>
            </w:r>
          </w:p>
        </w:tc>
      </w:tr>
    </w:tbl>
    <w:p w14:paraId="7FD7C463" w14:textId="77777777" w:rsidR="005D349E" w:rsidRDefault="005D349E">
      <w:pPr>
        <w:spacing w:after="0" w:line="240" w:lineRule="auto"/>
        <w:jc w:val="left"/>
        <w:rPr>
          <w:lang w:val="en-AU"/>
        </w:rPr>
      </w:pPr>
    </w:p>
    <w:p w14:paraId="4B4E4F45" w14:textId="01618C7F" w:rsidR="00CE4F89" w:rsidRDefault="00CE4F89">
      <w:pPr>
        <w:spacing w:after="0" w:line="240" w:lineRule="auto"/>
        <w:jc w:val="left"/>
        <w:rPr>
          <w:lang w:val="en-AU"/>
        </w:rPr>
      </w:pPr>
      <w:r>
        <w:rPr>
          <w:lang w:val="en-AU"/>
        </w:rPr>
        <w:br w:type="page"/>
      </w:r>
    </w:p>
    <w:p w14:paraId="52F764BB" w14:textId="77777777" w:rsidR="00214B0D" w:rsidRDefault="00214B0D">
      <w:pPr>
        <w:spacing w:after="0" w:line="240" w:lineRule="auto"/>
        <w:jc w:val="left"/>
        <w:rPr>
          <w:lang w:val="en-AU"/>
        </w:rPr>
      </w:pPr>
    </w:p>
    <w:p w14:paraId="1643EA94" w14:textId="68BB6ED1" w:rsidR="009A05A1" w:rsidRDefault="004420AB">
      <w:pPr>
        <w:spacing w:after="0" w:line="240" w:lineRule="auto"/>
        <w:jc w:val="left"/>
        <w:rPr>
          <w:color w:val="660066"/>
          <w:sz w:val="56"/>
          <w:szCs w:val="56"/>
          <w:lang w:val="en-AU"/>
        </w:rPr>
      </w:pPr>
      <w:r>
        <w:rPr>
          <w:noProof/>
          <w:color w:val="660066"/>
          <w:sz w:val="56"/>
          <w:szCs w:val="56"/>
          <w:lang w:val="en-AU" w:eastAsia="ko-KR"/>
        </w:rPr>
        <w:drawing>
          <wp:anchor distT="0" distB="0" distL="114300" distR="114300" simplePos="0" relativeHeight="251682816" behindDoc="1" locked="1" layoutInCell="1" allowOverlap="1" wp14:anchorId="7693598A" wp14:editId="1378091A">
            <wp:simplePos x="0" y="0"/>
            <wp:positionH relativeFrom="column">
              <wp:posOffset>-914400</wp:posOffset>
            </wp:positionH>
            <wp:positionV relativeFrom="page">
              <wp:posOffset>-46355</wp:posOffset>
            </wp:positionV>
            <wp:extent cx="7592060" cy="10738485"/>
            <wp:effectExtent l="0" t="0" r="2540"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8 GenericToolkit_4.jpg"/>
                    <pic:cNvPicPr/>
                  </pic:nvPicPr>
                  <pic:blipFill>
                    <a:blip r:embed="rId40">
                      <a:extLst>
                        <a:ext uri="{28A0092B-C50C-407E-A947-70E740481C1C}">
                          <a14:useLocalDpi xmlns:a14="http://schemas.microsoft.com/office/drawing/2010/main" val="0"/>
                        </a:ext>
                      </a:extLst>
                    </a:blip>
                    <a:stretch>
                      <a:fillRect/>
                    </a:stretch>
                  </pic:blipFill>
                  <pic:spPr>
                    <a:xfrm>
                      <a:off x="0" y="0"/>
                      <a:ext cx="7592060" cy="107384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68AE171" w14:textId="77777777" w:rsidR="00D629DB" w:rsidRDefault="00D629DB" w:rsidP="00D629DB">
      <w:pPr>
        <w:jc w:val="right"/>
        <w:rPr>
          <w:b/>
          <w:color w:val="660066"/>
          <w:sz w:val="36"/>
          <w:szCs w:val="36"/>
        </w:rPr>
      </w:pPr>
    </w:p>
    <w:p w14:paraId="58F7964C" w14:textId="77777777" w:rsidR="00D629DB" w:rsidRDefault="00D629DB" w:rsidP="00D629DB">
      <w:pPr>
        <w:jc w:val="right"/>
        <w:rPr>
          <w:b/>
          <w:color w:val="660066"/>
          <w:sz w:val="36"/>
          <w:szCs w:val="36"/>
        </w:rPr>
      </w:pPr>
    </w:p>
    <w:p w14:paraId="2D4DD12E" w14:textId="77777777" w:rsidR="00D629DB" w:rsidRDefault="00D629DB" w:rsidP="00D629DB">
      <w:pPr>
        <w:jc w:val="right"/>
        <w:rPr>
          <w:b/>
          <w:color w:val="660066"/>
          <w:sz w:val="36"/>
          <w:szCs w:val="36"/>
        </w:rPr>
      </w:pPr>
    </w:p>
    <w:p w14:paraId="1D5E96F2" w14:textId="77777777" w:rsidR="00D629DB" w:rsidRDefault="00D629DB" w:rsidP="00D629DB">
      <w:pPr>
        <w:jc w:val="right"/>
        <w:rPr>
          <w:b/>
          <w:color w:val="660066"/>
          <w:sz w:val="36"/>
          <w:szCs w:val="36"/>
        </w:rPr>
      </w:pPr>
    </w:p>
    <w:p w14:paraId="50D19575" w14:textId="77777777" w:rsidR="00D629DB" w:rsidRDefault="00D629DB" w:rsidP="00D629DB">
      <w:pPr>
        <w:jc w:val="right"/>
        <w:rPr>
          <w:b/>
          <w:color w:val="660066"/>
          <w:sz w:val="36"/>
          <w:szCs w:val="36"/>
        </w:rPr>
      </w:pPr>
    </w:p>
    <w:p w14:paraId="135F97A7" w14:textId="77777777" w:rsidR="00D629DB" w:rsidRDefault="00D629DB" w:rsidP="00D629DB">
      <w:pPr>
        <w:jc w:val="right"/>
        <w:rPr>
          <w:b/>
          <w:color w:val="660066"/>
          <w:sz w:val="36"/>
          <w:szCs w:val="36"/>
        </w:rPr>
      </w:pPr>
    </w:p>
    <w:p w14:paraId="55499598" w14:textId="77777777" w:rsidR="00D629DB" w:rsidRDefault="00D629DB" w:rsidP="00D629DB">
      <w:pPr>
        <w:jc w:val="right"/>
        <w:rPr>
          <w:b/>
          <w:color w:val="660066"/>
          <w:sz w:val="36"/>
          <w:szCs w:val="36"/>
        </w:rPr>
      </w:pPr>
    </w:p>
    <w:p w14:paraId="02FCBD57" w14:textId="77777777" w:rsidR="00D629DB" w:rsidRDefault="00D629DB" w:rsidP="00D629DB">
      <w:pPr>
        <w:jc w:val="right"/>
        <w:rPr>
          <w:b/>
          <w:color w:val="660066"/>
          <w:sz w:val="36"/>
          <w:szCs w:val="36"/>
        </w:rPr>
      </w:pPr>
    </w:p>
    <w:p w14:paraId="34F87345" w14:textId="77777777" w:rsidR="00D629DB" w:rsidRDefault="00D629DB" w:rsidP="00D629DB">
      <w:pPr>
        <w:jc w:val="right"/>
        <w:rPr>
          <w:b/>
          <w:color w:val="660066"/>
          <w:sz w:val="36"/>
          <w:szCs w:val="36"/>
        </w:rPr>
      </w:pPr>
    </w:p>
    <w:p w14:paraId="3A6AEE8B" w14:textId="77777777" w:rsidR="00D629DB" w:rsidRDefault="00D629DB" w:rsidP="00D629DB">
      <w:pPr>
        <w:jc w:val="right"/>
        <w:rPr>
          <w:b/>
          <w:color w:val="660066"/>
          <w:sz w:val="36"/>
          <w:szCs w:val="36"/>
        </w:rPr>
      </w:pPr>
    </w:p>
    <w:p w14:paraId="334E181F" w14:textId="77777777" w:rsidR="00D629DB" w:rsidRDefault="00D629DB" w:rsidP="00D629DB">
      <w:pPr>
        <w:jc w:val="right"/>
        <w:rPr>
          <w:b/>
          <w:color w:val="660066"/>
          <w:sz w:val="36"/>
          <w:szCs w:val="36"/>
        </w:rPr>
      </w:pPr>
    </w:p>
    <w:p w14:paraId="56003DFE" w14:textId="77777777" w:rsidR="00D629DB" w:rsidRDefault="00D629DB" w:rsidP="00D629DB">
      <w:pPr>
        <w:jc w:val="right"/>
        <w:rPr>
          <w:b/>
          <w:color w:val="660066"/>
          <w:sz w:val="36"/>
          <w:szCs w:val="36"/>
        </w:rPr>
      </w:pPr>
    </w:p>
    <w:p w14:paraId="62572638" w14:textId="77777777" w:rsidR="00D629DB" w:rsidRDefault="00D629DB" w:rsidP="00D629DB">
      <w:pPr>
        <w:jc w:val="right"/>
        <w:rPr>
          <w:b/>
          <w:color w:val="660066"/>
          <w:sz w:val="36"/>
          <w:szCs w:val="36"/>
        </w:rPr>
      </w:pPr>
    </w:p>
    <w:p w14:paraId="4462103B" w14:textId="77777777" w:rsidR="00D629DB" w:rsidRDefault="00D629DB" w:rsidP="00214B0D">
      <w:pPr>
        <w:jc w:val="right"/>
        <w:rPr>
          <w:b/>
          <w:color w:val="660066"/>
          <w:sz w:val="36"/>
          <w:szCs w:val="36"/>
        </w:rPr>
      </w:pPr>
    </w:p>
    <w:p w14:paraId="011571C4" w14:textId="77777777" w:rsidR="00214B0D" w:rsidRDefault="00214B0D" w:rsidP="00214B0D">
      <w:pPr>
        <w:jc w:val="right"/>
        <w:rPr>
          <w:b/>
          <w:color w:val="660066"/>
          <w:sz w:val="36"/>
          <w:szCs w:val="36"/>
        </w:rPr>
      </w:pPr>
      <w:r>
        <w:rPr>
          <w:noProof/>
          <w:lang w:val="en-AU" w:eastAsia="ko-KR"/>
        </w:rPr>
        <mc:AlternateContent>
          <mc:Choice Requires="wps">
            <w:drawing>
              <wp:anchor distT="0" distB="0" distL="114300" distR="114300" simplePos="0" relativeHeight="251667456" behindDoc="0" locked="0" layoutInCell="1" allowOverlap="1" wp14:anchorId="666CAD2D" wp14:editId="723C8590">
                <wp:simplePos x="0" y="0"/>
                <wp:positionH relativeFrom="column">
                  <wp:posOffset>1600200</wp:posOffset>
                </wp:positionH>
                <wp:positionV relativeFrom="paragraph">
                  <wp:posOffset>163830</wp:posOffset>
                </wp:positionV>
                <wp:extent cx="5829300" cy="571500"/>
                <wp:effectExtent l="0" t="0" r="38100" b="38100"/>
                <wp:wrapNone/>
                <wp:docPr id="9" name="Text Box 9"/>
                <wp:cNvGraphicFramePr/>
                <a:graphic xmlns:a="http://schemas.openxmlformats.org/drawingml/2006/main">
                  <a:graphicData uri="http://schemas.microsoft.com/office/word/2010/wordprocessingShape">
                    <wps:wsp>
                      <wps:cNvSpPr txBox="1"/>
                      <wps:spPr>
                        <a:xfrm>
                          <a:off x="0" y="0"/>
                          <a:ext cx="5829300" cy="571500"/>
                        </a:xfrm>
                        <a:prstGeom prst="rect">
                          <a:avLst/>
                        </a:prstGeom>
                        <a:noFill/>
                        <a:ln w="6350" cap="rnd">
                          <a:solidFill>
                            <a:srgbClr val="660066"/>
                          </a:solidFill>
                          <a:roun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7F9D7A" w14:textId="77777777" w:rsidR="00BD7507" w:rsidRPr="009A05A1" w:rsidRDefault="00BD7507" w:rsidP="00214B0D">
                            <w:pPr>
                              <w:pStyle w:val="Title"/>
                              <w:jc w:val="left"/>
                              <w:rPr>
                                <w:sz w:val="44"/>
                                <w:szCs w:val="44"/>
                              </w:rPr>
                            </w:pPr>
                            <w:r w:rsidRPr="009A05A1">
                              <w:rPr>
                                <w:sz w:val="44"/>
                                <w:szCs w:val="44"/>
                              </w:rPr>
                              <w:t>GENDER ANALYSIS TOOLKIT</w:t>
                            </w:r>
                          </w:p>
                          <w:p w14:paraId="35C92E28" w14:textId="77777777" w:rsidR="00BD7507" w:rsidRDefault="00BD7507" w:rsidP="00214B0D"/>
                        </w:txbxContent>
                      </wps:txbx>
                      <wps:bodyPr rot="0" spcFirstLastPara="0" vertOverflow="overflow" horzOverflow="overflow" vert="horz" wrap="square" lIns="180000" tIns="108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6CAD2D" id="Text Box 9" o:spid="_x0000_s1029" type="#_x0000_t202" style="position:absolute;left:0;text-align:left;margin-left:126pt;margin-top:12.9pt;width:459pt;height: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lA2wIAAPIFAAAOAAAAZHJzL2Uyb0RvYy54bWysVEtv2zAMvg/YfxB0T22nSZoEdQo3RYYB&#10;RVusHXpWZCkxJouapCTuhv33UbKdPrZLh+XgkNJHivz4OL9oakX2wroKdE6zk5QSoTmUld7k9OvD&#10;ajClxHmmS6ZAi5w+CUcvFh8/nB/MXAxhC6oUlqAT7eYHk9Ot92aeJI5vRc3cCRih8VKCrZlH1W6S&#10;0rIDeq9VMkzTSXIAWxoLXDiHp1ftJV1E/1IK7m+ldMITlVOMzcevjd91+CaLczbfWGa2Fe/CYP8Q&#10;Rc0qjY8eXV0xz8jOVn+4qituwYH0JxzqBKSsuIg5YDZZ+iab+y0zIuaC5DhzpMn9P7f8Zn9nSVXm&#10;dEaJZjWW6EE0nlxCQ2aBnYNxcwTdG4T5Bo+xyv25w8OQdCNtHf4xHYL3yPPTkdvgjOPheDqcnaZ4&#10;xfFufJaNUUb3ybO1sc5/ElCTIOTUYu0ipWx/7XwL7SHhMQ2rSqlYP6XJIaeT03Fwz7CLrC6jqQNV&#10;lQEWDJzdrJfKkj3DXphMsHkmXQSvYBZ2umyfUzrYidhGbQyoNR7FeI6ZxRL/XI7PhsXZeDaYFONs&#10;MMrS6aAo0uHgalWkRTpaLWejy1/dW719EohtCYySf1IieFX6i5BYkMhjDDuMgjgGzjgX2scSIHcR&#10;HVASk3yPYYePecT83mPcMoIW8WXQ/mhcVxpsS/3rsMtvfciyxWPpX+QdRN+sm9iJp31/raF8wraz&#10;0I6tM3xVYW9cM+fvmMU5xXrj7vG3+JEKsAegkyjZgv3xt/OAx/HBW0oOOPc5dd93zApK1GeNg5VN&#10;U/zhpmi1NKiU2KjNstEIlXVURlh0VPSuXgI2VIZ7zvAoBrxXvSgt1I+4pIrwLl4xzfH1nPpeXPp2&#10;H+GS46IoIgiXg2H+Wt8bHlwHnkPvPzSPzJpuQDy20g30O4LN38xJiw2WGoqdB1nFIQpMt7x2FcDF&#10;EsewW4Jhc73UI+p5VS9+AwAA//8DAFBLAwQUAAYACAAAACEAfOmzy90AAAALAQAADwAAAGRycy9k&#10;b3ducmV2LnhtbExPy07DMBC8I/EP1iJxo04j8VCIU6FKcKhaoRYQHJ14cSLidWS7Tfh7Nid6m50Z&#10;zc6Uq8n14oQhdp4ULBcZCKTGm46sgve355sHEDFpMrr3hAp+McKqurwodWH8SHs8HZIVHEKx0Ara&#10;lIZCyti06HRc+AGJtW8fnE58BitN0COHu17mWXYnne6IP7R6wHWLzc/h6BSE/efrh69342Zbd/Zl&#10;a3eb9ZdR6vpqenoEkXBK/2aY63N1qLhT7Y9kougV5Lc5b0kz4AmzYXmfMVPPiClZlfJ8Q/UHAAD/&#10;/wMAUEsBAi0AFAAGAAgAAAAhALaDOJL+AAAA4QEAABMAAAAAAAAAAAAAAAAAAAAAAFtDb250ZW50&#10;X1R5cGVzXS54bWxQSwECLQAUAAYACAAAACEAOP0h/9YAAACUAQAACwAAAAAAAAAAAAAAAAAvAQAA&#10;X3JlbHMvLnJlbHNQSwECLQAUAAYACAAAACEAjm5ZQNsCAADyBQAADgAAAAAAAAAAAAAAAAAuAgAA&#10;ZHJzL2Uyb0RvYy54bWxQSwECLQAUAAYACAAAACEAfOmzy90AAAALAQAADwAAAAAAAAAAAAAAAAA1&#10;BQAAZHJzL2Rvd25yZXYueG1sUEsFBgAAAAAEAAQA8wAAAD8GAAAAAA==&#10;" filled="f" strokecolor="#606" strokeweight=".5pt">
                <v:stroke joinstyle="round" endcap="round"/>
                <v:textbox inset="5mm,3mm">
                  <w:txbxContent>
                    <w:p w14:paraId="377F9D7A" w14:textId="77777777" w:rsidR="00BD7507" w:rsidRPr="009A05A1" w:rsidRDefault="00BD7507" w:rsidP="00214B0D">
                      <w:pPr>
                        <w:pStyle w:val="Title"/>
                        <w:jc w:val="left"/>
                        <w:rPr>
                          <w:sz w:val="44"/>
                          <w:szCs w:val="44"/>
                        </w:rPr>
                      </w:pPr>
                      <w:r w:rsidRPr="009A05A1">
                        <w:rPr>
                          <w:sz w:val="44"/>
                          <w:szCs w:val="44"/>
                        </w:rPr>
                        <w:t>GENDER ANALYSIS TOOLKIT</w:t>
                      </w:r>
                    </w:p>
                    <w:p w14:paraId="35C92E28" w14:textId="77777777" w:rsidR="00BD7507" w:rsidRDefault="00BD7507" w:rsidP="00214B0D"/>
                  </w:txbxContent>
                </v:textbox>
              </v:shape>
            </w:pict>
          </mc:Fallback>
        </mc:AlternateContent>
      </w:r>
    </w:p>
    <w:p w14:paraId="2EBA26E0" w14:textId="77777777" w:rsidR="00214B0D" w:rsidRDefault="00214B0D" w:rsidP="00214B0D">
      <w:pPr>
        <w:jc w:val="right"/>
        <w:rPr>
          <w:b/>
          <w:color w:val="660066"/>
          <w:sz w:val="36"/>
          <w:szCs w:val="36"/>
        </w:rPr>
      </w:pPr>
    </w:p>
    <w:p w14:paraId="36721B78" w14:textId="77777777" w:rsidR="00214B0D" w:rsidRDefault="00214B0D" w:rsidP="00214B0D">
      <w:pPr>
        <w:jc w:val="right"/>
        <w:rPr>
          <w:b/>
          <w:color w:val="660066"/>
          <w:sz w:val="36"/>
          <w:szCs w:val="36"/>
        </w:rPr>
      </w:pPr>
    </w:p>
    <w:p w14:paraId="5294A37F" w14:textId="77777777" w:rsidR="00214B0D" w:rsidRDefault="00214B0D" w:rsidP="00214B0D">
      <w:pPr>
        <w:spacing w:after="0" w:line="240" w:lineRule="auto"/>
        <w:jc w:val="right"/>
        <w:rPr>
          <w:b/>
          <w:color w:val="660066"/>
          <w:sz w:val="36"/>
          <w:szCs w:val="36"/>
        </w:rPr>
      </w:pPr>
      <w:r w:rsidRPr="000B22AB">
        <w:rPr>
          <w:b/>
          <w:color w:val="660066"/>
          <w:sz w:val="36"/>
          <w:szCs w:val="36"/>
        </w:rPr>
        <w:t xml:space="preserve">Section </w:t>
      </w:r>
      <w:r>
        <w:rPr>
          <w:b/>
          <w:color w:val="660066"/>
          <w:sz w:val="36"/>
          <w:szCs w:val="36"/>
        </w:rPr>
        <w:t>3</w:t>
      </w:r>
      <w:r w:rsidRPr="00250BFF">
        <w:rPr>
          <w:b/>
          <w:color w:val="FFFFFF" w:themeColor="background1"/>
          <w:sz w:val="36"/>
          <w:szCs w:val="36"/>
        </w:rPr>
        <w:t>1</w:t>
      </w:r>
    </w:p>
    <w:p w14:paraId="2B5119A7" w14:textId="77777777" w:rsidR="00214B0D" w:rsidRPr="000B22AB" w:rsidRDefault="00214B0D" w:rsidP="00214B0D">
      <w:pPr>
        <w:spacing w:after="0" w:line="240" w:lineRule="auto"/>
        <w:jc w:val="right"/>
        <w:rPr>
          <w:b/>
          <w:color w:val="660066"/>
          <w:sz w:val="36"/>
          <w:szCs w:val="36"/>
        </w:rPr>
      </w:pPr>
      <w:r>
        <w:rPr>
          <w:b/>
          <w:color w:val="660066"/>
          <w:sz w:val="36"/>
          <w:szCs w:val="36"/>
        </w:rPr>
        <w:t xml:space="preserve"> </w:t>
      </w:r>
    </w:p>
    <w:p w14:paraId="6151DF54" w14:textId="56E4614A" w:rsidR="00214B0D" w:rsidRPr="00214B0D" w:rsidRDefault="00214B0D" w:rsidP="00214B0D">
      <w:pPr>
        <w:pStyle w:val="Title"/>
        <w:rPr>
          <w:rFonts w:ascii="Times New Roman" w:hAnsi="Times New Roman"/>
          <w:lang w:val="en-AU"/>
        </w:rPr>
      </w:pPr>
      <w:r w:rsidRPr="00214B0D">
        <w:rPr>
          <w:lang w:val="en-AU"/>
        </w:rPr>
        <w:t xml:space="preserve">How </w:t>
      </w:r>
      <w:r w:rsidR="008F76A5">
        <w:rPr>
          <w:lang w:val="en-AU"/>
        </w:rPr>
        <w:t>do I</w:t>
      </w:r>
      <w:r w:rsidRPr="00214B0D">
        <w:rPr>
          <w:lang w:val="en-AU"/>
        </w:rPr>
        <w:t xml:space="preserve"> carry out gender analysis</w:t>
      </w:r>
      <w:r w:rsidR="008F76A5">
        <w:rPr>
          <w:lang w:val="en-AU"/>
        </w:rPr>
        <w:t>?</w:t>
      </w:r>
    </w:p>
    <w:p w14:paraId="1CF1742E" w14:textId="77777777" w:rsidR="00214B0D" w:rsidRDefault="00214B0D" w:rsidP="00214B0D">
      <w:pPr>
        <w:pStyle w:val="Title"/>
        <w:rPr>
          <w:lang w:val="en-AU"/>
        </w:rPr>
      </w:pPr>
    </w:p>
    <w:p w14:paraId="23EEB410" w14:textId="77777777" w:rsidR="001801FF" w:rsidRDefault="00214B0D">
      <w:pPr>
        <w:spacing w:after="0" w:line="240" w:lineRule="auto"/>
        <w:jc w:val="left"/>
        <w:rPr>
          <w:lang w:val="en-AU"/>
        </w:rPr>
      </w:pPr>
      <w:r>
        <w:rPr>
          <w:lang w:val="en-AU"/>
        </w:rPr>
        <w:br w:type="page"/>
      </w:r>
    </w:p>
    <w:p w14:paraId="7D281049" w14:textId="16F46D96" w:rsidR="001801FF" w:rsidRPr="00A33FFF" w:rsidRDefault="001801FF" w:rsidP="00586BC4">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240" w:line="240" w:lineRule="auto"/>
        <w:jc w:val="left"/>
        <w:rPr>
          <w:rFonts w:eastAsia="Malgun Gothic" w:cs="Arial"/>
          <w:color w:val="385623"/>
          <w:szCs w:val="22"/>
          <w:lang w:val="en-AU" w:eastAsia="ko-KR"/>
        </w:rPr>
      </w:pPr>
      <w:r>
        <w:rPr>
          <w:rFonts w:ascii="Calibri" w:eastAsia="Malgun Gothic" w:hAnsi="Calibri" w:cs="Times New Roman"/>
          <w:b/>
          <w:color w:val="385623"/>
          <w:sz w:val="36"/>
          <w:szCs w:val="36"/>
          <w:lang w:val="en-AU" w:eastAsia="ko-KR"/>
        </w:rPr>
        <w:lastRenderedPageBreak/>
        <w:t xml:space="preserve">GENDER ANALYSIS CHECKLIST                                    </w:t>
      </w:r>
      <w:r>
        <w:rPr>
          <w:rFonts w:ascii="Calibri" w:eastAsia="Malgun Gothic" w:hAnsi="Calibri" w:cs="Times New Roman"/>
          <w:b/>
          <w:noProof/>
          <w:color w:val="385623"/>
          <w:sz w:val="40"/>
          <w:szCs w:val="40"/>
          <w:lang w:val="en-AU" w:eastAsia="ko-KR"/>
        </w:rPr>
        <w:t xml:space="preserve">   </w:t>
      </w:r>
      <w:r>
        <w:rPr>
          <w:rFonts w:ascii="Calibri" w:eastAsia="Malgun Gothic" w:hAnsi="Calibri" w:cs="Times New Roman"/>
          <w:b/>
          <w:noProof/>
          <w:color w:val="385623"/>
          <w:sz w:val="40"/>
          <w:szCs w:val="40"/>
          <w:lang w:val="en-AU" w:eastAsia="ko-KR"/>
        </w:rPr>
        <w:drawing>
          <wp:inline distT="0" distB="0" distL="0" distR="0" wp14:anchorId="49EFFD3F" wp14:editId="16D32B69">
            <wp:extent cx="871855" cy="871855"/>
            <wp:effectExtent l="0" t="0" r="4445" b="444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pic:spPr>
                </pic:pic>
              </a:graphicData>
            </a:graphic>
          </wp:inline>
        </w:drawing>
      </w:r>
    </w:p>
    <w:p w14:paraId="7F388CE9" w14:textId="77777777" w:rsidR="001801FF" w:rsidRPr="001801FF" w:rsidRDefault="001801FF" w:rsidP="001801FF">
      <w:pPr>
        <w:spacing w:before="100" w:beforeAutospacing="1" w:after="100" w:afterAutospacing="1" w:line="240" w:lineRule="auto"/>
        <w:jc w:val="left"/>
        <w:rPr>
          <w:rFonts w:ascii="Calibri" w:eastAsia="Malgun Gothic" w:hAnsi="Calibri" w:cs="Times New Roman"/>
          <w:bCs/>
          <w:szCs w:val="22"/>
          <w:lang w:val="en-AU" w:eastAsia="ko-KR"/>
        </w:rPr>
      </w:pPr>
      <w:r w:rsidRPr="001801FF">
        <w:rPr>
          <w:rFonts w:ascii="Calibri" w:eastAsia="Malgun Gothic" w:hAnsi="Calibri" w:cs="Times New Roman"/>
          <w:bCs/>
          <w:szCs w:val="22"/>
          <w:lang w:val="en-AU" w:eastAsia="ko-KR"/>
        </w:rPr>
        <w:t>This self-checklist provides you with the key element for developing gender-aware policy, programs or services. You may find the checklist particularly useful when initiating a policy, program, service or other initiative.</w:t>
      </w:r>
    </w:p>
    <w:tbl>
      <w:tblPr>
        <w:tblStyle w:val="TableGrid2"/>
        <w:tblW w:w="0" w:type="auto"/>
        <w:tblBorders>
          <w:top w:val="single" w:sz="2" w:space="0" w:color="5A5098"/>
          <w:left w:val="single" w:sz="2" w:space="0" w:color="5A5098"/>
          <w:bottom w:val="single" w:sz="2" w:space="0" w:color="5A5098"/>
          <w:right w:val="single" w:sz="2" w:space="0" w:color="5A5098"/>
          <w:insideH w:val="single" w:sz="2" w:space="0" w:color="5A5098"/>
          <w:insideV w:val="single" w:sz="2" w:space="0" w:color="5A5098"/>
        </w:tblBorders>
        <w:tblLook w:val="04A0" w:firstRow="1" w:lastRow="0" w:firstColumn="1" w:lastColumn="0" w:noHBand="0" w:noVBand="1"/>
      </w:tblPr>
      <w:tblGrid>
        <w:gridCol w:w="846"/>
        <w:gridCol w:w="8168"/>
      </w:tblGrid>
      <w:tr w:rsidR="001801FF" w:rsidRPr="001801FF" w14:paraId="44C1BA79" w14:textId="77777777" w:rsidTr="00AE379E">
        <w:tc>
          <w:tcPr>
            <w:tcW w:w="846" w:type="dxa"/>
          </w:tcPr>
          <w:p w14:paraId="3782BA2F" w14:textId="77777777" w:rsidR="001801FF" w:rsidRPr="001801FF" w:rsidRDefault="001801FF" w:rsidP="001801FF">
            <w:pPr>
              <w:spacing w:after="200" w:line="240" w:lineRule="auto"/>
              <w:jc w:val="left"/>
              <w:rPr>
                <w:rFonts w:ascii="Calibri" w:eastAsia="Malgun Gothic" w:hAnsi="Calibri" w:cs="Times New Roman"/>
                <w:bCs/>
              </w:rPr>
            </w:pPr>
          </w:p>
        </w:tc>
        <w:tc>
          <w:tcPr>
            <w:tcW w:w="8170" w:type="dxa"/>
            <w:vAlign w:val="center"/>
          </w:tcPr>
          <w:p w14:paraId="2D2D7A83" w14:textId="77777777" w:rsidR="001801FF" w:rsidRPr="001801FF" w:rsidRDefault="001801FF" w:rsidP="001801FF">
            <w:pPr>
              <w:spacing w:before="120" w:after="240" w:line="240" w:lineRule="auto"/>
              <w:jc w:val="left"/>
              <w:rPr>
                <w:rFonts w:ascii="Calibri" w:eastAsia="Malgun Gothic" w:hAnsi="Calibri" w:cs="Times New Roman"/>
                <w:bCs/>
              </w:rPr>
            </w:pPr>
            <w:r w:rsidRPr="001801FF">
              <w:rPr>
                <w:rFonts w:ascii="Calibri" w:eastAsia="Malgun Gothic" w:hAnsi="Calibri" w:cs="Times New Roman"/>
                <w:bCs/>
              </w:rPr>
              <w:t>Will the policy, program or service affect the daily life of part/s of the population?</w:t>
            </w:r>
          </w:p>
        </w:tc>
      </w:tr>
      <w:tr w:rsidR="001801FF" w:rsidRPr="001801FF" w14:paraId="4DB2EB73" w14:textId="77777777" w:rsidTr="00AE379E">
        <w:tc>
          <w:tcPr>
            <w:tcW w:w="846" w:type="dxa"/>
          </w:tcPr>
          <w:p w14:paraId="571B875A" w14:textId="77777777" w:rsidR="001801FF" w:rsidRPr="001801FF" w:rsidRDefault="001801FF" w:rsidP="001801FF">
            <w:pPr>
              <w:spacing w:after="200" w:line="240" w:lineRule="auto"/>
              <w:jc w:val="left"/>
              <w:rPr>
                <w:rFonts w:ascii="Calibri" w:eastAsia="Malgun Gothic" w:hAnsi="Calibri" w:cs="Times New Roman"/>
                <w:bCs/>
              </w:rPr>
            </w:pPr>
          </w:p>
        </w:tc>
        <w:tc>
          <w:tcPr>
            <w:tcW w:w="8170" w:type="dxa"/>
            <w:vAlign w:val="center"/>
          </w:tcPr>
          <w:p w14:paraId="562467E7" w14:textId="77777777" w:rsidR="001801FF" w:rsidRPr="001801FF" w:rsidRDefault="001801FF" w:rsidP="001801FF">
            <w:pPr>
              <w:spacing w:before="120" w:after="240" w:line="240" w:lineRule="auto"/>
              <w:jc w:val="left"/>
              <w:rPr>
                <w:rFonts w:ascii="Calibri" w:eastAsia="Malgun Gothic" w:hAnsi="Calibri" w:cs="Times New Roman"/>
                <w:bCs/>
              </w:rPr>
            </w:pPr>
            <w:r w:rsidRPr="001801FF">
              <w:rPr>
                <w:rFonts w:ascii="Calibri" w:eastAsia="Malgun Gothic" w:hAnsi="Calibri" w:cs="Times New Roman"/>
                <w:bCs/>
              </w:rPr>
              <w:t>Do the issues being addressed in this policy, program, or service affect a particular group?</w:t>
            </w:r>
          </w:p>
        </w:tc>
      </w:tr>
      <w:tr w:rsidR="001801FF" w:rsidRPr="001801FF" w14:paraId="184D90EA" w14:textId="77777777" w:rsidTr="00AE379E">
        <w:tc>
          <w:tcPr>
            <w:tcW w:w="846" w:type="dxa"/>
          </w:tcPr>
          <w:p w14:paraId="63FF6F25" w14:textId="77777777" w:rsidR="001801FF" w:rsidRPr="001801FF" w:rsidRDefault="001801FF" w:rsidP="001801FF">
            <w:pPr>
              <w:spacing w:after="200" w:line="240" w:lineRule="auto"/>
              <w:jc w:val="left"/>
              <w:rPr>
                <w:rFonts w:ascii="Calibri" w:eastAsia="Malgun Gothic" w:hAnsi="Calibri" w:cs="Times New Roman"/>
              </w:rPr>
            </w:pPr>
          </w:p>
        </w:tc>
        <w:tc>
          <w:tcPr>
            <w:tcW w:w="8170" w:type="dxa"/>
            <w:vAlign w:val="center"/>
          </w:tcPr>
          <w:p w14:paraId="5957CC83" w14:textId="77777777" w:rsidR="001801FF" w:rsidRPr="001801FF" w:rsidRDefault="001801FF" w:rsidP="001801FF">
            <w:pPr>
              <w:spacing w:before="120" w:after="240" w:line="240" w:lineRule="auto"/>
              <w:jc w:val="left"/>
              <w:rPr>
                <w:rFonts w:ascii="Calibri" w:eastAsia="Malgun Gothic" w:hAnsi="Calibri" w:cs="Times New Roman"/>
                <w:bCs/>
              </w:rPr>
            </w:pPr>
            <w:r w:rsidRPr="001801FF">
              <w:rPr>
                <w:rFonts w:ascii="Calibri" w:eastAsia="Malgun Gothic" w:hAnsi="Calibri" w:cs="Times New Roman"/>
                <w:bCs/>
              </w:rPr>
              <w:t>If yes, which group/s of affected, and how are they affected?</w:t>
            </w:r>
          </w:p>
        </w:tc>
      </w:tr>
      <w:tr w:rsidR="001801FF" w:rsidRPr="001801FF" w14:paraId="46B9DF42" w14:textId="77777777" w:rsidTr="00AE379E">
        <w:tc>
          <w:tcPr>
            <w:tcW w:w="846" w:type="dxa"/>
          </w:tcPr>
          <w:p w14:paraId="72BD13E2" w14:textId="77777777" w:rsidR="001801FF" w:rsidRPr="001801FF" w:rsidRDefault="001801FF" w:rsidP="001801FF">
            <w:pPr>
              <w:spacing w:after="200" w:line="240" w:lineRule="auto"/>
              <w:jc w:val="left"/>
              <w:rPr>
                <w:rFonts w:ascii="Calibri" w:eastAsia="Malgun Gothic" w:hAnsi="Calibri" w:cs="Times New Roman"/>
              </w:rPr>
            </w:pPr>
          </w:p>
        </w:tc>
        <w:tc>
          <w:tcPr>
            <w:tcW w:w="8170" w:type="dxa"/>
            <w:vAlign w:val="center"/>
          </w:tcPr>
          <w:p w14:paraId="5AB0ABC1" w14:textId="77777777" w:rsidR="001801FF" w:rsidRPr="001801FF" w:rsidRDefault="001801FF" w:rsidP="001801FF">
            <w:pPr>
              <w:spacing w:before="120" w:after="240" w:line="240" w:lineRule="auto"/>
              <w:jc w:val="left"/>
              <w:rPr>
                <w:rFonts w:ascii="Calibri" w:eastAsia="Malgun Gothic" w:hAnsi="Calibri" w:cs="Times New Roman"/>
                <w:bCs/>
              </w:rPr>
            </w:pPr>
            <w:r w:rsidRPr="001801FF">
              <w:rPr>
                <w:rFonts w:ascii="Calibri" w:eastAsia="Malgun Gothic" w:hAnsi="Calibri" w:cs="Times New Roman"/>
                <w:bCs/>
              </w:rPr>
              <w:t>How will the affected group engage in the development of this policy, program, or service – as customers or as stakeholders?</w:t>
            </w:r>
          </w:p>
        </w:tc>
      </w:tr>
      <w:tr w:rsidR="001801FF" w:rsidRPr="001801FF" w14:paraId="1D2184F5" w14:textId="77777777" w:rsidTr="00AE379E">
        <w:tc>
          <w:tcPr>
            <w:tcW w:w="846" w:type="dxa"/>
          </w:tcPr>
          <w:p w14:paraId="63B6C024" w14:textId="77777777" w:rsidR="001801FF" w:rsidRPr="001801FF" w:rsidRDefault="001801FF" w:rsidP="001801FF">
            <w:pPr>
              <w:spacing w:after="200" w:line="240" w:lineRule="auto"/>
              <w:jc w:val="left"/>
              <w:rPr>
                <w:rFonts w:ascii="Calibri" w:eastAsia="Malgun Gothic" w:hAnsi="Calibri" w:cs="Times New Roman"/>
              </w:rPr>
            </w:pPr>
          </w:p>
        </w:tc>
        <w:tc>
          <w:tcPr>
            <w:tcW w:w="8170" w:type="dxa"/>
            <w:vAlign w:val="center"/>
          </w:tcPr>
          <w:p w14:paraId="74F604C2" w14:textId="77777777" w:rsidR="001801FF" w:rsidRPr="001801FF" w:rsidRDefault="001801FF" w:rsidP="001801FF">
            <w:pPr>
              <w:spacing w:before="120" w:after="240" w:line="240" w:lineRule="auto"/>
              <w:jc w:val="left"/>
              <w:rPr>
                <w:rFonts w:ascii="Calibri" w:eastAsia="Malgun Gothic" w:hAnsi="Calibri" w:cs="Times New Roman"/>
                <w:bCs/>
              </w:rPr>
            </w:pPr>
            <w:r w:rsidRPr="001801FF">
              <w:rPr>
                <w:rFonts w:ascii="Calibri" w:eastAsia="Malgun Gothic" w:hAnsi="Calibri" w:cs="Times New Roman"/>
                <w:bCs/>
              </w:rPr>
              <w:t>Do you have sex-disaggregated data on this issue which highlight related gender issues?</w:t>
            </w:r>
          </w:p>
        </w:tc>
      </w:tr>
      <w:tr w:rsidR="001801FF" w:rsidRPr="001801FF" w14:paraId="769B9855" w14:textId="77777777" w:rsidTr="00AE379E">
        <w:tc>
          <w:tcPr>
            <w:tcW w:w="846" w:type="dxa"/>
          </w:tcPr>
          <w:p w14:paraId="29F675DC" w14:textId="77777777" w:rsidR="001801FF" w:rsidRPr="001801FF" w:rsidRDefault="001801FF" w:rsidP="001801FF">
            <w:pPr>
              <w:spacing w:after="200" w:line="240" w:lineRule="auto"/>
              <w:jc w:val="left"/>
              <w:rPr>
                <w:rFonts w:ascii="Calibri" w:eastAsia="Malgun Gothic" w:hAnsi="Calibri" w:cs="Times New Roman"/>
              </w:rPr>
            </w:pPr>
          </w:p>
        </w:tc>
        <w:tc>
          <w:tcPr>
            <w:tcW w:w="8170" w:type="dxa"/>
            <w:vAlign w:val="center"/>
          </w:tcPr>
          <w:p w14:paraId="6F143E01" w14:textId="77777777" w:rsidR="001801FF" w:rsidRPr="001801FF" w:rsidRDefault="001801FF" w:rsidP="001801FF">
            <w:pPr>
              <w:spacing w:before="120" w:after="240" w:line="240" w:lineRule="auto"/>
              <w:jc w:val="left"/>
              <w:rPr>
                <w:rFonts w:ascii="Calibri" w:eastAsia="Malgun Gothic" w:hAnsi="Calibri" w:cs="Times New Roman"/>
                <w:bCs/>
              </w:rPr>
            </w:pPr>
            <w:r w:rsidRPr="001801FF">
              <w:rPr>
                <w:rFonts w:ascii="Calibri" w:eastAsia="Malgun Gothic" w:hAnsi="Calibri" w:cs="Times New Roman"/>
                <w:bCs/>
              </w:rPr>
              <w:t>Does the proposed policy, program, or service support gender equity?</w:t>
            </w:r>
          </w:p>
        </w:tc>
      </w:tr>
      <w:tr w:rsidR="001801FF" w:rsidRPr="001801FF" w14:paraId="41589572" w14:textId="77777777" w:rsidTr="00AE379E">
        <w:tc>
          <w:tcPr>
            <w:tcW w:w="846" w:type="dxa"/>
          </w:tcPr>
          <w:p w14:paraId="4A2FEB57" w14:textId="77777777" w:rsidR="001801FF" w:rsidRPr="001801FF" w:rsidRDefault="001801FF" w:rsidP="001801FF">
            <w:pPr>
              <w:spacing w:after="200" w:line="240" w:lineRule="auto"/>
              <w:jc w:val="left"/>
              <w:rPr>
                <w:rFonts w:ascii="Calibri" w:eastAsia="Malgun Gothic" w:hAnsi="Calibri" w:cs="Times New Roman"/>
              </w:rPr>
            </w:pPr>
          </w:p>
        </w:tc>
        <w:tc>
          <w:tcPr>
            <w:tcW w:w="8170" w:type="dxa"/>
            <w:vAlign w:val="center"/>
          </w:tcPr>
          <w:p w14:paraId="2B644931" w14:textId="77777777" w:rsidR="001801FF" w:rsidRPr="001801FF" w:rsidRDefault="001801FF" w:rsidP="001801FF">
            <w:pPr>
              <w:spacing w:before="120" w:after="240" w:line="240" w:lineRule="auto"/>
              <w:jc w:val="left"/>
              <w:rPr>
                <w:rFonts w:ascii="Calibri" w:eastAsia="Malgun Gothic" w:hAnsi="Calibri" w:cs="Times New Roman"/>
                <w:bCs/>
              </w:rPr>
            </w:pPr>
            <w:r w:rsidRPr="001801FF">
              <w:rPr>
                <w:rFonts w:ascii="Calibri" w:eastAsia="Malgun Gothic" w:hAnsi="Calibri" w:cs="Times New Roman"/>
                <w:bCs/>
              </w:rPr>
              <w:t xml:space="preserve">Who might not be included in this policy, program, or service? </w:t>
            </w:r>
          </w:p>
        </w:tc>
      </w:tr>
      <w:tr w:rsidR="001801FF" w:rsidRPr="001801FF" w14:paraId="6FB62320" w14:textId="77777777" w:rsidTr="00AE379E">
        <w:tc>
          <w:tcPr>
            <w:tcW w:w="846" w:type="dxa"/>
          </w:tcPr>
          <w:p w14:paraId="7E6A1C8A" w14:textId="77777777" w:rsidR="001801FF" w:rsidRPr="001801FF" w:rsidRDefault="001801FF" w:rsidP="001801FF">
            <w:pPr>
              <w:spacing w:after="200" w:line="240" w:lineRule="auto"/>
              <w:jc w:val="left"/>
              <w:rPr>
                <w:rFonts w:ascii="Calibri" w:eastAsia="Malgun Gothic" w:hAnsi="Calibri" w:cs="Times New Roman"/>
              </w:rPr>
            </w:pPr>
          </w:p>
        </w:tc>
        <w:tc>
          <w:tcPr>
            <w:tcW w:w="8170" w:type="dxa"/>
            <w:vAlign w:val="center"/>
          </w:tcPr>
          <w:p w14:paraId="47D5CA13" w14:textId="77777777" w:rsidR="001801FF" w:rsidRPr="001801FF" w:rsidRDefault="001801FF" w:rsidP="001801FF">
            <w:pPr>
              <w:spacing w:before="120" w:after="240" w:line="240" w:lineRule="auto"/>
              <w:jc w:val="left"/>
              <w:rPr>
                <w:rFonts w:ascii="Calibri" w:eastAsia="Malgun Gothic" w:hAnsi="Calibri" w:cs="Times New Roman"/>
                <w:bCs/>
              </w:rPr>
            </w:pPr>
            <w:r w:rsidRPr="001801FF">
              <w:rPr>
                <w:rFonts w:ascii="Calibri" w:eastAsia="Malgun Gothic" w:hAnsi="Calibri" w:cs="Times New Roman"/>
                <w:bCs/>
              </w:rPr>
              <w:t xml:space="preserve">Is there value in linking with other government departments or agencies on this issue or opportunity? </w:t>
            </w:r>
          </w:p>
        </w:tc>
      </w:tr>
      <w:tr w:rsidR="001801FF" w:rsidRPr="001801FF" w14:paraId="3ECBF9FC" w14:textId="77777777" w:rsidTr="00AE379E">
        <w:tc>
          <w:tcPr>
            <w:tcW w:w="846" w:type="dxa"/>
          </w:tcPr>
          <w:p w14:paraId="396E75DE" w14:textId="77777777" w:rsidR="001801FF" w:rsidRPr="001801FF" w:rsidRDefault="001801FF" w:rsidP="001801FF">
            <w:pPr>
              <w:spacing w:after="200" w:line="240" w:lineRule="auto"/>
              <w:jc w:val="left"/>
              <w:rPr>
                <w:rFonts w:ascii="Calibri" w:eastAsia="Malgun Gothic" w:hAnsi="Calibri" w:cs="Times New Roman"/>
              </w:rPr>
            </w:pPr>
          </w:p>
        </w:tc>
        <w:tc>
          <w:tcPr>
            <w:tcW w:w="8170" w:type="dxa"/>
            <w:vAlign w:val="center"/>
          </w:tcPr>
          <w:p w14:paraId="5DAC8736" w14:textId="77777777" w:rsidR="001801FF" w:rsidRPr="001801FF" w:rsidRDefault="001801FF" w:rsidP="001801FF">
            <w:pPr>
              <w:spacing w:before="120" w:after="240" w:line="240" w:lineRule="auto"/>
              <w:jc w:val="left"/>
              <w:rPr>
                <w:rFonts w:ascii="Calibri" w:eastAsia="Malgun Gothic" w:hAnsi="Calibri" w:cs="Times New Roman"/>
                <w:bCs/>
              </w:rPr>
            </w:pPr>
            <w:r w:rsidRPr="001801FF">
              <w:rPr>
                <w:rFonts w:ascii="Calibri" w:eastAsia="Malgun Gothic" w:hAnsi="Calibri" w:cs="Times New Roman"/>
                <w:bCs/>
              </w:rPr>
              <w:t>Will your monitoring and evaluation methods include the engagement of diverse groups of all genders?</w:t>
            </w:r>
          </w:p>
        </w:tc>
      </w:tr>
      <w:tr w:rsidR="001801FF" w:rsidRPr="001801FF" w14:paraId="10FD3B32" w14:textId="77777777" w:rsidTr="00AE379E">
        <w:tc>
          <w:tcPr>
            <w:tcW w:w="846" w:type="dxa"/>
          </w:tcPr>
          <w:p w14:paraId="32420A72" w14:textId="77777777" w:rsidR="001801FF" w:rsidRPr="001801FF" w:rsidRDefault="001801FF" w:rsidP="001801FF">
            <w:pPr>
              <w:spacing w:after="200" w:line="240" w:lineRule="auto"/>
              <w:jc w:val="left"/>
              <w:rPr>
                <w:rFonts w:ascii="Calibri" w:eastAsia="Malgun Gothic" w:hAnsi="Calibri" w:cs="Times New Roman"/>
              </w:rPr>
            </w:pPr>
          </w:p>
        </w:tc>
        <w:tc>
          <w:tcPr>
            <w:tcW w:w="8170" w:type="dxa"/>
            <w:vAlign w:val="center"/>
          </w:tcPr>
          <w:p w14:paraId="2A977F59" w14:textId="77777777" w:rsidR="001801FF" w:rsidRPr="001801FF" w:rsidRDefault="001801FF" w:rsidP="001801FF">
            <w:pPr>
              <w:spacing w:before="120" w:after="240" w:line="240" w:lineRule="auto"/>
              <w:jc w:val="left"/>
              <w:rPr>
                <w:rFonts w:ascii="Calibri" w:eastAsia="Malgun Gothic" w:hAnsi="Calibri" w:cs="Times New Roman"/>
                <w:bCs/>
              </w:rPr>
            </w:pPr>
            <w:r w:rsidRPr="001801FF">
              <w:rPr>
                <w:rFonts w:ascii="Calibri" w:eastAsia="Malgun Gothic" w:hAnsi="Calibri" w:cs="Times New Roman"/>
                <w:bCs/>
              </w:rPr>
              <w:t>Do you have staff who have had training in gender awareness and gender analysis?</w:t>
            </w:r>
          </w:p>
        </w:tc>
      </w:tr>
      <w:tr w:rsidR="001801FF" w:rsidRPr="001801FF" w14:paraId="11F9FA94" w14:textId="77777777" w:rsidTr="00AE379E">
        <w:tc>
          <w:tcPr>
            <w:tcW w:w="846" w:type="dxa"/>
          </w:tcPr>
          <w:p w14:paraId="5DD4BA0A" w14:textId="77777777" w:rsidR="001801FF" w:rsidRPr="001801FF" w:rsidRDefault="001801FF" w:rsidP="001801FF">
            <w:pPr>
              <w:spacing w:after="200" w:line="240" w:lineRule="auto"/>
              <w:jc w:val="left"/>
              <w:rPr>
                <w:rFonts w:ascii="Calibri" w:eastAsia="Malgun Gothic" w:hAnsi="Calibri" w:cs="Times New Roman"/>
              </w:rPr>
            </w:pPr>
          </w:p>
        </w:tc>
        <w:tc>
          <w:tcPr>
            <w:tcW w:w="8170" w:type="dxa"/>
            <w:vAlign w:val="center"/>
          </w:tcPr>
          <w:p w14:paraId="44F1F969" w14:textId="77777777" w:rsidR="001801FF" w:rsidRPr="001801FF" w:rsidRDefault="001801FF" w:rsidP="001801FF">
            <w:pPr>
              <w:spacing w:before="120" w:after="240" w:line="240" w:lineRule="auto"/>
              <w:jc w:val="left"/>
              <w:rPr>
                <w:rFonts w:ascii="Calibri" w:eastAsia="Malgun Gothic" w:hAnsi="Calibri" w:cs="Times New Roman"/>
                <w:bCs/>
              </w:rPr>
            </w:pPr>
            <w:r w:rsidRPr="001801FF">
              <w:rPr>
                <w:rFonts w:ascii="Calibri" w:eastAsia="Malgun Gothic" w:hAnsi="Calibri" w:cs="Times New Roman"/>
                <w:bCs/>
              </w:rPr>
              <w:t>How do you plan to communicate the policy, program, or service in ways that respect and include diverse groups of people of all genders?</w:t>
            </w:r>
          </w:p>
        </w:tc>
      </w:tr>
      <w:tr w:rsidR="001801FF" w:rsidRPr="001801FF" w14:paraId="140FB61F" w14:textId="77777777" w:rsidTr="00AE379E">
        <w:tc>
          <w:tcPr>
            <w:tcW w:w="846" w:type="dxa"/>
          </w:tcPr>
          <w:p w14:paraId="3E0EB38B" w14:textId="77777777" w:rsidR="001801FF" w:rsidRPr="001801FF" w:rsidRDefault="001801FF" w:rsidP="001801FF">
            <w:pPr>
              <w:spacing w:after="200" w:line="240" w:lineRule="auto"/>
              <w:jc w:val="left"/>
              <w:rPr>
                <w:rFonts w:ascii="Calibri" w:eastAsia="Malgun Gothic" w:hAnsi="Calibri" w:cs="Times New Roman"/>
              </w:rPr>
            </w:pPr>
          </w:p>
        </w:tc>
        <w:tc>
          <w:tcPr>
            <w:tcW w:w="8170" w:type="dxa"/>
            <w:vAlign w:val="center"/>
          </w:tcPr>
          <w:p w14:paraId="550AA2AD" w14:textId="77777777" w:rsidR="001801FF" w:rsidRPr="001801FF" w:rsidRDefault="001801FF" w:rsidP="001801FF">
            <w:pPr>
              <w:spacing w:before="120" w:after="240" w:line="240" w:lineRule="auto"/>
              <w:jc w:val="left"/>
              <w:rPr>
                <w:rFonts w:ascii="Calibri" w:eastAsia="Malgun Gothic" w:hAnsi="Calibri" w:cs="Times New Roman"/>
                <w:bCs/>
              </w:rPr>
            </w:pPr>
            <w:r w:rsidRPr="001801FF">
              <w:rPr>
                <w:rFonts w:ascii="Calibri" w:eastAsia="Malgun Gothic" w:hAnsi="Calibri" w:cs="Times New Roman"/>
                <w:bCs/>
              </w:rPr>
              <w:t>Will you monitor and evaluate the policy, program or service against indicators which show the participation, impacts on and improved quality of life for the disadvantage and excluded gender group/s – as well as any unintended consequences for the group/s?</w:t>
            </w:r>
          </w:p>
        </w:tc>
      </w:tr>
    </w:tbl>
    <w:p w14:paraId="295EB5A6" w14:textId="77777777" w:rsidR="001801FF" w:rsidRDefault="001801FF">
      <w:pPr>
        <w:spacing w:after="0" w:line="240" w:lineRule="auto"/>
        <w:jc w:val="left"/>
        <w:rPr>
          <w:lang w:val="en-AU"/>
        </w:rPr>
      </w:pPr>
      <w:r>
        <w:rPr>
          <w:lang w:val="en-AU"/>
        </w:rPr>
        <w:br w:type="page"/>
      </w:r>
    </w:p>
    <w:p w14:paraId="343BD28D" w14:textId="56F162C0" w:rsidR="00284916" w:rsidRDefault="00284916" w:rsidP="00663D2B">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0" w:line="240" w:lineRule="auto"/>
        <w:jc w:val="left"/>
        <w:rPr>
          <w:rFonts w:ascii="Calibri" w:eastAsia="Malgun Gothic" w:hAnsi="Calibri" w:cs="Times New Roman"/>
          <w:b/>
          <w:color w:val="385623"/>
          <w:sz w:val="36"/>
          <w:szCs w:val="36"/>
          <w:lang w:val="en-AU" w:eastAsia="ko-KR"/>
        </w:rPr>
      </w:pPr>
      <w:r>
        <w:rPr>
          <w:rFonts w:ascii="Calibri" w:eastAsia="Malgun Gothic" w:hAnsi="Calibri" w:cs="Times New Roman"/>
          <w:b/>
          <w:color w:val="385623"/>
          <w:sz w:val="36"/>
          <w:szCs w:val="36"/>
          <w:lang w:val="en-AU" w:eastAsia="ko-KR"/>
        </w:rPr>
        <w:lastRenderedPageBreak/>
        <w:t xml:space="preserve">THE POLICY/PROGRAM/SERVICE                                 </w:t>
      </w:r>
      <w:r>
        <w:rPr>
          <w:rFonts w:ascii="Calibri" w:eastAsia="Malgun Gothic" w:hAnsi="Calibri" w:cs="Times New Roman"/>
          <w:b/>
          <w:noProof/>
          <w:color w:val="385623"/>
          <w:sz w:val="40"/>
          <w:szCs w:val="40"/>
          <w:lang w:val="en-AU" w:eastAsia="ko-KR"/>
        </w:rPr>
        <w:drawing>
          <wp:inline distT="0" distB="0" distL="0" distR="0" wp14:anchorId="757FEFDE" wp14:editId="48220A97">
            <wp:extent cx="871855" cy="871855"/>
            <wp:effectExtent l="0" t="0" r="4445" b="444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pic:spPr>
                </pic:pic>
              </a:graphicData>
            </a:graphic>
          </wp:inline>
        </w:drawing>
      </w:r>
    </w:p>
    <w:p w14:paraId="72046D76" w14:textId="76093A7E" w:rsidR="00284916" w:rsidRPr="00284916" w:rsidRDefault="00284916" w:rsidP="00663D2B">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0" w:line="240" w:lineRule="auto"/>
        <w:jc w:val="left"/>
        <w:rPr>
          <w:rFonts w:ascii="Calibri" w:eastAsia="Malgun Gothic" w:hAnsi="Calibri" w:cs="Times New Roman"/>
          <w:b/>
          <w:color w:val="385623"/>
          <w:szCs w:val="22"/>
          <w:lang w:val="en-AU" w:eastAsia="ko-KR"/>
        </w:rPr>
      </w:pPr>
      <w:r>
        <w:rPr>
          <w:rFonts w:ascii="Calibri" w:eastAsia="Malgun Gothic" w:hAnsi="Calibri" w:cs="Times New Roman"/>
          <w:b/>
          <w:color w:val="385623"/>
          <w:sz w:val="36"/>
          <w:szCs w:val="36"/>
          <w:lang w:val="en-AU" w:eastAsia="ko-KR"/>
        </w:rPr>
        <w:t>DEVELOPMENT CYCLE</w:t>
      </w:r>
    </w:p>
    <w:p w14:paraId="57DD640C" w14:textId="77777777" w:rsidR="00663D2B" w:rsidRPr="00663D2B" w:rsidRDefault="00663D2B" w:rsidP="00663D2B">
      <w:pPr>
        <w:keepNext/>
        <w:keepLines/>
        <w:spacing w:before="100" w:beforeAutospacing="1" w:after="100" w:afterAutospacing="1" w:line="240" w:lineRule="auto"/>
        <w:jc w:val="left"/>
        <w:outlineLvl w:val="2"/>
        <w:rPr>
          <w:rFonts w:ascii="Calibri" w:eastAsia="Malgun Gothic" w:hAnsi="Calibri" w:cs="Calibri"/>
          <w:szCs w:val="22"/>
          <w:lang w:val="en-AU" w:eastAsia="ko-KR"/>
        </w:rPr>
      </w:pPr>
      <w:r w:rsidRPr="00663D2B">
        <w:rPr>
          <w:rFonts w:ascii="Calibri" w:eastAsia="Malgun Gothic" w:hAnsi="Calibri" w:cs="Calibri"/>
          <w:szCs w:val="22"/>
          <w:lang w:val="en-AU" w:eastAsia="ko-KR"/>
        </w:rPr>
        <w:t>A gender analysis is an extra layer of consideration that is applied to the ‘usual’ process for developing policies and programs. Gender analysis does not break or interfere with that cycle – it blends into it.</w:t>
      </w:r>
      <w:r w:rsidRPr="00663D2B">
        <w:rPr>
          <w:rFonts w:ascii="Calibri" w:eastAsia="Malgun Gothic" w:hAnsi="Calibri" w:cs="Calibri"/>
          <w:szCs w:val="22"/>
          <w:vertAlign w:val="superscript"/>
          <w:lang w:val="en-AU" w:eastAsia="ko-KR"/>
        </w:rPr>
        <w:endnoteReference w:id="23"/>
      </w:r>
    </w:p>
    <w:p w14:paraId="635412C6" w14:textId="77777777" w:rsidR="00663D2B" w:rsidRPr="00663D2B" w:rsidRDefault="00663D2B" w:rsidP="00663D2B">
      <w:pPr>
        <w:spacing w:before="100" w:beforeAutospacing="1" w:after="100" w:afterAutospacing="1" w:line="240" w:lineRule="auto"/>
        <w:jc w:val="left"/>
        <w:rPr>
          <w:rFonts w:ascii="Calibri" w:eastAsia="Malgun Gothic" w:hAnsi="Calibri" w:cs="Times New Roman"/>
          <w:szCs w:val="22"/>
          <w:lang w:val="en-AU" w:eastAsia="ko-KR"/>
        </w:rPr>
      </w:pPr>
      <w:r w:rsidRPr="00663D2B">
        <w:rPr>
          <w:rFonts w:ascii="Calibri" w:eastAsia="Malgun Gothic" w:hAnsi="Calibri" w:cs="Times New Roman"/>
          <w:szCs w:val="22"/>
          <w:lang w:val="en-AU" w:eastAsia="ko-KR"/>
        </w:rPr>
        <w:t>In applying a gender analysis, your goal should be to ensure that the entire policy/program/service development process is explicitly ‘gender aware’ – not as an additional step added on later in the process.</w:t>
      </w:r>
    </w:p>
    <w:p w14:paraId="2782085E" w14:textId="77777777" w:rsidR="00663D2B" w:rsidRPr="00663D2B" w:rsidRDefault="00663D2B" w:rsidP="00663D2B">
      <w:pPr>
        <w:spacing w:before="100" w:beforeAutospacing="1" w:after="100" w:afterAutospacing="1" w:line="240" w:lineRule="auto"/>
        <w:jc w:val="left"/>
        <w:rPr>
          <w:rFonts w:ascii="Calibri" w:eastAsia="Malgun Gothic" w:hAnsi="Calibri" w:cs="Times New Roman"/>
          <w:szCs w:val="22"/>
          <w:lang w:val="en-AU" w:eastAsia="ko-KR"/>
        </w:rPr>
      </w:pPr>
      <w:r w:rsidRPr="00663D2B">
        <w:rPr>
          <w:rFonts w:ascii="Calibri" w:eastAsia="Malgun Gothic" w:hAnsi="Calibri" w:cs="Times New Roman"/>
          <w:szCs w:val="22"/>
          <w:lang w:val="en-AU" w:eastAsia="ko-KR"/>
        </w:rPr>
        <w:t>This toolkit uses the following eight stages for policy, program and service development (consistent with the Australian Policy Cycle</w:t>
      </w:r>
      <w:r w:rsidRPr="00663D2B">
        <w:rPr>
          <w:rFonts w:ascii="Calibri" w:eastAsia="Malgun Gothic" w:hAnsi="Calibri" w:cs="Times New Roman"/>
          <w:szCs w:val="22"/>
          <w:vertAlign w:val="superscript"/>
          <w:lang w:val="en-AU" w:eastAsia="ko-KR"/>
        </w:rPr>
        <w:endnoteReference w:id="24"/>
      </w:r>
      <w:r w:rsidRPr="00663D2B">
        <w:rPr>
          <w:rFonts w:ascii="Calibri" w:eastAsia="Malgun Gothic" w:hAnsi="Calibri" w:cs="Times New Roman"/>
          <w:szCs w:val="22"/>
          <w:lang w:val="en-AU" w:eastAsia="ko-KR"/>
        </w:rPr>
        <w:t>):</w:t>
      </w:r>
    </w:p>
    <w:p w14:paraId="4287C388" w14:textId="77777777" w:rsidR="00663D2B" w:rsidRPr="00663D2B" w:rsidRDefault="00663D2B" w:rsidP="00380550">
      <w:pPr>
        <w:numPr>
          <w:ilvl w:val="0"/>
          <w:numId w:val="26"/>
        </w:numPr>
        <w:spacing w:after="80" w:line="240" w:lineRule="auto"/>
        <w:jc w:val="left"/>
        <w:rPr>
          <w:rFonts w:ascii="Calibri" w:eastAsia="Malgun Gothic" w:hAnsi="Calibri" w:cs="Times New Roman"/>
          <w:szCs w:val="22"/>
          <w:lang w:val="en-AU" w:eastAsia="ko-KR"/>
        </w:rPr>
      </w:pPr>
      <w:r w:rsidRPr="00663D2B">
        <w:rPr>
          <w:rFonts w:ascii="Calibri" w:eastAsia="Malgun Gothic" w:hAnsi="Calibri" w:cs="Times New Roman"/>
          <w:szCs w:val="22"/>
          <w:lang w:val="en-AU" w:eastAsia="ko-KR"/>
        </w:rPr>
        <w:t xml:space="preserve">Stage 1: </w:t>
      </w:r>
      <w:r w:rsidRPr="00663D2B">
        <w:rPr>
          <w:rFonts w:ascii="Calibri" w:eastAsia="Malgun Gothic" w:hAnsi="Calibri" w:cs="Times New Roman"/>
          <w:b/>
          <w:color w:val="385623"/>
          <w:szCs w:val="22"/>
          <w:lang w:val="en-AU" w:eastAsia="ko-KR"/>
        </w:rPr>
        <w:t>Identifying issues</w:t>
      </w:r>
    </w:p>
    <w:p w14:paraId="6D6519E3" w14:textId="77777777" w:rsidR="00663D2B" w:rsidRPr="00663D2B" w:rsidRDefault="00663D2B" w:rsidP="00380550">
      <w:pPr>
        <w:numPr>
          <w:ilvl w:val="0"/>
          <w:numId w:val="26"/>
        </w:numPr>
        <w:spacing w:after="80" w:line="240" w:lineRule="auto"/>
        <w:jc w:val="left"/>
        <w:rPr>
          <w:rFonts w:ascii="Calibri" w:eastAsia="Malgun Gothic" w:hAnsi="Calibri" w:cs="Times New Roman"/>
          <w:szCs w:val="22"/>
          <w:lang w:val="en-AU" w:eastAsia="ko-KR"/>
        </w:rPr>
      </w:pPr>
      <w:r w:rsidRPr="00663D2B">
        <w:rPr>
          <w:rFonts w:ascii="Calibri" w:eastAsia="Malgun Gothic" w:hAnsi="Calibri" w:cs="Times New Roman"/>
          <w:szCs w:val="22"/>
          <w:lang w:val="en-AU" w:eastAsia="ko-KR"/>
        </w:rPr>
        <w:t xml:space="preserve">Stage 2: </w:t>
      </w:r>
      <w:r w:rsidRPr="00663D2B">
        <w:rPr>
          <w:rFonts w:ascii="Calibri" w:eastAsia="Malgun Gothic" w:hAnsi="Calibri" w:cs="Times New Roman"/>
          <w:b/>
          <w:color w:val="385623"/>
          <w:szCs w:val="22"/>
          <w:lang w:val="en-AU" w:eastAsia="ko-KR"/>
        </w:rPr>
        <w:t>Gathering evidence</w:t>
      </w:r>
    </w:p>
    <w:p w14:paraId="5A9EFF5E" w14:textId="77777777" w:rsidR="00663D2B" w:rsidRPr="00663D2B" w:rsidRDefault="00663D2B" w:rsidP="00380550">
      <w:pPr>
        <w:numPr>
          <w:ilvl w:val="0"/>
          <w:numId w:val="26"/>
        </w:numPr>
        <w:spacing w:after="80" w:line="240" w:lineRule="auto"/>
        <w:jc w:val="left"/>
        <w:rPr>
          <w:rFonts w:ascii="Calibri" w:eastAsia="Malgun Gothic" w:hAnsi="Calibri" w:cs="Times New Roman"/>
          <w:szCs w:val="22"/>
          <w:lang w:val="en-AU" w:eastAsia="ko-KR"/>
        </w:rPr>
      </w:pPr>
      <w:r w:rsidRPr="00663D2B">
        <w:rPr>
          <w:rFonts w:ascii="Calibri" w:eastAsia="Malgun Gothic" w:hAnsi="Calibri" w:cs="Times New Roman"/>
          <w:szCs w:val="22"/>
          <w:lang w:val="en-AU" w:eastAsia="ko-KR"/>
        </w:rPr>
        <w:t xml:space="preserve">Stage 3: </w:t>
      </w:r>
      <w:r w:rsidRPr="00663D2B">
        <w:rPr>
          <w:rFonts w:ascii="Calibri" w:eastAsia="Malgun Gothic" w:hAnsi="Calibri" w:cs="Times New Roman"/>
          <w:b/>
          <w:color w:val="385623"/>
          <w:szCs w:val="22"/>
          <w:lang w:val="en-AU" w:eastAsia="ko-KR"/>
        </w:rPr>
        <w:t xml:space="preserve">Identifying &amp; defining outcomes </w:t>
      </w:r>
    </w:p>
    <w:p w14:paraId="20B79430" w14:textId="77777777" w:rsidR="00663D2B" w:rsidRPr="00663D2B" w:rsidRDefault="00663D2B" w:rsidP="00380550">
      <w:pPr>
        <w:numPr>
          <w:ilvl w:val="0"/>
          <w:numId w:val="26"/>
        </w:numPr>
        <w:spacing w:after="80" w:line="240" w:lineRule="auto"/>
        <w:jc w:val="left"/>
        <w:rPr>
          <w:rFonts w:ascii="Calibri" w:eastAsia="Malgun Gothic" w:hAnsi="Calibri" w:cs="Times New Roman"/>
          <w:szCs w:val="22"/>
          <w:lang w:val="en-AU" w:eastAsia="ko-KR"/>
        </w:rPr>
      </w:pPr>
      <w:r w:rsidRPr="00663D2B">
        <w:rPr>
          <w:rFonts w:ascii="Calibri" w:eastAsia="Malgun Gothic" w:hAnsi="Calibri" w:cs="Times New Roman"/>
          <w:szCs w:val="22"/>
          <w:lang w:val="en-AU" w:eastAsia="ko-KR"/>
        </w:rPr>
        <w:t xml:space="preserve">Stage 4: </w:t>
      </w:r>
      <w:r w:rsidRPr="00663D2B">
        <w:rPr>
          <w:rFonts w:ascii="Calibri" w:eastAsia="Malgun Gothic" w:hAnsi="Calibri" w:cs="Times New Roman"/>
          <w:b/>
          <w:color w:val="385623"/>
          <w:szCs w:val="22"/>
          <w:lang w:val="en-AU" w:eastAsia="ko-KR"/>
        </w:rPr>
        <w:t>Planning</w:t>
      </w:r>
    </w:p>
    <w:p w14:paraId="3DBCC383" w14:textId="77777777" w:rsidR="00663D2B" w:rsidRPr="00663D2B" w:rsidRDefault="00663D2B" w:rsidP="00380550">
      <w:pPr>
        <w:numPr>
          <w:ilvl w:val="0"/>
          <w:numId w:val="26"/>
        </w:numPr>
        <w:spacing w:after="80" w:line="240" w:lineRule="auto"/>
        <w:jc w:val="left"/>
        <w:rPr>
          <w:rFonts w:ascii="Calibri" w:eastAsia="Malgun Gothic" w:hAnsi="Calibri" w:cs="Times New Roman"/>
          <w:szCs w:val="22"/>
          <w:lang w:val="en-AU" w:eastAsia="ko-KR"/>
        </w:rPr>
      </w:pPr>
      <w:r w:rsidRPr="00663D2B">
        <w:rPr>
          <w:rFonts w:ascii="Calibri" w:eastAsia="Malgun Gothic" w:hAnsi="Calibri" w:cs="Times New Roman"/>
          <w:szCs w:val="22"/>
          <w:lang w:val="en-AU" w:eastAsia="ko-KR"/>
        </w:rPr>
        <w:t xml:space="preserve">Stage 5: </w:t>
      </w:r>
      <w:r w:rsidRPr="00663D2B">
        <w:rPr>
          <w:rFonts w:ascii="Calibri" w:eastAsia="Malgun Gothic" w:hAnsi="Calibri" w:cs="Times New Roman"/>
          <w:b/>
          <w:color w:val="385623"/>
          <w:szCs w:val="22"/>
          <w:lang w:val="en-AU" w:eastAsia="ko-KR"/>
        </w:rPr>
        <w:t>Communication</w:t>
      </w:r>
    </w:p>
    <w:p w14:paraId="0DA55CC6" w14:textId="77777777" w:rsidR="00663D2B" w:rsidRPr="00663D2B" w:rsidRDefault="00663D2B" w:rsidP="00380550">
      <w:pPr>
        <w:numPr>
          <w:ilvl w:val="0"/>
          <w:numId w:val="26"/>
        </w:numPr>
        <w:spacing w:after="80" w:line="240" w:lineRule="auto"/>
        <w:jc w:val="left"/>
        <w:rPr>
          <w:rFonts w:ascii="Calibri" w:eastAsia="Malgun Gothic" w:hAnsi="Calibri" w:cs="Times New Roman"/>
          <w:szCs w:val="22"/>
          <w:lang w:val="en-AU" w:eastAsia="ko-KR"/>
        </w:rPr>
      </w:pPr>
      <w:r w:rsidRPr="00663D2B">
        <w:rPr>
          <w:rFonts w:ascii="Calibri" w:eastAsia="Malgun Gothic" w:hAnsi="Calibri" w:cs="Times New Roman"/>
          <w:szCs w:val="22"/>
          <w:lang w:val="en-AU" w:eastAsia="ko-KR"/>
        </w:rPr>
        <w:t xml:space="preserve">Stage 6: </w:t>
      </w:r>
      <w:r w:rsidRPr="00663D2B">
        <w:rPr>
          <w:rFonts w:ascii="Calibri" w:eastAsia="Malgun Gothic" w:hAnsi="Calibri" w:cs="Times New Roman"/>
          <w:b/>
          <w:color w:val="385623"/>
          <w:szCs w:val="22"/>
          <w:lang w:val="en-AU" w:eastAsia="ko-KR"/>
        </w:rPr>
        <w:t>Delivery/implementation</w:t>
      </w:r>
    </w:p>
    <w:p w14:paraId="1BE4C5CA" w14:textId="77777777" w:rsidR="00663D2B" w:rsidRPr="00663D2B" w:rsidRDefault="00663D2B" w:rsidP="00380550">
      <w:pPr>
        <w:numPr>
          <w:ilvl w:val="0"/>
          <w:numId w:val="26"/>
        </w:numPr>
        <w:spacing w:after="80" w:line="240" w:lineRule="auto"/>
        <w:jc w:val="left"/>
        <w:rPr>
          <w:rFonts w:ascii="Calibri" w:eastAsia="Malgun Gothic" w:hAnsi="Calibri" w:cs="Times New Roman"/>
          <w:szCs w:val="22"/>
          <w:lang w:val="en-AU" w:eastAsia="ko-KR"/>
        </w:rPr>
      </w:pPr>
      <w:r w:rsidRPr="00663D2B">
        <w:rPr>
          <w:rFonts w:ascii="Calibri" w:eastAsia="Malgun Gothic" w:hAnsi="Calibri" w:cs="Times New Roman"/>
          <w:szCs w:val="22"/>
          <w:lang w:val="en-AU" w:eastAsia="ko-KR"/>
        </w:rPr>
        <w:t xml:space="preserve">Stage 7: </w:t>
      </w:r>
      <w:r w:rsidRPr="00663D2B">
        <w:rPr>
          <w:rFonts w:ascii="Calibri" w:eastAsia="Malgun Gothic" w:hAnsi="Calibri" w:cs="Times New Roman"/>
          <w:b/>
          <w:color w:val="385623"/>
          <w:szCs w:val="22"/>
          <w:lang w:val="en-AU" w:eastAsia="ko-KR"/>
        </w:rPr>
        <w:t>Monitoring and review</w:t>
      </w:r>
    </w:p>
    <w:p w14:paraId="32849027" w14:textId="77777777" w:rsidR="00663D2B" w:rsidRPr="00663D2B" w:rsidRDefault="00663D2B" w:rsidP="00380550">
      <w:pPr>
        <w:numPr>
          <w:ilvl w:val="0"/>
          <w:numId w:val="26"/>
        </w:numPr>
        <w:spacing w:after="80" w:line="240" w:lineRule="auto"/>
        <w:jc w:val="left"/>
        <w:rPr>
          <w:rFonts w:ascii="Calibri" w:eastAsia="Malgun Gothic" w:hAnsi="Calibri" w:cs="Times New Roman"/>
          <w:szCs w:val="22"/>
          <w:lang w:val="en-AU" w:eastAsia="ko-KR"/>
        </w:rPr>
      </w:pPr>
      <w:r w:rsidRPr="00663D2B">
        <w:rPr>
          <w:rFonts w:ascii="Calibri" w:eastAsia="Malgun Gothic" w:hAnsi="Calibri" w:cs="Times New Roman"/>
          <w:szCs w:val="22"/>
          <w:lang w:val="en-AU" w:eastAsia="ko-KR"/>
        </w:rPr>
        <w:t xml:space="preserve">Stage 8: </w:t>
      </w:r>
      <w:r w:rsidRPr="00663D2B">
        <w:rPr>
          <w:rFonts w:ascii="Calibri" w:eastAsia="Malgun Gothic" w:hAnsi="Calibri" w:cs="Times New Roman"/>
          <w:b/>
          <w:color w:val="385623"/>
          <w:szCs w:val="22"/>
          <w:lang w:val="en-AU" w:eastAsia="ko-KR"/>
        </w:rPr>
        <w:t>Reporting</w:t>
      </w:r>
    </w:p>
    <w:p w14:paraId="1F6C9842" w14:textId="2EF45966" w:rsidR="00663D2B" w:rsidRDefault="00663D2B">
      <w:pPr>
        <w:spacing w:after="0" w:line="240" w:lineRule="auto"/>
        <w:jc w:val="left"/>
        <w:rPr>
          <w:lang w:val="en-AU"/>
        </w:rPr>
      </w:pPr>
      <w:r w:rsidRPr="00663D2B">
        <w:rPr>
          <w:rFonts w:ascii="Calibri" w:eastAsia="Malgun Gothic" w:hAnsi="Calibri" w:cs="Times New Roman"/>
          <w:noProof/>
          <w:szCs w:val="22"/>
          <w:lang w:val="en-AU" w:eastAsia="ko-KR"/>
        </w:rPr>
        <w:drawing>
          <wp:anchor distT="0" distB="0" distL="114300" distR="114300" simplePos="0" relativeHeight="251696128" behindDoc="0" locked="0" layoutInCell="1" allowOverlap="1" wp14:anchorId="0439352A" wp14:editId="38583455">
            <wp:simplePos x="0" y="0"/>
            <wp:positionH relativeFrom="margin">
              <wp:align>center</wp:align>
            </wp:positionH>
            <wp:positionV relativeFrom="paragraph">
              <wp:posOffset>52381</wp:posOffset>
            </wp:positionV>
            <wp:extent cx="4428877" cy="3548189"/>
            <wp:effectExtent l="0" t="0" r="0" b="0"/>
            <wp:wrapNone/>
            <wp:docPr id="232" name="Picture 232" descr="Policy Cycle Stages - Revised 2 -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icy Cycle Stages - Revised 2 - new"/>
                    <pic:cNvPicPr>
                      <a:picLocks noChangeAspect="1" noChangeArrowheads="1"/>
                    </pic:cNvPicPr>
                  </pic:nvPicPr>
                  <pic:blipFill>
                    <a:blip r:embed="rId4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28877" cy="35481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5FD83" w14:textId="77777777" w:rsidR="001801FF" w:rsidRDefault="001801FF">
      <w:pPr>
        <w:spacing w:after="0" w:line="240" w:lineRule="auto"/>
        <w:jc w:val="left"/>
        <w:rPr>
          <w:lang w:val="en-AU"/>
        </w:rPr>
      </w:pPr>
      <w:r>
        <w:rPr>
          <w:lang w:val="en-AU"/>
        </w:rPr>
        <w:br w:type="page"/>
      </w:r>
    </w:p>
    <w:p w14:paraId="099D4E50" w14:textId="12FEB63E" w:rsidR="00C96C0F" w:rsidRPr="00A33FFF" w:rsidRDefault="00C96C0F" w:rsidP="00C96C0F">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240" w:line="240" w:lineRule="auto"/>
        <w:jc w:val="left"/>
        <w:rPr>
          <w:rFonts w:eastAsia="Malgun Gothic" w:cs="Arial"/>
          <w:color w:val="385623"/>
          <w:szCs w:val="22"/>
          <w:lang w:val="en-AU" w:eastAsia="ko-KR"/>
        </w:rPr>
      </w:pPr>
      <w:r w:rsidRPr="00C96C0F">
        <w:rPr>
          <w:rFonts w:ascii="Calibri" w:eastAsia="Malgun Gothic" w:hAnsi="Calibri" w:cs="Times New Roman"/>
          <w:b/>
          <w:color w:val="385623"/>
          <w:sz w:val="36"/>
          <w:szCs w:val="36"/>
          <w:lang w:val="en-AU" w:eastAsia="ko-KR"/>
        </w:rPr>
        <w:lastRenderedPageBreak/>
        <w:t>QUESTIONS TO GET YOU STARTE</w:t>
      </w:r>
      <w:r>
        <w:rPr>
          <w:rFonts w:ascii="Calibri" w:eastAsia="Malgun Gothic" w:hAnsi="Calibri" w:cs="Times New Roman"/>
          <w:b/>
          <w:color w:val="385623"/>
          <w:sz w:val="36"/>
          <w:szCs w:val="36"/>
          <w:lang w:val="en-AU" w:eastAsia="ko-KR"/>
        </w:rPr>
        <w:t xml:space="preserve">D                           </w:t>
      </w:r>
      <w:r>
        <w:rPr>
          <w:rFonts w:ascii="Calibri" w:eastAsia="Malgun Gothic" w:hAnsi="Calibri" w:cs="Times New Roman"/>
          <w:b/>
          <w:noProof/>
          <w:color w:val="385623"/>
          <w:sz w:val="40"/>
          <w:szCs w:val="40"/>
          <w:lang w:val="en-AU" w:eastAsia="ko-KR"/>
        </w:rPr>
        <w:t xml:space="preserve">   </w:t>
      </w:r>
      <w:r>
        <w:rPr>
          <w:rFonts w:ascii="Calibri" w:eastAsia="Malgun Gothic" w:hAnsi="Calibri" w:cs="Times New Roman"/>
          <w:b/>
          <w:noProof/>
          <w:color w:val="385623"/>
          <w:sz w:val="40"/>
          <w:szCs w:val="40"/>
          <w:lang w:val="en-AU" w:eastAsia="ko-KR"/>
        </w:rPr>
        <w:drawing>
          <wp:inline distT="0" distB="0" distL="0" distR="0" wp14:anchorId="72D1FCB8" wp14:editId="7CD91EBE">
            <wp:extent cx="871855" cy="871855"/>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pic:spPr>
                </pic:pic>
              </a:graphicData>
            </a:graphic>
          </wp:inline>
        </w:drawing>
      </w:r>
    </w:p>
    <w:p w14:paraId="6510E27A" w14:textId="77777777" w:rsidR="00C840B1" w:rsidRPr="00C840B1" w:rsidRDefault="00C840B1" w:rsidP="00C840B1">
      <w:pPr>
        <w:spacing w:before="100" w:beforeAutospacing="1" w:after="100" w:afterAutospacing="1" w:line="240" w:lineRule="auto"/>
        <w:jc w:val="left"/>
        <w:rPr>
          <w:rFonts w:ascii="Calibri" w:eastAsia="Malgun Gothic" w:hAnsi="Calibri" w:cs="Times New Roman"/>
          <w:szCs w:val="22"/>
          <w:lang w:val="en-AU" w:eastAsia="ko-KR"/>
        </w:rPr>
      </w:pPr>
      <w:r w:rsidRPr="00C840B1">
        <w:rPr>
          <w:rFonts w:ascii="Calibri" w:eastAsia="Malgun Gothic" w:hAnsi="Calibri" w:cs="Times New Roman"/>
          <w:szCs w:val="22"/>
          <w:lang w:val="en-AU" w:eastAsia="ko-KR"/>
        </w:rPr>
        <w:t xml:space="preserve">A robust gender analysis requires work and consideration at each stage of the policy/program development cycle. </w:t>
      </w:r>
    </w:p>
    <w:p w14:paraId="53CD6212" w14:textId="77777777" w:rsidR="00C840B1" w:rsidRPr="00C840B1" w:rsidRDefault="00C840B1" w:rsidP="00C840B1">
      <w:pPr>
        <w:spacing w:before="100" w:beforeAutospacing="1" w:after="100" w:afterAutospacing="1" w:line="240" w:lineRule="auto"/>
        <w:jc w:val="left"/>
        <w:rPr>
          <w:rFonts w:ascii="Calibri" w:eastAsia="Malgun Gothic" w:hAnsi="Calibri" w:cs="Times New Roman"/>
          <w:szCs w:val="22"/>
          <w:lang w:val="en-AU" w:eastAsia="ko-KR"/>
        </w:rPr>
      </w:pPr>
      <w:r w:rsidRPr="00C840B1">
        <w:rPr>
          <w:rFonts w:ascii="Calibri" w:eastAsia="Malgun Gothic" w:hAnsi="Calibri" w:cs="Times New Roman"/>
          <w:szCs w:val="22"/>
          <w:lang w:val="en-AU" w:eastAsia="ko-KR"/>
        </w:rPr>
        <w:t xml:space="preserve">The questions below should be asked, investigated and considered at each stage, to identify and address issues for people of all genders. </w:t>
      </w:r>
    </w:p>
    <w:p w14:paraId="09384122" w14:textId="77777777" w:rsidR="00C840B1" w:rsidRPr="00C840B1" w:rsidRDefault="00C840B1" w:rsidP="00C840B1">
      <w:pPr>
        <w:spacing w:before="100" w:beforeAutospacing="1" w:after="100" w:afterAutospacing="1" w:line="240" w:lineRule="auto"/>
        <w:jc w:val="left"/>
        <w:rPr>
          <w:rFonts w:ascii="Calibri" w:eastAsia="Malgun Gothic" w:hAnsi="Calibri" w:cs="Times New Roman"/>
          <w:szCs w:val="22"/>
          <w:lang w:val="en-AU" w:eastAsia="ko-KR"/>
        </w:rPr>
      </w:pPr>
      <w:r w:rsidRPr="00C840B1">
        <w:rPr>
          <w:rFonts w:ascii="Calibri" w:eastAsia="Malgun Gothic" w:hAnsi="Calibri" w:cs="Times New Roman"/>
          <w:szCs w:val="22"/>
          <w:lang w:val="en-AU" w:eastAsia="ko-KR"/>
        </w:rPr>
        <w:t>The questions are guides only, drawing on the gender analysis work nationally and internationally</w:t>
      </w:r>
      <w:r w:rsidRPr="00C840B1">
        <w:rPr>
          <w:rFonts w:ascii="Calibri" w:eastAsia="Malgun Gothic" w:hAnsi="Calibri" w:cs="Times New Roman"/>
          <w:szCs w:val="22"/>
          <w:vertAlign w:val="superscript"/>
          <w:lang w:val="en-AU" w:eastAsia="ko-KR"/>
        </w:rPr>
        <w:endnoteReference w:id="25"/>
      </w:r>
      <w:r w:rsidRPr="00C840B1">
        <w:rPr>
          <w:rFonts w:ascii="Calibri" w:eastAsia="Malgun Gothic" w:hAnsi="Calibri" w:cs="Times New Roman"/>
          <w:szCs w:val="22"/>
          <w:lang w:val="en-AU" w:eastAsia="ko-KR"/>
        </w:rPr>
        <w:t>. Depending on the issues, more questions or different questions can be asked.</w:t>
      </w:r>
    </w:p>
    <w:p w14:paraId="4E275ABE" w14:textId="77777777" w:rsidR="00C840B1" w:rsidRPr="00C840B1" w:rsidRDefault="00C840B1" w:rsidP="00C840B1">
      <w:pPr>
        <w:spacing w:before="100" w:beforeAutospacing="1" w:after="100" w:afterAutospacing="1" w:line="240" w:lineRule="auto"/>
        <w:jc w:val="left"/>
        <w:rPr>
          <w:rFonts w:ascii="Calibri" w:eastAsia="Malgun Gothic" w:hAnsi="Calibri" w:cs="Times New Roman"/>
          <w:szCs w:val="22"/>
          <w:lang w:val="en-AU" w:eastAsia="ko-KR"/>
        </w:rPr>
      </w:pPr>
      <w:r w:rsidRPr="00C840B1">
        <w:rPr>
          <w:rFonts w:ascii="Calibri" w:eastAsia="Malgun Gothic" w:hAnsi="Calibri" w:cs="Times New Roman"/>
          <w:szCs w:val="22"/>
          <w:lang w:val="en-AU" w:eastAsia="ko-KR"/>
        </w:rPr>
        <w:t>To make the analysis easier, the eight stages in the cycle can be broken into three groups:</w:t>
      </w:r>
    </w:p>
    <w:p w14:paraId="56D0F700" w14:textId="77777777" w:rsidR="00C840B1" w:rsidRPr="00C840B1" w:rsidRDefault="00C840B1" w:rsidP="00380550">
      <w:pPr>
        <w:numPr>
          <w:ilvl w:val="0"/>
          <w:numId w:val="27"/>
        </w:numPr>
        <w:spacing w:before="100" w:beforeAutospacing="1" w:after="100" w:afterAutospacing="1" w:line="240" w:lineRule="auto"/>
        <w:jc w:val="left"/>
        <w:rPr>
          <w:rFonts w:ascii="Calibri" w:eastAsia="Malgun Gothic" w:hAnsi="Calibri" w:cs="Times New Roman"/>
          <w:szCs w:val="22"/>
          <w:lang w:val="en-AU" w:eastAsia="ko-KR"/>
        </w:rPr>
      </w:pPr>
      <w:r w:rsidRPr="00C840B1">
        <w:rPr>
          <w:rFonts w:ascii="Calibri" w:eastAsia="Malgun Gothic" w:hAnsi="Calibri" w:cs="Times New Roman"/>
          <w:szCs w:val="22"/>
          <w:lang w:val="en-AU" w:eastAsia="ko-KR"/>
        </w:rPr>
        <w:t>identifying issues and outcomes and gathering information (Stages 1-3)</w:t>
      </w:r>
    </w:p>
    <w:p w14:paraId="29A09BE2" w14:textId="77777777" w:rsidR="00C840B1" w:rsidRPr="00C840B1" w:rsidRDefault="00C840B1" w:rsidP="00380550">
      <w:pPr>
        <w:numPr>
          <w:ilvl w:val="0"/>
          <w:numId w:val="27"/>
        </w:numPr>
        <w:spacing w:before="100" w:beforeAutospacing="1" w:after="100" w:afterAutospacing="1" w:line="240" w:lineRule="auto"/>
        <w:jc w:val="left"/>
        <w:rPr>
          <w:rFonts w:ascii="Calibri" w:eastAsia="Malgun Gothic" w:hAnsi="Calibri" w:cs="Times New Roman"/>
          <w:szCs w:val="22"/>
          <w:lang w:val="en-AU" w:eastAsia="ko-KR"/>
        </w:rPr>
      </w:pPr>
      <w:r w:rsidRPr="00C840B1">
        <w:rPr>
          <w:rFonts w:ascii="Calibri" w:eastAsia="Malgun Gothic" w:hAnsi="Calibri" w:cs="Times New Roman"/>
          <w:szCs w:val="22"/>
          <w:lang w:val="en-AU" w:eastAsia="ko-KR"/>
        </w:rPr>
        <w:t>planning and communicating (Stages 4-5)</w:t>
      </w:r>
    </w:p>
    <w:p w14:paraId="118901A0" w14:textId="77777777" w:rsidR="00C840B1" w:rsidRPr="00C840B1" w:rsidRDefault="00C840B1" w:rsidP="00380550">
      <w:pPr>
        <w:numPr>
          <w:ilvl w:val="0"/>
          <w:numId w:val="27"/>
        </w:numPr>
        <w:spacing w:before="100" w:beforeAutospacing="1" w:after="100" w:afterAutospacing="1" w:line="240" w:lineRule="auto"/>
        <w:jc w:val="left"/>
        <w:rPr>
          <w:rFonts w:ascii="Calibri" w:eastAsia="Malgun Gothic" w:hAnsi="Calibri" w:cs="Times New Roman"/>
          <w:szCs w:val="22"/>
          <w:lang w:val="en-AU" w:eastAsia="ko-KR"/>
        </w:rPr>
      </w:pPr>
      <w:r w:rsidRPr="00C840B1">
        <w:rPr>
          <w:rFonts w:ascii="Calibri" w:eastAsia="Malgun Gothic" w:hAnsi="Calibri" w:cs="Times New Roman"/>
          <w:szCs w:val="22"/>
          <w:lang w:val="en-AU" w:eastAsia="ko-KR"/>
        </w:rPr>
        <w:t>implementing and reporting (Stages 6-8).</w:t>
      </w:r>
    </w:p>
    <w:p w14:paraId="50100667" w14:textId="77777777" w:rsidR="00C840B1" w:rsidRPr="00C840B1" w:rsidRDefault="00C840B1" w:rsidP="00C840B1">
      <w:pPr>
        <w:spacing w:before="100" w:beforeAutospacing="1" w:after="100" w:afterAutospacing="1" w:line="240" w:lineRule="auto"/>
        <w:rPr>
          <w:rFonts w:ascii="Calibri Light" w:eastAsia="Malgun Gothic" w:hAnsi="Calibri Light" w:cs="Times New Roman"/>
          <w:b/>
          <w:color w:val="FFFFFF"/>
          <w:sz w:val="24"/>
          <w:lang w:val="en-AU" w:eastAsia="ko-KR"/>
        </w:rPr>
      </w:pPr>
      <w:r w:rsidRPr="00C840B1">
        <w:rPr>
          <w:rFonts w:ascii="Calibri" w:eastAsia="Malgun Gothic" w:hAnsi="Calibri" w:cs="Times New Roman"/>
          <w:noProof/>
          <w:szCs w:val="22"/>
          <w:lang w:val="en-AU" w:eastAsia="ko-KR"/>
        </w:rPr>
        <w:drawing>
          <wp:inline distT="0" distB="0" distL="0" distR="0" wp14:anchorId="11D28EDD" wp14:editId="0617AC70">
            <wp:extent cx="5528310" cy="1722474"/>
            <wp:effectExtent l="0" t="0" r="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04605ED7" w14:textId="5CDEAFF0" w:rsidR="00004A98" w:rsidRPr="00004A98" w:rsidRDefault="00C840B1" w:rsidP="00977BC1">
      <w:pPr>
        <w:shd w:val="clear" w:color="auto" w:fill="385623"/>
        <w:spacing w:after="0" w:line="360" w:lineRule="auto"/>
        <w:jc w:val="center"/>
        <w:rPr>
          <w:rFonts w:ascii="Calibri Light" w:hAnsi="Calibri Light" w:cs="Calibri Light"/>
          <w:b/>
          <w:color w:val="FFFFFF" w:themeColor="background1"/>
          <w:sz w:val="24"/>
          <w:lang w:val="en-AU"/>
        </w:rPr>
      </w:pPr>
      <w:r w:rsidRPr="00004A98">
        <w:rPr>
          <w:rFonts w:ascii="Calibri Light" w:hAnsi="Calibri Light" w:cs="Calibri Light"/>
          <w:b/>
          <w:color w:val="FFFFFF" w:themeColor="background1"/>
          <w:sz w:val="24"/>
          <w:lang w:val="en-AU"/>
        </w:rPr>
        <w:t>Identifying issues, gathering evidence and defining outcomes</w:t>
      </w:r>
    </w:p>
    <w:p w14:paraId="721008B6" w14:textId="77777777" w:rsidR="00C840B1" w:rsidRPr="006125DD" w:rsidRDefault="00C840B1" w:rsidP="00977BC1">
      <w:pPr>
        <w:pBdr>
          <w:bottom w:val="single" w:sz="4" w:space="1" w:color="538135"/>
        </w:pBdr>
        <w:spacing w:before="120" w:line="240" w:lineRule="auto"/>
        <w:ind w:right="-284"/>
        <w:jc w:val="center"/>
        <w:rPr>
          <w:rFonts w:ascii="Calibri" w:eastAsia="Malgun Gothic" w:hAnsi="Calibri" w:cs="Times New Roman"/>
          <w:color w:val="385623"/>
          <w:szCs w:val="22"/>
          <w:lang w:val="en-AU" w:eastAsia="ko-KR"/>
        </w:rPr>
      </w:pPr>
      <w:r w:rsidRPr="00004A98">
        <w:rPr>
          <w:rFonts w:ascii="Calibri" w:eastAsia="Malgun Gothic" w:hAnsi="Calibri" w:cs="Times New Roman"/>
          <w:color w:val="385623"/>
          <w:szCs w:val="22"/>
          <w:lang w:val="en-AU" w:eastAsia="ko-KR"/>
        </w:rPr>
        <w:t>STAGE 1:</w:t>
      </w:r>
      <w:r w:rsidRPr="00004A98">
        <w:rPr>
          <w:rFonts w:ascii="Calibri" w:eastAsia="Malgun Gothic" w:hAnsi="Calibri" w:cs="Times New Roman"/>
          <w:b/>
          <w:color w:val="385623"/>
          <w:szCs w:val="22"/>
          <w:lang w:val="en-AU" w:eastAsia="ko-KR"/>
        </w:rPr>
        <w:t xml:space="preserve"> Identifying issues</w:t>
      </w:r>
    </w:p>
    <w:p w14:paraId="6C2B2540" w14:textId="77777777" w:rsidR="00C840B1" w:rsidRPr="00004A98" w:rsidRDefault="00C840B1" w:rsidP="00380550">
      <w:pPr>
        <w:numPr>
          <w:ilvl w:val="0"/>
          <w:numId w:val="29"/>
        </w:numPr>
        <w:spacing w:after="80" w:line="240" w:lineRule="auto"/>
        <w:ind w:left="644" w:right="-284"/>
        <w:jc w:val="left"/>
        <w:rPr>
          <w:rFonts w:ascii="Calibri" w:eastAsia="Malgun Gothic" w:hAnsi="Calibri" w:cs="Times New Roman"/>
          <w:szCs w:val="22"/>
          <w:lang w:val="en-AU" w:eastAsia="ko-KR"/>
        </w:rPr>
      </w:pPr>
      <w:r w:rsidRPr="00004A98">
        <w:rPr>
          <w:rFonts w:ascii="Calibri" w:eastAsia="Malgun Gothic" w:hAnsi="Calibri" w:cs="Times New Roman"/>
          <w:szCs w:val="22"/>
          <w:lang w:val="en-AU" w:eastAsia="ko-KR"/>
        </w:rPr>
        <w:t xml:space="preserve">Will the policy, program, or service affect women, men, or gender diverse people in different ways? </w:t>
      </w:r>
    </w:p>
    <w:p w14:paraId="4E410142" w14:textId="77777777" w:rsidR="00C840B1" w:rsidRPr="00004A98" w:rsidRDefault="00C840B1" w:rsidP="00380550">
      <w:pPr>
        <w:numPr>
          <w:ilvl w:val="1"/>
          <w:numId w:val="28"/>
        </w:numPr>
        <w:spacing w:after="80" w:line="240" w:lineRule="auto"/>
        <w:ind w:left="852" w:right="-284" w:hanging="284"/>
        <w:jc w:val="left"/>
        <w:rPr>
          <w:rFonts w:ascii="Calibri" w:eastAsia="Malgun Gothic" w:hAnsi="Calibri" w:cs="Times New Roman"/>
          <w:szCs w:val="22"/>
          <w:lang w:val="en-AU" w:eastAsia="ko-KR"/>
        </w:rPr>
      </w:pPr>
      <w:r w:rsidRPr="00004A98">
        <w:rPr>
          <w:rFonts w:ascii="Calibri" w:eastAsia="Malgun Gothic" w:hAnsi="Calibri" w:cs="Times New Roman"/>
          <w:szCs w:val="22"/>
          <w:lang w:val="en-AU" w:eastAsia="ko-KR"/>
        </w:rPr>
        <w:t xml:space="preserve">If yes, how might sub-groups of these population groups be affected, such as the elderly or those with a disability? </w:t>
      </w:r>
    </w:p>
    <w:p w14:paraId="2EDA284E" w14:textId="77777777" w:rsidR="00C840B1" w:rsidRPr="00004A98" w:rsidRDefault="00C840B1" w:rsidP="00380550">
      <w:pPr>
        <w:numPr>
          <w:ilvl w:val="0"/>
          <w:numId w:val="30"/>
        </w:numPr>
        <w:spacing w:after="80" w:line="240" w:lineRule="auto"/>
        <w:ind w:left="644" w:right="-284"/>
        <w:jc w:val="left"/>
        <w:rPr>
          <w:rFonts w:ascii="Calibri" w:eastAsia="Malgun Gothic" w:hAnsi="Calibri" w:cs="Times New Roman"/>
          <w:szCs w:val="22"/>
          <w:lang w:val="en-AU" w:eastAsia="ko-KR"/>
        </w:rPr>
      </w:pPr>
      <w:r w:rsidRPr="00004A98">
        <w:rPr>
          <w:rFonts w:ascii="Calibri" w:eastAsia="Malgun Gothic" w:hAnsi="Calibri" w:cs="Times New Roman"/>
          <w:szCs w:val="22"/>
          <w:lang w:val="en-AU" w:eastAsia="ko-KR"/>
        </w:rPr>
        <w:t xml:space="preserve">Might certain genders be unintentionally excluded from this policy, program or service? </w:t>
      </w:r>
    </w:p>
    <w:p w14:paraId="0248FE53" w14:textId="77777777" w:rsidR="00C840B1" w:rsidRPr="00004A98" w:rsidRDefault="00C840B1" w:rsidP="00380550">
      <w:pPr>
        <w:numPr>
          <w:ilvl w:val="0"/>
          <w:numId w:val="30"/>
        </w:numPr>
        <w:spacing w:after="80" w:line="240" w:lineRule="auto"/>
        <w:ind w:left="644" w:right="-284"/>
        <w:jc w:val="left"/>
        <w:rPr>
          <w:rFonts w:ascii="Calibri" w:eastAsia="Malgun Gothic" w:hAnsi="Calibri" w:cs="Times New Roman"/>
          <w:szCs w:val="22"/>
          <w:lang w:val="en-AU" w:eastAsia="ko-KR"/>
        </w:rPr>
      </w:pPr>
      <w:r w:rsidRPr="00004A98">
        <w:rPr>
          <w:rFonts w:ascii="Calibri" w:eastAsia="Malgun Gothic" w:hAnsi="Calibri" w:cs="Times New Roman"/>
          <w:szCs w:val="22"/>
          <w:lang w:val="en-AU" w:eastAsia="ko-KR"/>
        </w:rPr>
        <w:t xml:space="preserve">What </w:t>
      </w:r>
      <w:r w:rsidRPr="00004A98">
        <w:rPr>
          <w:rFonts w:ascii="Calibri" w:eastAsia="Malgun Gothic" w:hAnsi="Calibri" w:cs="Times New Roman"/>
          <w:szCs w:val="22"/>
          <w:u w:val="single"/>
          <w:lang w:val="en-AU" w:eastAsia="ko-KR"/>
        </w:rPr>
        <w:t>don’t</w:t>
      </w:r>
      <w:r w:rsidRPr="00004A98">
        <w:rPr>
          <w:rFonts w:ascii="Calibri" w:eastAsia="Malgun Gothic" w:hAnsi="Calibri" w:cs="Times New Roman"/>
          <w:szCs w:val="22"/>
          <w:lang w:val="en-AU" w:eastAsia="ko-KR"/>
        </w:rPr>
        <w:t xml:space="preserve"> we know about the issues and impacts on women, men or people who are gender diverse?</w:t>
      </w:r>
    </w:p>
    <w:p w14:paraId="45515C4A" w14:textId="77777777" w:rsidR="00C840B1" w:rsidRDefault="00C840B1" w:rsidP="00380550">
      <w:pPr>
        <w:numPr>
          <w:ilvl w:val="0"/>
          <w:numId w:val="30"/>
        </w:numPr>
        <w:spacing w:after="80" w:line="240" w:lineRule="auto"/>
        <w:ind w:left="644" w:right="-284"/>
        <w:jc w:val="left"/>
        <w:rPr>
          <w:rFonts w:ascii="Calibri" w:eastAsia="Malgun Gothic" w:hAnsi="Calibri" w:cs="Times New Roman"/>
          <w:szCs w:val="22"/>
          <w:lang w:val="en-AU" w:eastAsia="ko-KR"/>
        </w:rPr>
      </w:pPr>
      <w:r w:rsidRPr="00004A98">
        <w:rPr>
          <w:rFonts w:ascii="Calibri" w:eastAsia="Malgun Gothic" w:hAnsi="Calibri" w:cs="Times New Roman"/>
          <w:szCs w:val="22"/>
          <w:lang w:val="en-AU" w:eastAsia="ko-KR"/>
        </w:rPr>
        <w:t>Who else is addressing these issues?</w:t>
      </w:r>
    </w:p>
    <w:p w14:paraId="7C870E4C" w14:textId="4103320F" w:rsidR="006E5BE2" w:rsidRDefault="006E5BE2">
      <w:pPr>
        <w:spacing w:after="0" w:line="240" w:lineRule="auto"/>
        <w:jc w:val="left"/>
        <w:rPr>
          <w:rFonts w:ascii="Calibri" w:eastAsia="Malgun Gothic" w:hAnsi="Calibri" w:cs="Times New Roman"/>
          <w:szCs w:val="22"/>
          <w:lang w:val="en-AU" w:eastAsia="ko-KR"/>
        </w:rPr>
      </w:pPr>
      <w:r>
        <w:rPr>
          <w:rFonts w:ascii="Calibri" w:eastAsia="Malgun Gothic" w:hAnsi="Calibri" w:cs="Times New Roman"/>
          <w:szCs w:val="22"/>
          <w:lang w:val="en-AU" w:eastAsia="ko-KR"/>
        </w:rPr>
        <w:br w:type="page"/>
      </w:r>
    </w:p>
    <w:p w14:paraId="1F5FC7F4" w14:textId="77777777" w:rsidR="00C840B1" w:rsidRPr="006125DD" w:rsidRDefault="00C840B1" w:rsidP="00C840B1">
      <w:pPr>
        <w:pBdr>
          <w:bottom w:val="single" w:sz="4" w:space="1" w:color="538135"/>
        </w:pBdr>
        <w:spacing w:line="240" w:lineRule="auto"/>
        <w:jc w:val="center"/>
        <w:rPr>
          <w:rFonts w:ascii="Calibri" w:eastAsia="Malgun Gothic" w:hAnsi="Calibri" w:cs="Times New Roman"/>
          <w:color w:val="385623"/>
          <w:szCs w:val="22"/>
          <w:lang w:val="en-AU" w:eastAsia="ko-KR"/>
        </w:rPr>
      </w:pPr>
      <w:r w:rsidRPr="00004A98">
        <w:rPr>
          <w:rFonts w:ascii="Calibri" w:eastAsia="Malgun Gothic" w:hAnsi="Calibri" w:cs="Times New Roman"/>
          <w:color w:val="385623"/>
          <w:szCs w:val="22"/>
          <w:lang w:val="en-AU" w:eastAsia="ko-KR"/>
        </w:rPr>
        <w:lastRenderedPageBreak/>
        <w:t>STAGE 2:</w:t>
      </w:r>
      <w:r w:rsidRPr="00004A98">
        <w:rPr>
          <w:rFonts w:ascii="Calibri" w:eastAsia="Malgun Gothic" w:hAnsi="Calibri" w:cs="Times New Roman"/>
          <w:b/>
          <w:color w:val="385623"/>
          <w:szCs w:val="22"/>
          <w:lang w:val="en-AU" w:eastAsia="ko-KR"/>
        </w:rPr>
        <w:t xml:space="preserve"> Gathering evidence</w:t>
      </w:r>
    </w:p>
    <w:p w14:paraId="38868EE4" w14:textId="77777777" w:rsidR="00C840B1" w:rsidRPr="00591874" w:rsidRDefault="00C840B1" w:rsidP="00380550">
      <w:pPr>
        <w:numPr>
          <w:ilvl w:val="0"/>
          <w:numId w:val="31"/>
        </w:numPr>
        <w:spacing w:after="80" w:line="240" w:lineRule="auto"/>
        <w:ind w:left="720" w:right="-284"/>
        <w:jc w:val="left"/>
        <w:rPr>
          <w:rFonts w:ascii="Calibri" w:eastAsia="Malgun Gothic" w:hAnsi="Calibri" w:cs="Times New Roman"/>
          <w:szCs w:val="22"/>
          <w:lang w:val="en-AU" w:eastAsia="ko-KR"/>
        </w:rPr>
      </w:pPr>
      <w:r w:rsidRPr="00591874">
        <w:rPr>
          <w:rFonts w:ascii="Calibri" w:eastAsia="Malgun Gothic" w:hAnsi="Calibri" w:cs="Times New Roman"/>
          <w:szCs w:val="22"/>
          <w:lang w:val="en-AU" w:eastAsia="ko-KR"/>
        </w:rPr>
        <w:t xml:space="preserve">Do we have gender disaggregated data on the issues (i.e. separate data for people of all genders)? </w:t>
      </w:r>
    </w:p>
    <w:p w14:paraId="1D24A3F6" w14:textId="77777777" w:rsidR="00C840B1" w:rsidRPr="00591874" w:rsidRDefault="00C840B1" w:rsidP="00380550">
      <w:pPr>
        <w:numPr>
          <w:ilvl w:val="0"/>
          <w:numId w:val="31"/>
        </w:numPr>
        <w:spacing w:after="80" w:line="240" w:lineRule="auto"/>
        <w:ind w:left="720" w:right="-284"/>
        <w:jc w:val="left"/>
        <w:rPr>
          <w:rFonts w:ascii="Calibri" w:eastAsia="Malgun Gothic" w:hAnsi="Calibri" w:cs="Times New Roman"/>
          <w:szCs w:val="22"/>
          <w:lang w:val="en-AU" w:eastAsia="ko-KR"/>
        </w:rPr>
      </w:pPr>
      <w:r w:rsidRPr="00591874">
        <w:rPr>
          <w:rFonts w:ascii="Calibri" w:eastAsia="Malgun Gothic" w:hAnsi="Calibri" w:cs="Times New Roman"/>
          <w:szCs w:val="22"/>
          <w:lang w:val="en-AU" w:eastAsia="ko-KR"/>
        </w:rPr>
        <w:t>Is the available data:</w:t>
      </w:r>
    </w:p>
    <w:p w14:paraId="21B2D3C2" w14:textId="77777777" w:rsidR="00C840B1" w:rsidRPr="00591874" w:rsidRDefault="00C840B1" w:rsidP="00380550">
      <w:pPr>
        <w:numPr>
          <w:ilvl w:val="1"/>
          <w:numId w:val="28"/>
        </w:numPr>
        <w:spacing w:after="80" w:line="240" w:lineRule="auto"/>
        <w:ind w:left="928" w:right="-284" w:hanging="284"/>
        <w:jc w:val="left"/>
        <w:rPr>
          <w:rFonts w:ascii="Calibri" w:eastAsia="Malgun Gothic" w:hAnsi="Calibri" w:cs="Times New Roman"/>
          <w:szCs w:val="22"/>
          <w:lang w:val="en-AU" w:eastAsia="ko-KR"/>
        </w:rPr>
      </w:pPr>
      <w:r w:rsidRPr="00591874">
        <w:rPr>
          <w:rFonts w:ascii="Calibri" w:eastAsia="Malgun Gothic" w:hAnsi="Calibri" w:cs="Times New Roman"/>
          <w:szCs w:val="22"/>
          <w:lang w:val="en-AU" w:eastAsia="ko-KR"/>
        </w:rPr>
        <w:t>also disaggregated by other social attributes (i.e. age, race, region and disability)?</w:t>
      </w:r>
    </w:p>
    <w:p w14:paraId="64728693" w14:textId="77777777" w:rsidR="00C840B1" w:rsidRPr="00591874" w:rsidRDefault="00C840B1" w:rsidP="00380550">
      <w:pPr>
        <w:numPr>
          <w:ilvl w:val="1"/>
          <w:numId w:val="28"/>
        </w:numPr>
        <w:spacing w:after="80" w:line="240" w:lineRule="auto"/>
        <w:ind w:left="928" w:right="-284" w:hanging="284"/>
        <w:jc w:val="left"/>
        <w:rPr>
          <w:rFonts w:ascii="Calibri" w:eastAsia="Malgun Gothic" w:hAnsi="Calibri" w:cs="Times New Roman"/>
          <w:szCs w:val="22"/>
          <w:lang w:val="en-AU" w:eastAsia="ko-KR"/>
        </w:rPr>
      </w:pPr>
      <w:r w:rsidRPr="00591874">
        <w:rPr>
          <w:rFonts w:ascii="Calibri" w:eastAsia="Malgun Gothic" w:hAnsi="Calibri" w:cs="Times New Roman"/>
          <w:szCs w:val="22"/>
          <w:lang w:val="en-AU" w:eastAsia="ko-KR"/>
        </w:rPr>
        <w:t>both quantitative and qualitative?</w:t>
      </w:r>
    </w:p>
    <w:p w14:paraId="18A1B216" w14:textId="77777777" w:rsidR="00C840B1" w:rsidRPr="00591874" w:rsidRDefault="00C840B1" w:rsidP="00380550">
      <w:pPr>
        <w:numPr>
          <w:ilvl w:val="0"/>
          <w:numId w:val="28"/>
        </w:numPr>
        <w:spacing w:after="80" w:line="240" w:lineRule="auto"/>
        <w:ind w:left="650" w:right="-284" w:hanging="284"/>
        <w:jc w:val="left"/>
        <w:rPr>
          <w:rFonts w:ascii="Calibri" w:eastAsia="Malgun Gothic" w:hAnsi="Calibri" w:cs="Times New Roman"/>
          <w:szCs w:val="22"/>
          <w:lang w:val="en-AU" w:eastAsia="ko-KR"/>
        </w:rPr>
      </w:pPr>
      <w:r w:rsidRPr="00591874">
        <w:rPr>
          <w:rFonts w:ascii="Calibri" w:eastAsia="Malgun Gothic" w:hAnsi="Calibri" w:cs="Times New Roman"/>
          <w:szCs w:val="22"/>
          <w:lang w:val="en-AU" w:eastAsia="ko-KR"/>
        </w:rPr>
        <w:t>Has research been conducted (national and international) on gender components of these issues?</w:t>
      </w:r>
    </w:p>
    <w:p w14:paraId="0E39B310" w14:textId="77777777" w:rsidR="00C840B1" w:rsidRPr="00591874" w:rsidRDefault="00C840B1" w:rsidP="00380550">
      <w:pPr>
        <w:numPr>
          <w:ilvl w:val="1"/>
          <w:numId w:val="28"/>
        </w:numPr>
        <w:spacing w:after="80" w:line="240" w:lineRule="auto"/>
        <w:ind w:left="928" w:right="-284" w:hanging="284"/>
        <w:jc w:val="left"/>
        <w:rPr>
          <w:rFonts w:ascii="Calibri" w:eastAsia="Malgun Gothic" w:hAnsi="Calibri" w:cs="Times New Roman"/>
          <w:szCs w:val="22"/>
          <w:lang w:val="en-AU" w:eastAsia="ko-KR"/>
        </w:rPr>
      </w:pPr>
      <w:r w:rsidRPr="00591874">
        <w:rPr>
          <w:rFonts w:ascii="Calibri" w:eastAsia="Malgun Gothic" w:hAnsi="Calibri" w:cs="Times New Roman"/>
          <w:szCs w:val="22"/>
          <w:lang w:val="en-AU" w:eastAsia="ko-KR"/>
        </w:rPr>
        <w:t>For example, have the life factors/life cycle been considered when conducting research, such as income inequality?</w:t>
      </w:r>
    </w:p>
    <w:p w14:paraId="569721B6" w14:textId="77777777" w:rsidR="00C840B1" w:rsidRPr="00591874" w:rsidRDefault="00C840B1" w:rsidP="00380550">
      <w:pPr>
        <w:numPr>
          <w:ilvl w:val="0"/>
          <w:numId w:val="28"/>
        </w:numPr>
        <w:spacing w:after="80" w:line="240" w:lineRule="auto"/>
        <w:ind w:left="650" w:right="-284" w:hanging="284"/>
        <w:jc w:val="left"/>
        <w:rPr>
          <w:rFonts w:ascii="Calibri" w:eastAsia="Malgun Gothic" w:hAnsi="Calibri" w:cs="Times New Roman"/>
          <w:szCs w:val="22"/>
          <w:lang w:val="en-AU" w:eastAsia="ko-KR"/>
        </w:rPr>
      </w:pPr>
      <w:r w:rsidRPr="00591874">
        <w:rPr>
          <w:rFonts w:ascii="Calibri" w:eastAsia="Malgun Gothic" w:hAnsi="Calibri" w:cs="Times New Roman"/>
          <w:szCs w:val="22"/>
          <w:lang w:val="en-AU" w:eastAsia="ko-KR"/>
        </w:rPr>
        <w:t>What information have we collected from those with experience and knowledge in this area, both internal and external to our organisation?</w:t>
      </w:r>
    </w:p>
    <w:p w14:paraId="7EF52618" w14:textId="77777777" w:rsidR="00C840B1" w:rsidRPr="00591874" w:rsidRDefault="00C840B1" w:rsidP="00380550">
      <w:pPr>
        <w:numPr>
          <w:ilvl w:val="0"/>
          <w:numId w:val="28"/>
        </w:numPr>
        <w:spacing w:after="80" w:line="240" w:lineRule="auto"/>
        <w:ind w:left="650" w:right="-284" w:hanging="284"/>
        <w:jc w:val="left"/>
        <w:rPr>
          <w:rFonts w:ascii="Calibri" w:eastAsia="Malgun Gothic" w:hAnsi="Calibri" w:cs="Times New Roman"/>
          <w:szCs w:val="22"/>
          <w:lang w:val="en-AU" w:eastAsia="ko-KR"/>
        </w:rPr>
      </w:pPr>
      <w:r w:rsidRPr="00591874">
        <w:rPr>
          <w:rFonts w:ascii="Calibri" w:eastAsia="Malgun Gothic" w:hAnsi="Calibri" w:cs="Times New Roman"/>
          <w:szCs w:val="22"/>
          <w:lang w:val="en-AU" w:eastAsia="ko-KR"/>
        </w:rPr>
        <w:t>Are there identified gender gaps relating to these issues?</w:t>
      </w:r>
    </w:p>
    <w:p w14:paraId="1DC364E7" w14:textId="77777777" w:rsidR="00C840B1" w:rsidRPr="00591874" w:rsidRDefault="00C840B1" w:rsidP="00380550">
      <w:pPr>
        <w:numPr>
          <w:ilvl w:val="0"/>
          <w:numId w:val="28"/>
        </w:numPr>
        <w:spacing w:after="80" w:line="240" w:lineRule="auto"/>
        <w:ind w:left="650" w:right="-284" w:hanging="284"/>
        <w:jc w:val="left"/>
        <w:rPr>
          <w:rFonts w:ascii="Calibri" w:eastAsia="Malgun Gothic" w:hAnsi="Calibri" w:cs="Times New Roman"/>
          <w:szCs w:val="22"/>
          <w:lang w:val="en-AU" w:eastAsia="ko-KR"/>
        </w:rPr>
      </w:pPr>
      <w:r w:rsidRPr="00591874">
        <w:rPr>
          <w:rFonts w:ascii="Calibri" w:eastAsia="Malgun Gothic" w:hAnsi="Calibri" w:cs="Times New Roman"/>
          <w:szCs w:val="22"/>
          <w:lang w:val="en-AU" w:eastAsia="ko-KR"/>
        </w:rPr>
        <w:t>Are other models available, addressing these issues?</w:t>
      </w:r>
    </w:p>
    <w:p w14:paraId="6C02A0E5" w14:textId="77777777" w:rsidR="00C840B1" w:rsidRPr="00591874" w:rsidRDefault="00C840B1" w:rsidP="00380550">
      <w:pPr>
        <w:numPr>
          <w:ilvl w:val="0"/>
          <w:numId w:val="28"/>
        </w:numPr>
        <w:spacing w:after="80" w:line="240" w:lineRule="auto"/>
        <w:ind w:left="650" w:right="-284" w:hanging="284"/>
        <w:jc w:val="left"/>
        <w:rPr>
          <w:rFonts w:ascii="Calibri" w:eastAsia="Malgun Gothic" w:hAnsi="Calibri" w:cs="Times New Roman"/>
          <w:szCs w:val="22"/>
          <w:lang w:val="en-AU" w:eastAsia="ko-KR"/>
        </w:rPr>
      </w:pPr>
      <w:r w:rsidRPr="00591874">
        <w:rPr>
          <w:rFonts w:ascii="Calibri" w:eastAsia="Malgun Gothic" w:hAnsi="Calibri" w:cs="Times New Roman"/>
          <w:szCs w:val="22"/>
          <w:lang w:val="en-AU" w:eastAsia="ko-KR"/>
        </w:rPr>
        <w:t xml:space="preserve">Are other organisations (government and non-government) involved or potentially involved? </w:t>
      </w:r>
    </w:p>
    <w:p w14:paraId="2D0871ED" w14:textId="77777777" w:rsidR="00591874" w:rsidRPr="00591874" w:rsidRDefault="00591874" w:rsidP="00591874">
      <w:pPr>
        <w:spacing w:after="80" w:line="240" w:lineRule="auto"/>
        <w:ind w:left="290" w:right="-284"/>
        <w:jc w:val="left"/>
        <w:rPr>
          <w:rFonts w:ascii="Calibri" w:eastAsia="Malgun Gothic" w:hAnsi="Calibri" w:cs="Times New Roman"/>
          <w:szCs w:val="22"/>
          <w:lang w:val="en-AU" w:eastAsia="ko-KR"/>
        </w:rPr>
      </w:pPr>
    </w:p>
    <w:p w14:paraId="3BE36D20" w14:textId="77777777" w:rsidR="00C840B1" w:rsidRPr="003D241B" w:rsidRDefault="00C840B1" w:rsidP="00C840B1">
      <w:pPr>
        <w:pBdr>
          <w:bottom w:val="single" w:sz="4" w:space="1" w:color="538135"/>
        </w:pBdr>
        <w:spacing w:line="240" w:lineRule="auto"/>
        <w:jc w:val="center"/>
        <w:rPr>
          <w:rFonts w:ascii="Calibri" w:eastAsia="Malgun Gothic" w:hAnsi="Calibri" w:cs="Times New Roman"/>
          <w:color w:val="385623"/>
          <w:szCs w:val="22"/>
          <w:lang w:val="en-AU" w:eastAsia="ko-KR"/>
        </w:rPr>
      </w:pPr>
      <w:r w:rsidRPr="00591874">
        <w:rPr>
          <w:rFonts w:ascii="Calibri" w:eastAsia="Malgun Gothic" w:hAnsi="Calibri" w:cs="Times New Roman"/>
          <w:color w:val="385623"/>
          <w:szCs w:val="22"/>
          <w:lang w:val="en-AU" w:eastAsia="ko-KR"/>
        </w:rPr>
        <w:t>STAGE 3:</w:t>
      </w:r>
      <w:r w:rsidRPr="00591874">
        <w:rPr>
          <w:rFonts w:ascii="Calibri" w:eastAsia="Malgun Gothic" w:hAnsi="Calibri" w:cs="Times New Roman"/>
          <w:b/>
          <w:color w:val="385623"/>
          <w:szCs w:val="22"/>
          <w:lang w:val="en-AU" w:eastAsia="ko-KR"/>
        </w:rPr>
        <w:t xml:space="preserve"> Identifying and defining outcomes</w:t>
      </w:r>
    </w:p>
    <w:p w14:paraId="1EDE28E3" w14:textId="77777777" w:rsidR="00C840B1" w:rsidRPr="00591874" w:rsidRDefault="00C840B1" w:rsidP="00380550">
      <w:pPr>
        <w:numPr>
          <w:ilvl w:val="0"/>
          <w:numId w:val="32"/>
        </w:numPr>
        <w:spacing w:after="80" w:line="240" w:lineRule="auto"/>
        <w:ind w:left="720" w:right="-284"/>
        <w:jc w:val="left"/>
        <w:rPr>
          <w:rFonts w:ascii="Calibri" w:eastAsia="Malgun Gothic" w:hAnsi="Calibri" w:cs="Times New Roman"/>
          <w:szCs w:val="22"/>
          <w:lang w:val="en-AU" w:eastAsia="ko-KR"/>
        </w:rPr>
      </w:pPr>
      <w:r w:rsidRPr="00591874">
        <w:rPr>
          <w:rFonts w:ascii="Calibri" w:eastAsia="Malgun Gothic" w:hAnsi="Calibri" w:cs="Times New Roman"/>
          <w:szCs w:val="22"/>
          <w:lang w:val="en-AU" w:eastAsia="ko-KR"/>
        </w:rPr>
        <w:t>What are the desired outcomes of the policy, program or service?</w:t>
      </w:r>
    </w:p>
    <w:p w14:paraId="4BD35226" w14:textId="77777777" w:rsidR="00C840B1" w:rsidRPr="00591874" w:rsidRDefault="00C840B1" w:rsidP="00380550">
      <w:pPr>
        <w:numPr>
          <w:ilvl w:val="0"/>
          <w:numId w:val="32"/>
        </w:numPr>
        <w:spacing w:after="80" w:line="240" w:lineRule="auto"/>
        <w:ind w:left="720" w:right="-284"/>
        <w:jc w:val="left"/>
        <w:rPr>
          <w:rFonts w:ascii="Calibri" w:eastAsia="Malgun Gothic" w:hAnsi="Calibri" w:cs="Times New Roman"/>
          <w:szCs w:val="22"/>
          <w:lang w:val="en-AU" w:eastAsia="ko-KR"/>
        </w:rPr>
      </w:pPr>
      <w:r w:rsidRPr="00591874">
        <w:rPr>
          <w:rFonts w:ascii="Calibri" w:eastAsia="Malgun Gothic" w:hAnsi="Calibri" w:cs="Times New Roman"/>
          <w:szCs w:val="22"/>
          <w:lang w:val="en-AU" w:eastAsia="ko-KR"/>
        </w:rPr>
        <w:t>What are the gender-specific factors that could affect the achievement of outcomes (e.g. pregnancy, workplace sexual harassment, childcare/family responsibilities)?</w:t>
      </w:r>
    </w:p>
    <w:p w14:paraId="050352CD" w14:textId="77777777" w:rsidR="00C840B1" w:rsidRPr="00591874" w:rsidRDefault="00C840B1" w:rsidP="00380550">
      <w:pPr>
        <w:numPr>
          <w:ilvl w:val="0"/>
          <w:numId w:val="28"/>
        </w:numPr>
        <w:spacing w:after="80" w:line="240" w:lineRule="auto"/>
        <w:ind w:left="720" w:right="-284"/>
        <w:jc w:val="left"/>
        <w:rPr>
          <w:rFonts w:ascii="Calibri" w:eastAsia="Malgun Gothic" w:hAnsi="Calibri" w:cs="Times New Roman"/>
          <w:szCs w:val="22"/>
          <w:lang w:val="en-AU" w:eastAsia="ko-KR"/>
        </w:rPr>
      </w:pPr>
      <w:r w:rsidRPr="00591874">
        <w:rPr>
          <w:rFonts w:ascii="Calibri" w:eastAsia="Malgun Gothic" w:hAnsi="Calibri" w:cs="Times New Roman"/>
          <w:szCs w:val="22"/>
          <w:lang w:val="en-AU" w:eastAsia="ko-KR"/>
        </w:rPr>
        <w:t>Are there negative outcomes for women, men or gender diverse people?</w:t>
      </w:r>
    </w:p>
    <w:p w14:paraId="6B8C3186" w14:textId="77777777" w:rsidR="00C840B1" w:rsidRPr="00591874" w:rsidRDefault="00C840B1" w:rsidP="00380550">
      <w:pPr>
        <w:numPr>
          <w:ilvl w:val="1"/>
          <w:numId w:val="28"/>
        </w:numPr>
        <w:spacing w:after="80" w:line="240" w:lineRule="auto"/>
        <w:ind w:left="928" w:right="-284" w:hanging="284"/>
        <w:jc w:val="left"/>
        <w:rPr>
          <w:rFonts w:ascii="Calibri" w:eastAsia="Malgun Gothic" w:hAnsi="Calibri" w:cs="Times New Roman"/>
          <w:szCs w:val="22"/>
          <w:lang w:val="en-AU" w:eastAsia="ko-KR"/>
        </w:rPr>
      </w:pPr>
      <w:r w:rsidRPr="00591874">
        <w:rPr>
          <w:rFonts w:ascii="Calibri" w:eastAsia="Malgun Gothic" w:hAnsi="Calibri" w:cs="Times New Roman"/>
          <w:szCs w:val="22"/>
          <w:lang w:val="en-AU" w:eastAsia="ko-KR"/>
        </w:rPr>
        <w:t>Are some groups of women, men and gender diverse people excluded from the outcomes?</w:t>
      </w:r>
    </w:p>
    <w:p w14:paraId="7C54E493" w14:textId="77777777" w:rsidR="00C840B1" w:rsidRPr="00591874" w:rsidRDefault="00C840B1" w:rsidP="00380550">
      <w:pPr>
        <w:numPr>
          <w:ilvl w:val="0"/>
          <w:numId w:val="33"/>
        </w:numPr>
        <w:spacing w:after="80" w:line="240" w:lineRule="auto"/>
        <w:ind w:left="720" w:right="-284"/>
        <w:jc w:val="left"/>
        <w:rPr>
          <w:rFonts w:ascii="Calibri" w:eastAsia="Malgun Gothic" w:hAnsi="Calibri" w:cs="Times New Roman"/>
          <w:szCs w:val="22"/>
          <w:lang w:val="en-AU" w:eastAsia="ko-KR"/>
        </w:rPr>
      </w:pPr>
      <w:r w:rsidRPr="00591874">
        <w:rPr>
          <w:rFonts w:ascii="Calibri" w:eastAsia="Malgun Gothic" w:hAnsi="Calibri" w:cs="Times New Roman"/>
          <w:szCs w:val="22"/>
          <w:lang w:val="en-AU" w:eastAsia="ko-KR"/>
        </w:rPr>
        <w:t>What are our legal obligations regarding gender equity and equality? Will they be breached or supported by the proposed options?</w:t>
      </w:r>
    </w:p>
    <w:p w14:paraId="55F0219A" w14:textId="77777777" w:rsidR="00591874" w:rsidRPr="00591874" w:rsidRDefault="00C840B1" w:rsidP="00380550">
      <w:pPr>
        <w:numPr>
          <w:ilvl w:val="0"/>
          <w:numId w:val="33"/>
        </w:numPr>
        <w:spacing w:after="0" w:line="240" w:lineRule="auto"/>
        <w:ind w:left="720" w:right="-284"/>
        <w:jc w:val="left"/>
        <w:rPr>
          <w:b/>
          <w:szCs w:val="22"/>
          <w:lang w:val="en-AU"/>
        </w:rPr>
      </w:pPr>
      <w:r w:rsidRPr="00591874">
        <w:rPr>
          <w:rFonts w:ascii="Calibri" w:eastAsia="Malgun Gothic" w:hAnsi="Calibri" w:cs="Times New Roman"/>
          <w:szCs w:val="22"/>
          <w:lang w:val="en-AU" w:eastAsia="ko-KR"/>
        </w:rPr>
        <w:t>Are there factors associated with gender roles that could modify the possibility of achieving the outcomes (such as pregnancy, caring responsibilities, sexual orientation)?</w:t>
      </w:r>
    </w:p>
    <w:p w14:paraId="1EC794C9" w14:textId="7845EFE0" w:rsidR="00C840B1" w:rsidRPr="00591874" w:rsidRDefault="00C840B1" w:rsidP="00380550">
      <w:pPr>
        <w:numPr>
          <w:ilvl w:val="0"/>
          <w:numId w:val="33"/>
        </w:numPr>
        <w:spacing w:after="0" w:line="240" w:lineRule="auto"/>
        <w:ind w:left="720" w:right="-284"/>
        <w:jc w:val="left"/>
        <w:rPr>
          <w:b/>
          <w:szCs w:val="22"/>
          <w:lang w:val="en-AU"/>
        </w:rPr>
      </w:pPr>
      <w:r w:rsidRPr="00591874">
        <w:rPr>
          <w:rFonts w:ascii="Calibri" w:eastAsia="Malgun Gothic" w:hAnsi="Calibri" w:cs="Times New Roman"/>
          <w:szCs w:val="22"/>
          <w:lang w:val="en-AU" w:eastAsia="ko-KR"/>
        </w:rPr>
        <w:t>What are our measures (performance indicators) to evaluate the outcomes?</w:t>
      </w:r>
    </w:p>
    <w:p w14:paraId="4A266B31" w14:textId="77777777" w:rsidR="009D61D4" w:rsidRPr="00977BC1" w:rsidRDefault="009D61D4">
      <w:pPr>
        <w:spacing w:after="0" w:line="240" w:lineRule="auto"/>
        <w:jc w:val="left"/>
        <w:rPr>
          <w:rFonts w:asciiTheme="majorHAnsi" w:hAnsiTheme="majorHAnsi" w:cstheme="majorHAnsi"/>
          <w:lang w:val="en-AU"/>
        </w:rPr>
      </w:pPr>
    </w:p>
    <w:p w14:paraId="32C245E8" w14:textId="5A270D15" w:rsidR="009D61D4" w:rsidRPr="009D61D4" w:rsidRDefault="00991751" w:rsidP="00977BC1">
      <w:pPr>
        <w:shd w:val="clear" w:color="auto" w:fill="385623"/>
        <w:spacing w:after="0" w:line="360" w:lineRule="auto"/>
        <w:jc w:val="center"/>
        <w:rPr>
          <w:rFonts w:ascii="Calibri Light" w:hAnsi="Calibri Light" w:cs="Calibri Light"/>
          <w:b/>
          <w:color w:val="FFFFFF" w:themeColor="background1"/>
          <w:sz w:val="24"/>
          <w:lang w:val="en-AU"/>
        </w:rPr>
      </w:pPr>
      <w:r>
        <w:rPr>
          <w:rFonts w:ascii="Calibri Light" w:hAnsi="Calibri Light" w:cs="Calibri Light"/>
          <w:b/>
          <w:color w:val="FFFFFF" w:themeColor="background1"/>
          <w:sz w:val="24"/>
          <w:lang w:val="en-AU"/>
        </w:rPr>
        <w:t>Planning and communicating</w:t>
      </w:r>
      <w:bookmarkStart w:id="0" w:name="_GoBack"/>
      <w:bookmarkEnd w:id="0"/>
    </w:p>
    <w:p w14:paraId="3848F933" w14:textId="77777777" w:rsidR="009953C9" w:rsidRPr="003D241B" w:rsidRDefault="009953C9" w:rsidP="00977BC1">
      <w:pPr>
        <w:pBdr>
          <w:bottom w:val="single" w:sz="4" w:space="1" w:color="538135"/>
        </w:pBdr>
        <w:spacing w:before="120" w:line="240" w:lineRule="auto"/>
        <w:jc w:val="center"/>
        <w:rPr>
          <w:rFonts w:ascii="Calibri" w:eastAsia="Malgun Gothic" w:hAnsi="Calibri" w:cs="Times New Roman"/>
          <w:color w:val="385623"/>
          <w:szCs w:val="22"/>
          <w:lang w:val="en-AU" w:eastAsia="ko-KR"/>
        </w:rPr>
      </w:pPr>
      <w:r w:rsidRPr="009953C9">
        <w:rPr>
          <w:rFonts w:ascii="Calibri" w:eastAsia="Malgun Gothic" w:hAnsi="Calibri" w:cs="Times New Roman"/>
          <w:color w:val="385623"/>
          <w:szCs w:val="22"/>
          <w:lang w:val="en-AU" w:eastAsia="ko-KR"/>
        </w:rPr>
        <w:t>STAGE 4:</w:t>
      </w:r>
      <w:r w:rsidRPr="009953C9">
        <w:rPr>
          <w:rFonts w:ascii="Calibri" w:eastAsia="Malgun Gothic" w:hAnsi="Calibri" w:cs="Times New Roman"/>
          <w:b/>
          <w:color w:val="385623"/>
          <w:szCs w:val="22"/>
          <w:lang w:val="en-AU" w:eastAsia="ko-KR"/>
        </w:rPr>
        <w:t xml:space="preserve"> Planning</w:t>
      </w:r>
    </w:p>
    <w:p w14:paraId="628CE8A6" w14:textId="77777777" w:rsidR="009953C9" w:rsidRPr="009953C9" w:rsidRDefault="009953C9" w:rsidP="00380550">
      <w:pPr>
        <w:numPr>
          <w:ilvl w:val="0"/>
          <w:numId w:val="35"/>
        </w:numPr>
        <w:spacing w:after="80" w:line="240" w:lineRule="auto"/>
        <w:ind w:left="720" w:right="-284"/>
        <w:jc w:val="left"/>
        <w:rPr>
          <w:rFonts w:ascii="Calibri" w:eastAsia="Malgun Gothic" w:hAnsi="Calibri" w:cs="Times New Roman"/>
          <w:szCs w:val="22"/>
          <w:lang w:val="en-AU" w:eastAsia="ko-KR"/>
        </w:rPr>
      </w:pPr>
      <w:r w:rsidRPr="009953C9">
        <w:rPr>
          <w:rFonts w:ascii="Calibri" w:eastAsia="Malgun Gothic" w:hAnsi="Calibri" w:cs="Times New Roman"/>
          <w:szCs w:val="22"/>
          <w:lang w:val="en-AU" w:eastAsia="ko-KR"/>
        </w:rPr>
        <w:t>What options are possible according to the data and research? How do the proposed options support gender equity or equality?</w:t>
      </w:r>
    </w:p>
    <w:p w14:paraId="52C62150" w14:textId="77777777" w:rsidR="009953C9" w:rsidRPr="009953C9" w:rsidRDefault="009953C9" w:rsidP="00380550">
      <w:pPr>
        <w:numPr>
          <w:ilvl w:val="0"/>
          <w:numId w:val="35"/>
        </w:numPr>
        <w:spacing w:after="80" w:line="240" w:lineRule="auto"/>
        <w:ind w:left="720"/>
        <w:jc w:val="left"/>
        <w:rPr>
          <w:rFonts w:ascii="Calibri" w:eastAsia="Malgun Gothic" w:hAnsi="Calibri" w:cs="Times New Roman"/>
          <w:szCs w:val="22"/>
          <w:lang w:val="en-AU" w:eastAsia="ko-KR"/>
        </w:rPr>
      </w:pPr>
      <w:r w:rsidRPr="009953C9">
        <w:rPr>
          <w:rFonts w:ascii="Calibri" w:eastAsia="Malgun Gothic" w:hAnsi="Calibri" w:cs="Times New Roman"/>
          <w:szCs w:val="22"/>
          <w:lang w:val="en-AU" w:eastAsia="ko-KR"/>
        </w:rPr>
        <w:t>How will people of all genders engage in the development of the proposed options – as customers or as stakeholders?</w:t>
      </w:r>
    </w:p>
    <w:p w14:paraId="15F8E151" w14:textId="77777777" w:rsidR="009953C9" w:rsidRPr="009953C9" w:rsidRDefault="009953C9" w:rsidP="00380550">
      <w:pPr>
        <w:numPr>
          <w:ilvl w:val="0"/>
          <w:numId w:val="35"/>
        </w:numPr>
        <w:spacing w:after="80" w:line="240" w:lineRule="auto"/>
        <w:ind w:left="720"/>
        <w:jc w:val="left"/>
        <w:rPr>
          <w:rFonts w:ascii="Calibri" w:eastAsia="Malgun Gothic" w:hAnsi="Calibri" w:cs="Times New Roman"/>
          <w:szCs w:val="22"/>
          <w:lang w:val="en-AU" w:eastAsia="ko-KR"/>
        </w:rPr>
      </w:pPr>
      <w:r w:rsidRPr="009953C9">
        <w:rPr>
          <w:rFonts w:ascii="Calibri" w:eastAsia="Malgun Gothic" w:hAnsi="Calibri" w:cs="Times New Roman"/>
          <w:szCs w:val="22"/>
          <w:lang w:val="en-AU" w:eastAsia="ko-KR"/>
        </w:rPr>
        <w:t xml:space="preserve">Are the issues linked with other related strategies or initiatives? </w:t>
      </w:r>
    </w:p>
    <w:p w14:paraId="07E89F72" w14:textId="77777777" w:rsidR="009953C9" w:rsidRPr="009953C9" w:rsidRDefault="009953C9" w:rsidP="00380550">
      <w:pPr>
        <w:numPr>
          <w:ilvl w:val="0"/>
          <w:numId w:val="35"/>
        </w:numPr>
        <w:spacing w:after="80" w:line="240" w:lineRule="auto"/>
        <w:ind w:left="720"/>
        <w:jc w:val="left"/>
        <w:rPr>
          <w:rFonts w:ascii="Calibri" w:eastAsia="Malgun Gothic" w:hAnsi="Calibri" w:cs="Times New Roman"/>
          <w:szCs w:val="22"/>
          <w:lang w:val="en-AU" w:eastAsia="ko-KR"/>
        </w:rPr>
      </w:pPr>
      <w:r w:rsidRPr="009953C9">
        <w:rPr>
          <w:rFonts w:ascii="Calibri" w:eastAsia="Malgun Gothic" w:hAnsi="Calibri" w:cs="Times New Roman"/>
          <w:szCs w:val="22"/>
          <w:lang w:val="en-AU" w:eastAsia="ko-KR"/>
        </w:rPr>
        <w:t>Are there opportunities for collaboration with other organisations – government and non-government?</w:t>
      </w:r>
    </w:p>
    <w:p w14:paraId="023982AD" w14:textId="77777777" w:rsidR="009953C9" w:rsidRPr="009953C9" w:rsidRDefault="009953C9" w:rsidP="00380550">
      <w:pPr>
        <w:numPr>
          <w:ilvl w:val="0"/>
          <w:numId w:val="35"/>
        </w:numPr>
        <w:spacing w:after="80" w:line="240" w:lineRule="auto"/>
        <w:ind w:left="720"/>
        <w:jc w:val="left"/>
        <w:rPr>
          <w:rFonts w:ascii="Calibri" w:eastAsia="Malgun Gothic" w:hAnsi="Calibri" w:cs="Times New Roman"/>
          <w:szCs w:val="22"/>
          <w:lang w:val="en-AU" w:eastAsia="ko-KR"/>
        </w:rPr>
      </w:pPr>
      <w:r w:rsidRPr="009953C9">
        <w:rPr>
          <w:rFonts w:ascii="Calibri" w:eastAsia="Malgun Gothic" w:hAnsi="Calibri" w:cs="Times New Roman"/>
          <w:szCs w:val="22"/>
          <w:lang w:val="en-AU" w:eastAsia="ko-KR"/>
        </w:rPr>
        <w:t xml:space="preserve">How might the engagement process assist in sorting and prioritising options? </w:t>
      </w:r>
    </w:p>
    <w:p w14:paraId="7356EB67" w14:textId="77777777" w:rsidR="009953C9" w:rsidRPr="009953C9" w:rsidRDefault="009953C9" w:rsidP="00380550">
      <w:pPr>
        <w:numPr>
          <w:ilvl w:val="1"/>
          <w:numId w:val="34"/>
        </w:numPr>
        <w:spacing w:after="80" w:line="240" w:lineRule="auto"/>
        <w:ind w:left="928" w:hanging="284"/>
        <w:jc w:val="left"/>
        <w:rPr>
          <w:rFonts w:ascii="Calibri" w:eastAsia="Malgun Gothic" w:hAnsi="Calibri" w:cs="Times New Roman"/>
          <w:szCs w:val="22"/>
          <w:lang w:val="en-AU" w:eastAsia="ko-KR"/>
        </w:rPr>
      </w:pPr>
      <w:r w:rsidRPr="009953C9">
        <w:rPr>
          <w:rFonts w:ascii="Calibri" w:eastAsia="Malgun Gothic" w:hAnsi="Calibri" w:cs="Times New Roman"/>
          <w:szCs w:val="22"/>
          <w:lang w:val="en-AU" w:eastAsia="ko-KR"/>
        </w:rPr>
        <w:t>Is gender equity and equality a consideration for sorting options?</w:t>
      </w:r>
    </w:p>
    <w:p w14:paraId="6891D657" w14:textId="77777777" w:rsidR="009953C9" w:rsidRPr="009953C9" w:rsidRDefault="009953C9" w:rsidP="00380550">
      <w:pPr>
        <w:numPr>
          <w:ilvl w:val="0"/>
          <w:numId w:val="36"/>
        </w:numPr>
        <w:spacing w:after="80" w:line="240" w:lineRule="auto"/>
        <w:ind w:left="720"/>
        <w:jc w:val="left"/>
        <w:rPr>
          <w:rFonts w:ascii="Calibri" w:eastAsia="Malgun Gothic" w:hAnsi="Calibri" w:cs="Times New Roman"/>
          <w:szCs w:val="22"/>
          <w:lang w:val="en-AU" w:eastAsia="ko-KR"/>
        </w:rPr>
      </w:pPr>
      <w:r w:rsidRPr="009953C9">
        <w:rPr>
          <w:rFonts w:ascii="Calibri" w:eastAsia="Malgun Gothic" w:hAnsi="Calibri" w:cs="Times New Roman"/>
          <w:szCs w:val="22"/>
          <w:lang w:val="en-AU" w:eastAsia="ko-KR"/>
        </w:rPr>
        <w:t>Who will implement each option, and what resources are required?</w:t>
      </w:r>
    </w:p>
    <w:p w14:paraId="3DD8A531" w14:textId="77777777" w:rsidR="009953C9" w:rsidRDefault="009953C9" w:rsidP="00380550">
      <w:pPr>
        <w:numPr>
          <w:ilvl w:val="0"/>
          <w:numId w:val="36"/>
        </w:numPr>
        <w:spacing w:after="80" w:line="240" w:lineRule="auto"/>
        <w:ind w:left="720"/>
        <w:jc w:val="left"/>
        <w:rPr>
          <w:rFonts w:ascii="Calibri" w:eastAsia="Malgun Gothic" w:hAnsi="Calibri" w:cs="Times New Roman"/>
          <w:szCs w:val="22"/>
          <w:lang w:val="en-AU" w:eastAsia="ko-KR"/>
        </w:rPr>
      </w:pPr>
      <w:r w:rsidRPr="009953C9">
        <w:rPr>
          <w:rFonts w:ascii="Calibri" w:eastAsia="Malgun Gothic" w:hAnsi="Calibri" w:cs="Times New Roman"/>
          <w:szCs w:val="22"/>
          <w:lang w:val="en-AU" w:eastAsia="ko-KR"/>
        </w:rPr>
        <w:t>Are there any potential barriers or areas of resistance?  How will you address these?</w:t>
      </w:r>
    </w:p>
    <w:p w14:paraId="3B461D9F" w14:textId="77777777" w:rsidR="009953C9" w:rsidRPr="003D241B" w:rsidRDefault="009953C9" w:rsidP="009953C9">
      <w:pPr>
        <w:pBdr>
          <w:bottom w:val="single" w:sz="4" w:space="1" w:color="538135"/>
        </w:pBdr>
        <w:spacing w:line="240" w:lineRule="auto"/>
        <w:jc w:val="center"/>
        <w:rPr>
          <w:rFonts w:ascii="Calibri" w:eastAsia="Malgun Gothic" w:hAnsi="Calibri" w:cs="Times New Roman"/>
          <w:color w:val="385623"/>
          <w:szCs w:val="22"/>
          <w:lang w:val="en-AU" w:eastAsia="ko-KR"/>
        </w:rPr>
      </w:pPr>
      <w:r w:rsidRPr="009953C9">
        <w:rPr>
          <w:rFonts w:ascii="Calibri" w:eastAsia="Malgun Gothic" w:hAnsi="Calibri" w:cs="Times New Roman"/>
          <w:color w:val="385623"/>
          <w:szCs w:val="22"/>
          <w:lang w:val="en-AU" w:eastAsia="ko-KR"/>
        </w:rPr>
        <w:lastRenderedPageBreak/>
        <w:t>STAGE 5:</w:t>
      </w:r>
      <w:r w:rsidRPr="009953C9">
        <w:rPr>
          <w:rFonts w:ascii="Calibri" w:eastAsia="Malgun Gothic" w:hAnsi="Calibri" w:cs="Times New Roman"/>
          <w:b/>
          <w:color w:val="385623"/>
          <w:szCs w:val="22"/>
          <w:lang w:val="en-AU" w:eastAsia="ko-KR"/>
        </w:rPr>
        <w:t xml:space="preserve"> Communication</w:t>
      </w:r>
    </w:p>
    <w:p w14:paraId="0BEB27EB" w14:textId="77777777" w:rsidR="009953C9" w:rsidRPr="009953C9" w:rsidRDefault="009953C9" w:rsidP="00380550">
      <w:pPr>
        <w:numPr>
          <w:ilvl w:val="0"/>
          <w:numId w:val="37"/>
        </w:numPr>
        <w:spacing w:after="80" w:line="240" w:lineRule="auto"/>
        <w:jc w:val="left"/>
        <w:rPr>
          <w:rFonts w:ascii="Calibri" w:eastAsia="Malgun Gothic" w:hAnsi="Calibri" w:cs="Times New Roman"/>
          <w:szCs w:val="22"/>
          <w:lang w:val="en-AU" w:eastAsia="ko-KR"/>
        </w:rPr>
      </w:pPr>
      <w:r w:rsidRPr="009953C9">
        <w:rPr>
          <w:rFonts w:ascii="Calibri" w:eastAsia="Malgun Gothic" w:hAnsi="Calibri" w:cs="Times New Roman"/>
          <w:szCs w:val="22"/>
          <w:lang w:val="en-AU" w:eastAsia="ko-KR"/>
        </w:rPr>
        <w:t>Who are our audiences, what is our main message and does our communication reflect the diversity of women, men and gender diverse people?</w:t>
      </w:r>
    </w:p>
    <w:p w14:paraId="57671CF7" w14:textId="77777777" w:rsidR="009953C9" w:rsidRPr="009953C9" w:rsidRDefault="009953C9" w:rsidP="00380550">
      <w:pPr>
        <w:numPr>
          <w:ilvl w:val="0"/>
          <w:numId w:val="37"/>
        </w:numPr>
        <w:spacing w:after="80" w:line="240" w:lineRule="auto"/>
        <w:jc w:val="left"/>
        <w:rPr>
          <w:rFonts w:ascii="Calibri" w:eastAsia="Malgun Gothic" w:hAnsi="Calibri" w:cs="Times New Roman"/>
          <w:szCs w:val="22"/>
          <w:lang w:val="en-AU" w:eastAsia="ko-KR"/>
        </w:rPr>
      </w:pPr>
      <w:r w:rsidRPr="009953C9">
        <w:rPr>
          <w:rFonts w:ascii="Calibri" w:eastAsia="Malgun Gothic" w:hAnsi="Calibri" w:cs="Times New Roman"/>
          <w:szCs w:val="22"/>
          <w:lang w:val="en-AU" w:eastAsia="ko-KR"/>
        </w:rPr>
        <w:t>Is the variety of media used accessible to a range of audiences, including under-represented groups?</w:t>
      </w:r>
    </w:p>
    <w:p w14:paraId="29CF0B38" w14:textId="77777777" w:rsidR="009953C9" w:rsidRPr="009953C9" w:rsidRDefault="009953C9" w:rsidP="00380550">
      <w:pPr>
        <w:numPr>
          <w:ilvl w:val="0"/>
          <w:numId w:val="37"/>
        </w:numPr>
        <w:spacing w:after="80" w:line="240" w:lineRule="auto"/>
        <w:jc w:val="left"/>
        <w:rPr>
          <w:rFonts w:ascii="Calibri" w:eastAsia="Malgun Gothic" w:hAnsi="Calibri" w:cs="Times New Roman"/>
          <w:szCs w:val="22"/>
          <w:lang w:val="en-AU" w:eastAsia="ko-KR"/>
        </w:rPr>
      </w:pPr>
      <w:r w:rsidRPr="009953C9">
        <w:rPr>
          <w:rFonts w:ascii="Calibri" w:eastAsia="Malgun Gothic" w:hAnsi="Calibri" w:cs="Times New Roman"/>
          <w:szCs w:val="22"/>
          <w:lang w:val="en-AU" w:eastAsia="ko-KR"/>
        </w:rPr>
        <w:t>Do our language and visuals stereotype women, men and gender diverse people?</w:t>
      </w:r>
    </w:p>
    <w:p w14:paraId="06EE34DF" w14:textId="77777777" w:rsidR="009953C9" w:rsidRPr="009953C9" w:rsidRDefault="009953C9" w:rsidP="00380550">
      <w:pPr>
        <w:numPr>
          <w:ilvl w:val="0"/>
          <w:numId w:val="37"/>
        </w:numPr>
        <w:spacing w:after="80" w:line="240" w:lineRule="auto"/>
        <w:jc w:val="left"/>
        <w:rPr>
          <w:rFonts w:ascii="Calibri" w:eastAsia="Malgun Gothic" w:hAnsi="Calibri" w:cs="Times New Roman"/>
          <w:szCs w:val="22"/>
          <w:lang w:val="en-AU" w:eastAsia="ko-KR"/>
        </w:rPr>
      </w:pPr>
      <w:r w:rsidRPr="009953C9">
        <w:rPr>
          <w:rFonts w:ascii="Calibri" w:eastAsia="Malgun Gothic" w:hAnsi="Calibri" w:cs="Times New Roman"/>
          <w:szCs w:val="22"/>
          <w:lang w:val="en-AU" w:eastAsia="ko-KR"/>
        </w:rPr>
        <w:t>Is our language inclusive and respectful?</w:t>
      </w:r>
    </w:p>
    <w:p w14:paraId="7B6EF419" w14:textId="77777777" w:rsidR="009953C9" w:rsidRPr="009953C9" w:rsidRDefault="009953C9" w:rsidP="00380550">
      <w:pPr>
        <w:numPr>
          <w:ilvl w:val="0"/>
          <w:numId w:val="37"/>
        </w:numPr>
        <w:spacing w:after="80" w:line="240" w:lineRule="auto"/>
        <w:jc w:val="left"/>
        <w:rPr>
          <w:rFonts w:ascii="Calibri" w:eastAsia="Malgun Gothic" w:hAnsi="Calibri" w:cs="Times New Roman"/>
          <w:szCs w:val="22"/>
          <w:lang w:val="en-AU" w:eastAsia="ko-KR"/>
        </w:rPr>
      </w:pPr>
      <w:r w:rsidRPr="009953C9">
        <w:rPr>
          <w:rFonts w:ascii="Calibri" w:eastAsia="Malgun Gothic" w:hAnsi="Calibri" w:cs="Times New Roman"/>
          <w:szCs w:val="22"/>
          <w:lang w:val="en-AU" w:eastAsia="ko-KR"/>
        </w:rPr>
        <w:t>How will gender implications of our project be highlighted?</w:t>
      </w:r>
    </w:p>
    <w:p w14:paraId="53206B80" w14:textId="6A975FE9" w:rsidR="009D61D4" w:rsidRPr="00380550" w:rsidRDefault="009953C9" w:rsidP="00380550">
      <w:pPr>
        <w:pStyle w:val="ListParagraph"/>
        <w:numPr>
          <w:ilvl w:val="0"/>
          <w:numId w:val="37"/>
        </w:numPr>
        <w:spacing w:after="0" w:line="240" w:lineRule="auto"/>
        <w:jc w:val="left"/>
        <w:rPr>
          <w:lang w:val="en-AU"/>
        </w:rPr>
      </w:pPr>
      <w:r w:rsidRPr="009953C9">
        <w:rPr>
          <w:rFonts w:ascii="Calibri" w:eastAsia="Malgun Gothic" w:hAnsi="Calibri" w:cs="Times New Roman"/>
          <w:szCs w:val="22"/>
          <w:lang w:val="en-AU" w:eastAsia="ko-KR"/>
        </w:rPr>
        <w:t>Is there person-to-person outreach to marginalised and/or under-represented groups in the community?</w:t>
      </w:r>
    </w:p>
    <w:p w14:paraId="7B112C55" w14:textId="77777777" w:rsidR="00380550" w:rsidRPr="009953C9" w:rsidRDefault="00380550" w:rsidP="00380550">
      <w:pPr>
        <w:pStyle w:val="ListParagraph"/>
        <w:spacing w:after="0" w:line="240" w:lineRule="auto"/>
        <w:jc w:val="left"/>
        <w:rPr>
          <w:lang w:val="en-AU"/>
        </w:rPr>
      </w:pPr>
    </w:p>
    <w:p w14:paraId="4F743602" w14:textId="7533FF92" w:rsidR="00380550" w:rsidRPr="009D61D4" w:rsidRDefault="004E71F8" w:rsidP="00977BC1">
      <w:pPr>
        <w:shd w:val="clear" w:color="auto" w:fill="385623"/>
        <w:spacing w:after="0" w:line="360" w:lineRule="auto"/>
        <w:jc w:val="center"/>
        <w:rPr>
          <w:rFonts w:ascii="Calibri Light" w:hAnsi="Calibri Light" w:cs="Calibri Light"/>
          <w:b/>
          <w:color w:val="FFFFFF" w:themeColor="background1"/>
          <w:sz w:val="24"/>
          <w:lang w:val="en-AU"/>
        </w:rPr>
      </w:pPr>
      <w:r>
        <w:rPr>
          <w:rFonts w:ascii="Calibri Light" w:hAnsi="Calibri Light" w:cs="Calibri Light"/>
          <w:b/>
          <w:color w:val="FFFFFF" w:themeColor="background1"/>
          <w:sz w:val="24"/>
          <w:lang w:val="en-AU"/>
        </w:rPr>
        <w:t>Implementing</w:t>
      </w:r>
      <w:r w:rsidR="00380550" w:rsidRPr="009D61D4">
        <w:rPr>
          <w:rFonts w:ascii="Calibri Light" w:hAnsi="Calibri Light" w:cs="Calibri Light"/>
          <w:b/>
          <w:color w:val="FFFFFF" w:themeColor="background1"/>
          <w:sz w:val="24"/>
          <w:lang w:val="en-AU"/>
        </w:rPr>
        <w:t xml:space="preserve"> and </w:t>
      </w:r>
      <w:r>
        <w:rPr>
          <w:rFonts w:ascii="Calibri Light" w:hAnsi="Calibri Light" w:cs="Calibri Light"/>
          <w:b/>
          <w:color w:val="FFFFFF" w:themeColor="background1"/>
          <w:sz w:val="24"/>
          <w:lang w:val="en-AU"/>
        </w:rPr>
        <w:t>reporting</w:t>
      </w:r>
    </w:p>
    <w:p w14:paraId="01AB1EA5" w14:textId="77777777" w:rsidR="00380550" w:rsidRPr="003D241B" w:rsidRDefault="00380550" w:rsidP="00977BC1">
      <w:pPr>
        <w:pBdr>
          <w:bottom w:val="single" w:sz="4" w:space="1" w:color="538135"/>
        </w:pBdr>
        <w:spacing w:before="120" w:line="240" w:lineRule="auto"/>
        <w:ind w:right="-284"/>
        <w:jc w:val="center"/>
        <w:rPr>
          <w:rFonts w:ascii="Calibri" w:eastAsia="Malgun Gothic" w:hAnsi="Calibri" w:cs="Times New Roman"/>
          <w:color w:val="385623"/>
          <w:szCs w:val="22"/>
          <w:lang w:val="en-AU" w:eastAsia="ko-KR"/>
        </w:rPr>
      </w:pPr>
      <w:r w:rsidRPr="00380550">
        <w:rPr>
          <w:rFonts w:ascii="Calibri" w:eastAsia="Malgun Gothic" w:hAnsi="Calibri" w:cs="Times New Roman"/>
          <w:color w:val="385623"/>
          <w:szCs w:val="22"/>
          <w:lang w:val="en-AU" w:eastAsia="ko-KR"/>
        </w:rPr>
        <w:t>STAGE 6:</w:t>
      </w:r>
      <w:r w:rsidRPr="00380550">
        <w:rPr>
          <w:rFonts w:ascii="Calibri" w:eastAsia="Malgun Gothic" w:hAnsi="Calibri" w:cs="Times New Roman"/>
          <w:b/>
          <w:color w:val="385623"/>
          <w:szCs w:val="22"/>
          <w:lang w:val="en-AU" w:eastAsia="ko-KR"/>
        </w:rPr>
        <w:t xml:space="preserve"> Delivery/ implementation</w:t>
      </w:r>
    </w:p>
    <w:p w14:paraId="1CC34123" w14:textId="77777777" w:rsidR="00380550" w:rsidRPr="00380550" w:rsidRDefault="00380550" w:rsidP="00380550">
      <w:pPr>
        <w:numPr>
          <w:ilvl w:val="0"/>
          <w:numId w:val="29"/>
        </w:numPr>
        <w:spacing w:after="80" w:line="240" w:lineRule="auto"/>
        <w:ind w:right="-284"/>
        <w:jc w:val="left"/>
        <w:rPr>
          <w:rFonts w:ascii="Calibri" w:eastAsia="Malgun Gothic" w:hAnsi="Calibri" w:cs="Times New Roman"/>
          <w:szCs w:val="22"/>
          <w:lang w:val="en-AU" w:eastAsia="ko-KR"/>
        </w:rPr>
      </w:pPr>
      <w:r w:rsidRPr="00380550">
        <w:rPr>
          <w:rFonts w:ascii="Calibri" w:eastAsia="Malgun Gothic" w:hAnsi="Calibri" w:cs="Times New Roman"/>
          <w:szCs w:val="22"/>
          <w:lang w:val="en-AU" w:eastAsia="ko-KR"/>
        </w:rPr>
        <w:t>Does implementation and delivery address the issues and needs of different gender identities?</w:t>
      </w:r>
    </w:p>
    <w:p w14:paraId="09A6A11B" w14:textId="77777777" w:rsidR="00380550" w:rsidRPr="00380550" w:rsidRDefault="00380550" w:rsidP="00380550">
      <w:pPr>
        <w:numPr>
          <w:ilvl w:val="0"/>
          <w:numId w:val="29"/>
        </w:numPr>
        <w:spacing w:after="80" w:line="240" w:lineRule="auto"/>
        <w:ind w:right="-284"/>
        <w:jc w:val="left"/>
        <w:rPr>
          <w:rFonts w:ascii="Calibri" w:eastAsia="Malgun Gothic" w:hAnsi="Calibri" w:cs="Times New Roman"/>
          <w:szCs w:val="22"/>
          <w:lang w:val="en-AU" w:eastAsia="ko-KR"/>
        </w:rPr>
      </w:pPr>
      <w:r w:rsidRPr="00380550">
        <w:rPr>
          <w:rFonts w:ascii="Calibri" w:eastAsia="Malgun Gothic" w:hAnsi="Calibri" w:cs="Times New Roman"/>
          <w:szCs w:val="22"/>
          <w:lang w:val="en-AU" w:eastAsia="ko-KR"/>
        </w:rPr>
        <w:t>Are there specific strategies to include women, men and gender diverse people from marginalised and/or under-represented groups?</w:t>
      </w:r>
    </w:p>
    <w:p w14:paraId="587F3491" w14:textId="77777777" w:rsidR="00380550" w:rsidRPr="00380550" w:rsidRDefault="00380550" w:rsidP="00380550">
      <w:pPr>
        <w:numPr>
          <w:ilvl w:val="0"/>
          <w:numId w:val="29"/>
        </w:numPr>
        <w:spacing w:after="80" w:line="240" w:lineRule="auto"/>
        <w:ind w:right="-284"/>
        <w:jc w:val="left"/>
        <w:rPr>
          <w:rFonts w:ascii="Calibri" w:eastAsia="Malgun Gothic" w:hAnsi="Calibri" w:cs="Times New Roman"/>
          <w:szCs w:val="22"/>
          <w:lang w:val="en-AU" w:eastAsia="ko-KR"/>
        </w:rPr>
      </w:pPr>
      <w:r w:rsidRPr="00380550">
        <w:rPr>
          <w:rFonts w:ascii="Calibri" w:eastAsia="Malgun Gothic" w:hAnsi="Calibri" w:cs="Times New Roman"/>
          <w:szCs w:val="22"/>
          <w:lang w:val="en-AU" w:eastAsia="ko-KR"/>
        </w:rPr>
        <w:t>Who will be mostly involved in the implementation and delivery? How gender-aware are they?</w:t>
      </w:r>
    </w:p>
    <w:p w14:paraId="23107B84" w14:textId="77777777" w:rsidR="00380550" w:rsidRDefault="00380550" w:rsidP="00380550">
      <w:pPr>
        <w:numPr>
          <w:ilvl w:val="0"/>
          <w:numId w:val="29"/>
        </w:numPr>
        <w:spacing w:after="80" w:line="240" w:lineRule="auto"/>
        <w:ind w:right="-284"/>
        <w:jc w:val="left"/>
        <w:rPr>
          <w:rFonts w:ascii="Calibri" w:eastAsia="Malgun Gothic" w:hAnsi="Calibri" w:cs="Times New Roman"/>
          <w:szCs w:val="22"/>
          <w:lang w:val="en-AU" w:eastAsia="ko-KR"/>
        </w:rPr>
      </w:pPr>
      <w:r w:rsidRPr="00380550">
        <w:rPr>
          <w:rFonts w:ascii="Calibri" w:eastAsia="Malgun Gothic" w:hAnsi="Calibri" w:cs="Times New Roman"/>
          <w:szCs w:val="22"/>
          <w:lang w:val="en-AU" w:eastAsia="ko-KR"/>
        </w:rPr>
        <w:t>Who else has input into good practice in delivery and implementation?</w:t>
      </w:r>
    </w:p>
    <w:p w14:paraId="45A7CA36" w14:textId="77777777" w:rsidR="00380550" w:rsidRPr="00380550" w:rsidRDefault="00380550" w:rsidP="00380550">
      <w:pPr>
        <w:spacing w:after="80" w:line="240" w:lineRule="auto"/>
        <w:ind w:left="360" w:right="-284"/>
        <w:jc w:val="left"/>
        <w:rPr>
          <w:rFonts w:ascii="Calibri" w:eastAsia="Malgun Gothic" w:hAnsi="Calibri" w:cs="Times New Roman"/>
          <w:szCs w:val="22"/>
          <w:lang w:val="en-AU" w:eastAsia="ko-KR"/>
        </w:rPr>
      </w:pPr>
    </w:p>
    <w:p w14:paraId="4A5F2C74" w14:textId="77777777" w:rsidR="00380550" w:rsidRPr="003D241B" w:rsidRDefault="00380550" w:rsidP="00380550">
      <w:pPr>
        <w:pBdr>
          <w:bottom w:val="single" w:sz="4" w:space="1" w:color="538135"/>
        </w:pBdr>
        <w:spacing w:line="240" w:lineRule="auto"/>
        <w:ind w:right="-284"/>
        <w:jc w:val="center"/>
        <w:rPr>
          <w:rFonts w:ascii="Calibri" w:eastAsia="Malgun Gothic" w:hAnsi="Calibri" w:cs="Times New Roman"/>
          <w:color w:val="385623"/>
          <w:szCs w:val="22"/>
          <w:lang w:val="en-AU" w:eastAsia="ko-KR"/>
        </w:rPr>
      </w:pPr>
      <w:r w:rsidRPr="00380550">
        <w:rPr>
          <w:rFonts w:ascii="Calibri" w:eastAsia="Malgun Gothic" w:hAnsi="Calibri" w:cs="Times New Roman"/>
          <w:color w:val="385623"/>
          <w:szCs w:val="22"/>
          <w:lang w:val="en-AU" w:eastAsia="ko-KR"/>
        </w:rPr>
        <w:t>STAGE 7:</w:t>
      </w:r>
      <w:r w:rsidRPr="00380550">
        <w:rPr>
          <w:rFonts w:ascii="Calibri" w:eastAsia="Malgun Gothic" w:hAnsi="Calibri" w:cs="Times New Roman"/>
          <w:b/>
          <w:color w:val="385623"/>
          <w:szCs w:val="22"/>
          <w:lang w:val="en-AU" w:eastAsia="ko-KR"/>
        </w:rPr>
        <w:t xml:space="preserve"> Monitoring and review</w:t>
      </w:r>
    </w:p>
    <w:p w14:paraId="40392C24" w14:textId="77777777" w:rsidR="00380550" w:rsidRPr="00380550" w:rsidRDefault="00380550" w:rsidP="00380550">
      <w:pPr>
        <w:numPr>
          <w:ilvl w:val="0"/>
          <w:numId w:val="29"/>
        </w:numPr>
        <w:spacing w:after="80" w:line="240" w:lineRule="auto"/>
        <w:ind w:right="-284"/>
        <w:jc w:val="left"/>
        <w:rPr>
          <w:rFonts w:ascii="Calibri" w:eastAsia="Malgun Gothic" w:hAnsi="Calibri" w:cs="Times New Roman"/>
          <w:szCs w:val="22"/>
          <w:lang w:val="en-AU" w:eastAsia="ko-KR"/>
        </w:rPr>
      </w:pPr>
      <w:r w:rsidRPr="00380550">
        <w:rPr>
          <w:rFonts w:ascii="Calibri" w:eastAsia="Malgun Gothic" w:hAnsi="Calibri" w:cs="Times New Roman"/>
          <w:szCs w:val="22"/>
          <w:lang w:val="en-AU" w:eastAsia="ko-KR"/>
        </w:rPr>
        <w:t>How can we monitor and evaluate the policy, program or service against indicators that show/measure the impacts on gender gaps?</w:t>
      </w:r>
    </w:p>
    <w:p w14:paraId="6C5F3E49" w14:textId="77777777" w:rsidR="00380550" w:rsidRPr="00380550" w:rsidRDefault="00380550" w:rsidP="00380550">
      <w:pPr>
        <w:numPr>
          <w:ilvl w:val="0"/>
          <w:numId w:val="29"/>
        </w:numPr>
        <w:spacing w:after="80" w:line="240" w:lineRule="auto"/>
        <w:ind w:right="-284"/>
        <w:jc w:val="left"/>
        <w:rPr>
          <w:rFonts w:ascii="Calibri" w:eastAsia="Malgun Gothic" w:hAnsi="Calibri" w:cs="Times New Roman"/>
          <w:szCs w:val="22"/>
          <w:lang w:val="en-AU" w:eastAsia="ko-KR"/>
        </w:rPr>
      </w:pPr>
      <w:r w:rsidRPr="00380550">
        <w:rPr>
          <w:rFonts w:ascii="Calibri" w:eastAsia="Malgun Gothic" w:hAnsi="Calibri" w:cs="Times New Roman"/>
          <w:szCs w:val="22"/>
          <w:lang w:val="en-AU" w:eastAsia="ko-KR"/>
        </w:rPr>
        <w:t>How can we monitor and evaluate any unintended consequences?</w:t>
      </w:r>
    </w:p>
    <w:p w14:paraId="1CE5753A" w14:textId="77777777" w:rsidR="00380550" w:rsidRPr="00380550" w:rsidRDefault="00380550" w:rsidP="00380550">
      <w:pPr>
        <w:numPr>
          <w:ilvl w:val="0"/>
          <w:numId w:val="29"/>
        </w:numPr>
        <w:spacing w:after="80" w:line="240" w:lineRule="auto"/>
        <w:ind w:right="-284"/>
        <w:jc w:val="left"/>
        <w:rPr>
          <w:rFonts w:ascii="Calibri" w:eastAsia="Malgun Gothic" w:hAnsi="Calibri" w:cs="Times New Roman"/>
          <w:szCs w:val="22"/>
          <w:lang w:val="en-AU" w:eastAsia="ko-KR"/>
        </w:rPr>
      </w:pPr>
      <w:r w:rsidRPr="00380550">
        <w:rPr>
          <w:rFonts w:ascii="Calibri" w:eastAsia="Malgun Gothic" w:hAnsi="Calibri" w:cs="Times New Roman"/>
          <w:szCs w:val="22"/>
          <w:lang w:val="en-AU" w:eastAsia="ko-KR"/>
        </w:rPr>
        <w:t>Will the monitoring and evaluation engage participants and stakeholders, including women, men and gender diverse people?</w:t>
      </w:r>
    </w:p>
    <w:p w14:paraId="29CEEB8B" w14:textId="77777777" w:rsidR="00380550" w:rsidRDefault="00380550" w:rsidP="00380550">
      <w:pPr>
        <w:numPr>
          <w:ilvl w:val="0"/>
          <w:numId w:val="29"/>
        </w:numPr>
        <w:spacing w:after="80" w:line="240" w:lineRule="auto"/>
        <w:ind w:right="-284"/>
        <w:jc w:val="left"/>
        <w:rPr>
          <w:rFonts w:ascii="Calibri" w:eastAsia="Malgun Gothic" w:hAnsi="Calibri" w:cs="Times New Roman"/>
          <w:szCs w:val="22"/>
          <w:lang w:val="en-AU" w:eastAsia="ko-KR"/>
        </w:rPr>
      </w:pPr>
      <w:r w:rsidRPr="00380550">
        <w:rPr>
          <w:rFonts w:ascii="Calibri" w:eastAsia="Malgun Gothic" w:hAnsi="Calibri" w:cs="Times New Roman"/>
          <w:szCs w:val="22"/>
          <w:lang w:val="en-AU" w:eastAsia="ko-KR"/>
        </w:rPr>
        <w:t>Are there measures in place to review/change the policy, program or service if it is not delivering the outcomes?</w:t>
      </w:r>
    </w:p>
    <w:p w14:paraId="51054C56" w14:textId="77777777" w:rsidR="00380550" w:rsidRPr="00380550" w:rsidRDefault="00380550" w:rsidP="00380550">
      <w:pPr>
        <w:spacing w:after="80" w:line="240" w:lineRule="auto"/>
        <w:ind w:left="360" w:right="-284"/>
        <w:jc w:val="left"/>
        <w:rPr>
          <w:rFonts w:ascii="Calibri" w:eastAsia="Malgun Gothic" w:hAnsi="Calibri" w:cs="Times New Roman"/>
          <w:szCs w:val="22"/>
          <w:lang w:val="en-AU" w:eastAsia="ko-KR"/>
        </w:rPr>
      </w:pPr>
    </w:p>
    <w:p w14:paraId="022EF330" w14:textId="77777777" w:rsidR="00380550" w:rsidRPr="003D241B" w:rsidRDefault="00380550" w:rsidP="00380550">
      <w:pPr>
        <w:pBdr>
          <w:bottom w:val="single" w:sz="4" w:space="1" w:color="538135"/>
        </w:pBdr>
        <w:spacing w:line="240" w:lineRule="auto"/>
        <w:ind w:right="-284"/>
        <w:jc w:val="center"/>
        <w:rPr>
          <w:rFonts w:ascii="Calibri" w:eastAsia="Malgun Gothic" w:hAnsi="Calibri" w:cs="Times New Roman"/>
          <w:color w:val="385623"/>
          <w:szCs w:val="22"/>
          <w:lang w:val="en-AU" w:eastAsia="ko-KR"/>
        </w:rPr>
      </w:pPr>
      <w:r w:rsidRPr="00380550">
        <w:rPr>
          <w:rFonts w:ascii="Calibri" w:eastAsia="Malgun Gothic" w:hAnsi="Calibri" w:cs="Times New Roman"/>
          <w:color w:val="385623"/>
          <w:szCs w:val="22"/>
          <w:lang w:val="en-AU" w:eastAsia="ko-KR"/>
        </w:rPr>
        <w:t>STAGE 8:</w:t>
      </w:r>
      <w:r w:rsidRPr="00380550">
        <w:rPr>
          <w:rFonts w:ascii="Calibri" w:eastAsia="Malgun Gothic" w:hAnsi="Calibri" w:cs="Times New Roman"/>
          <w:b/>
          <w:color w:val="385623"/>
          <w:szCs w:val="22"/>
          <w:lang w:val="en-AU" w:eastAsia="ko-KR"/>
        </w:rPr>
        <w:t xml:space="preserve"> Reporting</w:t>
      </w:r>
    </w:p>
    <w:p w14:paraId="5E343B0C" w14:textId="77777777" w:rsidR="00380550" w:rsidRPr="00380550" w:rsidRDefault="00380550" w:rsidP="00380550">
      <w:pPr>
        <w:numPr>
          <w:ilvl w:val="0"/>
          <w:numId w:val="29"/>
        </w:numPr>
        <w:spacing w:after="80" w:line="240" w:lineRule="auto"/>
        <w:ind w:right="-284"/>
        <w:jc w:val="left"/>
        <w:rPr>
          <w:rFonts w:ascii="Calibri" w:eastAsia="Malgun Gothic" w:hAnsi="Calibri" w:cs="Times New Roman"/>
          <w:szCs w:val="22"/>
          <w:lang w:val="en-AU" w:eastAsia="ko-KR"/>
        </w:rPr>
      </w:pPr>
      <w:r w:rsidRPr="00380550">
        <w:rPr>
          <w:rFonts w:ascii="Calibri" w:eastAsia="Malgun Gothic" w:hAnsi="Calibri" w:cs="Times New Roman"/>
          <w:szCs w:val="22"/>
          <w:lang w:val="en-AU" w:eastAsia="ko-KR"/>
        </w:rPr>
        <w:t>What is our reporting method?</w:t>
      </w:r>
    </w:p>
    <w:p w14:paraId="465DF1FF" w14:textId="77777777" w:rsidR="00380550" w:rsidRPr="00380550" w:rsidRDefault="00380550" w:rsidP="00380550">
      <w:pPr>
        <w:numPr>
          <w:ilvl w:val="0"/>
          <w:numId w:val="29"/>
        </w:numPr>
        <w:spacing w:after="0" w:line="240" w:lineRule="auto"/>
        <w:ind w:right="-284"/>
        <w:jc w:val="left"/>
        <w:rPr>
          <w:szCs w:val="22"/>
          <w:lang w:val="en-AU"/>
        </w:rPr>
      </w:pPr>
      <w:r w:rsidRPr="00380550">
        <w:rPr>
          <w:rFonts w:ascii="Calibri" w:eastAsia="Malgun Gothic" w:hAnsi="Calibri" w:cs="Times New Roman"/>
          <w:szCs w:val="22"/>
          <w:lang w:val="en-AU" w:eastAsia="ko-KR"/>
        </w:rPr>
        <w:t>Is it consistent with our organisation’s strategies for gender equity and equality, inclusion and diversity?</w:t>
      </w:r>
    </w:p>
    <w:p w14:paraId="5311BA76" w14:textId="673C0477" w:rsidR="00340BAC" w:rsidRPr="00380550" w:rsidRDefault="00380550" w:rsidP="00380550">
      <w:pPr>
        <w:numPr>
          <w:ilvl w:val="0"/>
          <w:numId w:val="29"/>
        </w:numPr>
        <w:spacing w:after="0" w:line="240" w:lineRule="auto"/>
        <w:ind w:right="-284"/>
        <w:jc w:val="left"/>
        <w:rPr>
          <w:lang w:val="en-AU"/>
        </w:rPr>
      </w:pPr>
      <w:r w:rsidRPr="00380550">
        <w:rPr>
          <w:rFonts w:ascii="Calibri" w:eastAsia="Malgun Gothic" w:hAnsi="Calibri" w:cs="Times New Roman"/>
          <w:szCs w:val="22"/>
          <w:lang w:val="en-AU" w:eastAsia="ko-KR"/>
        </w:rPr>
        <w:t>Are reports available in different types of media (for example, print media as well as the Internet and email)?</w:t>
      </w:r>
      <w:r w:rsidR="00340BAC" w:rsidRPr="00380550">
        <w:rPr>
          <w:lang w:val="en-AU"/>
        </w:rPr>
        <w:br w:type="page"/>
      </w:r>
    </w:p>
    <w:p w14:paraId="7CE828FF" w14:textId="4904E458" w:rsidR="00737B69" w:rsidRPr="00A33FFF" w:rsidRDefault="00737B69" w:rsidP="00737B69">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240" w:line="240" w:lineRule="auto"/>
        <w:jc w:val="left"/>
        <w:rPr>
          <w:rFonts w:eastAsia="Malgun Gothic" w:cs="Arial"/>
          <w:color w:val="385623"/>
          <w:szCs w:val="22"/>
          <w:lang w:val="en-AU" w:eastAsia="ko-KR"/>
        </w:rPr>
      </w:pPr>
      <w:r>
        <w:rPr>
          <w:rFonts w:ascii="Calibri" w:eastAsia="Malgun Gothic" w:hAnsi="Calibri" w:cs="Times New Roman"/>
          <w:b/>
          <w:color w:val="385623"/>
          <w:sz w:val="36"/>
          <w:szCs w:val="36"/>
          <w:lang w:val="en-AU" w:eastAsia="ko-KR"/>
        </w:rPr>
        <w:lastRenderedPageBreak/>
        <w:t xml:space="preserve">GENDER STATISTICS                                                     </w:t>
      </w:r>
      <w:r>
        <w:rPr>
          <w:rFonts w:ascii="Calibri" w:eastAsia="Malgun Gothic" w:hAnsi="Calibri" w:cs="Times New Roman"/>
          <w:b/>
          <w:noProof/>
          <w:color w:val="385623"/>
          <w:sz w:val="40"/>
          <w:szCs w:val="40"/>
          <w:lang w:val="en-AU" w:eastAsia="ko-KR"/>
        </w:rPr>
        <w:t xml:space="preserve">   </w:t>
      </w:r>
      <w:r>
        <w:rPr>
          <w:rFonts w:ascii="Calibri" w:eastAsia="Malgun Gothic" w:hAnsi="Calibri" w:cs="Times New Roman"/>
          <w:b/>
          <w:noProof/>
          <w:color w:val="385623"/>
          <w:sz w:val="40"/>
          <w:szCs w:val="40"/>
          <w:lang w:val="en-AU" w:eastAsia="ko-KR"/>
        </w:rPr>
        <w:drawing>
          <wp:inline distT="0" distB="0" distL="0" distR="0" wp14:anchorId="7179BC5D" wp14:editId="663C3431">
            <wp:extent cx="871855" cy="871855"/>
            <wp:effectExtent l="0" t="0" r="444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pic:spPr>
                </pic:pic>
              </a:graphicData>
            </a:graphic>
          </wp:inline>
        </w:drawing>
      </w:r>
    </w:p>
    <w:p w14:paraId="6372C29A" w14:textId="77777777" w:rsidR="00404F09" w:rsidRPr="00404F09" w:rsidRDefault="00404F09" w:rsidP="00404F09">
      <w:pPr>
        <w:keepNext/>
        <w:keepLines/>
        <w:spacing w:before="100" w:beforeAutospacing="1" w:after="100" w:afterAutospacing="1" w:line="240" w:lineRule="auto"/>
        <w:jc w:val="left"/>
        <w:outlineLvl w:val="2"/>
        <w:rPr>
          <w:rFonts w:ascii="Calibri Light" w:eastAsia="Malgun Gothic" w:hAnsi="Calibri Light" w:cs="Times New Roman"/>
          <w:b/>
          <w:color w:val="385623"/>
          <w:sz w:val="28"/>
          <w:szCs w:val="28"/>
          <w:lang w:val="en-AU" w:eastAsia="ko-KR"/>
        </w:rPr>
      </w:pPr>
      <w:r w:rsidRPr="00404F09">
        <w:rPr>
          <w:rFonts w:ascii="Calibri Light" w:eastAsia="Malgun Gothic" w:hAnsi="Calibri Light" w:cs="Times New Roman"/>
          <w:b/>
          <w:color w:val="385623"/>
          <w:sz w:val="28"/>
          <w:szCs w:val="28"/>
          <w:lang w:val="en-AU" w:eastAsia="ko-KR"/>
        </w:rPr>
        <w:t>Gender statistics reflect gender roles, relations and inequalities in society</w:t>
      </w:r>
      <w:r w:rsidRPr="00404F09">
        <w:rPr>
          <w:rFonts w:ascii="Calibri Light" w:eastAsia="Malgun Gothic" w:hAnsi="Calibri Light" w:cs="Times New Roman"/>
          <w:szCs w:val="22"/>
          <w:vertAlign w:val="superscript"/>
          <w:lang w:val="en-AU" w:eastAsia="ko-KR"/>
        </w:rPr>
        <w:endnoteReference w:id="26"/>
      </w:r>
    </w:p>
    <w:p w14:paraId="44A067EF" w14:textId="77777777" w:rsidR="00404F09" w:rsidRPr="00404F09" w:rsidRDefault="00404F09" w:rsidP="00404F09">
      <w:pPr>
        <w:spacing w:before="100" w:beforeAutospacing="1" w:after="100" w:afterAutospacing="1" w:line="240" w:lineRule="auto"/>
        <w:jc w:val="left"/>
        <w:rPr>
          <w:rFonts w:ascii="Calibri" w:eastAsia="Malgun Gothic" w:hAnsi="Calibri" w:cs="Times New Roman"/>
          <w:szCs w:val="22"/>
          <w:lang w:val="en-AU" w:eastAsia="ko-KR"/>
        </w:rPr>
      </w:pPr>
      <w:r w:rsidRPr="00404F09">
        <w:rPr>
          <w:rFonts w:ascii="Calibri" w:eastAsia="Malgun Gothic" w:hAnsi="Calibri" w:cs="Times New Roman"/>
          <w:bCs/>
          <w:szCs w:val="22"/>
          <w:lang w:val="en-AU" w:eastAsia="ko-KR"/>
        </w:rPr>
        <w:t>Gender statistics</w:t>
      </w:r>
      <w:r w:rsidRPr="00404F09">
        <w:rPr>
          <w:rFonts w:ascii="Calibri" w:eastAsia="Malgun Gothic" w:hAnsi="Calibri" w:cs="Times New Roman"/>
          <w:szCs w:val="22"/>
          <w:lang w:val="en-AU" w:eastAsia="ko-KR"/>
        </w:rPr>
        <w:t xml:space="preserve"> can be an important tool for change – helping to address gender issues and achieve gender equality by making gender gaps and impacts more visible.</w:t>
      </w:r>
    </w:p>
    <w:p w14:paraId="58C01B6E" w14:textId="77777777" w:rsidR="00404F09" w:rsidRPr="00404F09" w:rsidRDefault="00404F09" w:rsidP="00404F09">
      <w:pPr>
        <w:spacing w:before="100" w:beforeAutospacing="1" w:after="100" w:afterAutospacing="1" w:line="240" w:lineRule="auto"/>
        <w:jc w:val="left"/>
        <w:rPr>
          <w:rFonts w:ascii="Calibri" w:eastAsia="Malgun Gothic" w:hAnsi="Calibri" w:cs="Times New Roman"/>
          <w:bCs/>
          <w:szCs w:val="22"/>
          <w:lang w:val="en-AU" w:eastAsia="ko-KR"/>
        </w:rPr>
      </w:pPr>
      <w:r w:rsidRPr="00404F09">
        <w:rPr>
          <w:rFonts w:ascii="Calibri" w:eastAsia="Malgun Gothic" w:hAnsi="Calibri" w:cs="Times New Roman"/>
          <w:bCs/>
          <w:szCs w:val="22"/>
          <w:lang w:val="en-AU" w:eastAsia="ko-KR"/>
        </w:rPr>
        <w:t>Gender statistics are defined as</w:t>
      </w:r>
      <w:r w:rsidRPr="00404F09">
        <w:rPr>
          <w:rFonts w:ascii="Calibri" w:eastAsia="Malgun Gothic" w:hAnsi="Calibri" w:cs="Times New Roman"/>
          <w:bCs/>
          <w:szCs w:val="22"/>
          <w:vertAlign w:val="superscript"/>
          <w:lang w:val="en-AU" w:eastAsia="ko-KR"/>
        </w:rPr>
        <w:endnoteReference w:id="27"/>
      </w:r>
      <w:r w:rsidRPr="00404F09">
        <w:rPr>
          <w:rFonts w:ascii="Calibri" w:eastAsia="Malgun Gothic" w:hAnsi="Calibri" w:cs="Times New Roman"/>
          <w:bCs/>
          <w:szCs w:val="22"/>
          <w:lang w:val="en-AU" w:eastAsia="ko-KR"/>
        </w:rPr>
        <w:t>:</w:t>
      </w:r>
    </w:p>
    <w:p w14:paraId="5CE94278" w14:textId="77777777" w:rsidR="00404F09" w:rsidRPr="00404F09" w:rsidRDefault="00404F09" w:rsidP="00404F09">
      <w:pPr>
        <w:spacing w:before="100" w:beforeAutospacing="1" w:after="100" w:afterAutospacing="1" w:line="240" w:lineRule="auto"/>
        <w:ind w:left="567"/>
        <w:jc w:val="left"/>
        <w:rPr>
          <w:rFonts w:ascii="Calibri" w:eastAsia="Malgun Gothic" w:hAnsi="Calibri" w:cs="Times New Roman"/>
          <w:bCs/>
          <w:i/>
          <w:szCs w:val="22"/>
          <w:lang w:val="en-AU" w:eastAsia="ko-KR"/>
        </w:rPr>
      </w:pPr>
      <w:r w:rsidRPr="00404F09">
        <w:rPr>
          <w:rFonts w:ascii="Calibri" w:eastAsia="Malgun Gothic" w:hAnsi="Calibri" w:cs="Times New Roman"/>
          <w:bCs/>
          <w:i/>
          <w:szCs w:val="22"/>
          <w:lang w:val="en-AU" w:eastAsia="ko-KR"/>
        </w:rPr>
        <w:t>a field of statistics which cuts across the traditional fields to identify, produce and disseminate statistics that reflect the realities of the lives of women and men and policy issues relating to gender equality.</w:t>
      </w:r>
    </w:p>
    <w:p w14:paraId="7BA7EAEE" w14:textId="77777777" w:rsidR="00404F09" w:rsidRPr="00404F09" w:rsidRDefault="00404F09" w:rsidP="00404F09">
      <w:pPr>
        <w:spacing w:before="100" w:beforeAutospacing="1" w:after="100" w:afterAutospacing="1" w:line="240" w:lineRule="auto"/>
        <w:jc w:val="left"/>
        <w:rPr>
          <w:rFonts w:ascii="Calibri" w:eastAsia="Malgun Gothic" w:hAnsi="Calibri" w:cs="Times New Roman"/>
          <w:szCs w:val="22"/>
          <w:lang w:val="en-AU" w:eastAsia="ko-KR"/>
        </w:rPr>
      </w:pPr>
      <w:r w:rsidRPr="00404F09">
        <w:rPr>
          <w:rFonts w:ascii="Calibri" w:eastAsia="Malgun Gothic" w:hAnsi="Calibri" w:cs="Times New Roman"/>
          <w:szCs w:val="22"/>
          <w:lang w:val="en-AU" w:eastAsia="ko-KR"/>
        </w:rPr>
        <w:t>The characteristics of gender statistics include:</w:t>
      </w:r>
    </w:p>
    <w:p w14:paraId="73EC9788" w14:textId="77777777" w:rsidR="00404F09" w:rsidRPr="00404F09" w:rsidRDefault="00404F09" w:rsidP="00590212">
      <w:pPr>
        <w:numPr>
          <w:ilvl w:val="0"/>
          <w:numId w:val="34"/>
        </w:numPr>
        <w:spacing w:after="240" w:line="240" w:lineRule="auto"/>
        <w:jc w:val="left"/>
        <w:rPr>
          <w:rFonts w:ascii="Calibri" w:eastAsia="Malgun Gothic" w:hAnsi="Calibri" w:cs="Times New Roman"/>
          <w:szCs w:val="22"/>
          <w:lang w:val="en-AU" w:eastAsia="ko-KR"/>
        </w:rPr>
      </w:pPr>
      <w:r w:rsidRPr="00404F09">
        <w:rPr>
          <w:rFonts w:ascii="Calibri" w:eastAsia="Malgun Gothic" w:hAnsi="Calibri" w:cs="Times New Roman"/>
          <w:szCs w:val="22"/>
          <w:lang w:val="en-AU" w:eastAsia="ko-KR"/>
        </w:rPr>
        <w:t xml:space="preserve">Data </w:t>
      </w:r>
      <w:r w:rsidRPr="00404F09">
        <w:rPr>
          <w:rFonts w:ascii="Calibri" w:eastAsia="Malgun Gothic" w:hAnsi="Calibri" w:cs="Times New Roman"/>
          <w:b/>
          <w:color w:val="385623"/>
          <w:szCs w:val="22"/>
          <w:lang w:val="en-AU" w:eastAsia="ko-KR"/>
        </w:rPr>
        <w:t>disaggregated by sex</w:t>
      </w:r>
      <w:r w:rsidRPr="00404F09">
        <w:rPr>
          <w:rFonts w:ascii="Calibri" w:eastAsia="Malgun Gothic" w:hAnsi="Calibri" w:cs="Times New Roman"/>
          <w:color w:val="385623"/>
          <w:szCs w:val="22"/>
          <w:lang w:val="en-AU" w:eastAsia="ko-KR"/>
        </w:rPr>
        <w:t xml:space="preserve"> </w:t>
      </w:r>
      <w:r w:rsidRPr="00404F09">
        <w:rPr>
          <w:rFonts w:ascii="Calibri" w:eastAsia="Malgun Gothic" w:hAnsi="Calibri" w:cs="Times New Roman"/>
          <w:szCs w:val="22"/>
          <w:lang w:val="en-AU" w:eastAsia="ko-KR"/>
        </w:rPr>
        <w:t>to show the differences that exist between women and men in a given cohort.</w:t>
      </w:r>
    </w:p>
    <w:p w14:paraId="567E2BF9" w14:textId="77777777" w:rsidR="00404F09" w:rsidRPr="00404F09" w:rsidRDefault="00404F09" w:rsidP="00590212">
      <w:pPr>
        <w:spacing w:after="240" w:line="240" w:lineRule="auto"/>
        <w:ind w:left="360"/>
        <w:jc w:val="left"/>
        <w:rPr>
          <w:rFonts w:ascii="Calibri" w:eastAsia="Malgun Gothic" w:hAnsi="Calibri" w:cs="Times New Roman"/>
          <w:szCs w:val="22"/>
          <w:lang w:val="en-AU" w:eastAsia="ko-KR"/>
        </w:rPr>
      </w:pPr>
      <w:r w:rsidRPr="00404F09">
        <w:rPr>
          <w:rFonts w:ascii="Calibri" w:eastAsia="Malgun Gothic" w:hAnsi="Calibri" w:cs="Times New Roman"/>
          <w:szCs w:val="22"/>
          <w:lang w:val="en-AU" w:eastAsia="ko-KR"/>
        </w:rPr>
        <w:t>Analysis of sex-disaggregated data to reveal differences in women’s and men’s lives that are linked to gender roles and expectations.</w:t>
      </w:r>
    </w:p>
    <w:p w14:paraId="4169DB21" w14:textId="77777777" w:rsidR="00404F09" w:rsidRPr="00404F09" w:rsidRDefault="00404F09" w:rsidP="00590212">
      <w:pPr>
        <w:spacing w:after="240" w:line="240" w:lineRule="auto"/>
        <w:ind w:left="360"/>
        <w:jc w:val="left"/>
        <w:rPr>
          <w:rFonts w:ascii="Calibri" w:eastAsia="Malgun Gothic" w:hAnsi="Calibri" w:cs="Times New Roman"/>
          <w:szCs w:val="22"/>
          <w:lang w:val="en-AU" w:eastAsia="ko-KR"/>
        </w:rPr>
      </w:pPr>
      <w:r w:rsidRPr="00404F09">
        <w:rPr>
          <w:rFonts w:ascii="Calibri" w:eastAsia="Malgun Gothic" w:hAnsi="Calibri" w:cs="Times New Roman"/>
          <w:szCs w:val="22"/>
          <w:lang w:val="en-AU" w:eastAsia="ko-KR"/>
        </w:rPr>
        <w:t>However, gender statistics are more than data disaggregated by sex. For example, the disaggregation of victims of homicide by sex has some value, but information on the perpetrator and their relationship to the victim is also needed to fully understand the issues.</w:t>
      </w:r>
    </w:p>
    <w:p w14:paraId="15085B81" w14:textId="77777777" w:rsidR="00404F09" w:rsidRPr="00404F09" w:rsidRDefault="00404F09" w:rsidP="00590212">
      <w:pPr>
        <w:numPr>
          <w:ilvl w:val="0"/>
          <w:numId w:val="34"/>
        </w:numPr>
        <w:spacing w:after="240" w:line="240" w:lineRule="auto"/>
        <w:jc w:val="left"/>
        <w:rPr>
          <w:rFonts w:ascii="Calibri" w:eastAsia="Malgun Gothic" w:hAnsi="Calibri" w:cs="Times New Roman"/>
          <w:szCs w:val="22"/>
          <w:lang w:val="en-AU" w:eastAsia="ko-KR"/>
        </w:rPr>
      </w:pPr>
      <w:r w:rsidRPr="00404F09">
        <w:rPr>
          <w:rFonts w:ascii="Calibri" w:eastAsia="Malgun Gothic" w:hAnsi="Calibri" w:cs="Times New Roman"/>
          <w:szCs w:val="22"/>
          <w:lang w:val="en-AU" w:eastAsia="ko-KR"/>
        </w:rPr>
        <w:t xml:space="preserve">Data </w:t>
      </w:r>
      <w:r w:rsidRPr="00404F09">
        <w:rPr>
          <w:rFonts w:ascii="Calibri" w:eastAsia="Malgun Gothic" w:hAnsi="Calibri" w:cs="Times New Roman"/>
          <w:b/>
          <w:color w:val="385623"/>
          <w:szCs w:val="22"/>
          <w:lang w:val="en-AU" w:eastAsia="ko-KR"/>
        </w:rPr>
        <w:t xml:space="preserve">reflect gender issues </w:t>
      </w:r>
      <w:r w:rsidRPr="00404F09">
        <w:rPr>
          <w:rFonts w:ascii="Calibri" w:eastAsia="Malgun Gothic" w:hAnsi="Calibri" w:cs="Times New Roman"/>
          <w:szCs w:val="22"/>
          <w:lang w:val="en-AU" w:eastAsia="ko-KR"/>
        </w:rPr>
        <w:t>in society – the differences between all genders in all areas of life.</w:t>
      </w:r>
    </w:p>
    <w:p w14:paraId="7CAB2785" w14:textId="77777777" w:rsidR="00404F09" w:rsidRPr="00404F09" w:rsidRDefault="00404F09" w:rsidP="00590212">
      <w:pPr>
        <w:spacing w:after="240" w:line="240" w:lineRule="auto"/>
        <w:ind w:left="360"/>
        <w:jc w:val="left"/>
        <w:rPr>
          <w:rFonts w:ascii="Calibri" w:eastAsia="Malgun Gothic" w:hAnsi="Calibri" w:cs="Times New Roman"/>
          <w:szCs w:val="22"/>
          <w:lang w:val="en-AU" w:eastAsia="ko-KR"/>
        </w:rPr>
      </w:pPr>
      <w:r w:rsidRPr="00404F09">
        <w:rPr>
          <w:rFonts w:ascii="Calibri" w:eastAsia="Malgun Gothic" w:hAnsi="Calibri" w:cs="Times New Roman"/>
          <w:szCs w:val="22"/>
          <w:lang w:val="en-AU" w:eastAsia="ko-KR"/>
        </w:rPr>
        <w:t>The main focus of gender statistics is comparing women and men because policies and programs affect women and men differently and because the situation of women can only be adequately described by comparing it to that of men, and vice versa.</w:t>
      </w:r>
    </w:p>
    <w:p w14:paraId="4D181A58" w14:textId="77777777" w:rsidR="00404F09" w:rsidRPr="00404F09" w:rsidRDefault="00404F09" w:rsidP="00590212">
      <w:pPr>
        <w:spacing w:after="240" w:line="240" w:lineRule="auto"/>
        <w:ind w:left="360"/>
        <w:jc w:val="left"/>
        <w:rPr>
          <w:rFonts w:ascii="Calibri" w:eastAsia="Malgun Gothic" w:hAnsi="Calibri" w:cs="Times New Roman"/>
          <w:szCs w:val="22"/>
          <w:lang w:val="en-AU" w:eastAsia="ko-KR"/>
        </w:rPr>
      </w:pPr>
      <w:r w:rsidRPr="00404F09">
        <w:rPr>
          <w:rFonts w:ascii="Calibri" w:eastAsia="Malgun Gothic" w:hAnsi="Calibri" w:cs="Times New Roman"/>
          <w:szCs w:val="22"/>
          <w:lang w:val="en-AU" w:eastAsia="ko-KR"/>
        </w:rPr>
        <w:t>In some cases, however, a focus is on either women or men. For example, some issues relate to women but not to men, such as maternal mortality.</w:t>
      </w:r>
    </w:p>
    <w:p w14:paraId="30B773B7" w14:textId="77777777" w:rsidR="00404F09" w:rsidRPr="00404F09" w:rsidRDefault="00404F09" w:rsidP="00590212">
      <w:pPr>
        <w:numPr>
          <w:ilvl w:val="0"/>
          <w:numId w:val="34"/>
        </w:numPr>
        <w:spacing w:after="240" w:line="240" w:lineRule="auto"/>
        <w:jc w:val="left"/>
        <w:rPr>
          <w:rFonts w:ascii="Calibri" w:eastAsia="Malgun Gothic" w:hAnsi="Calibri" w:cs="Times New Roman"/>
          <w:szCs w:val="22"/>
          <w:lang w:val="en-AU" w:eastAsia="ko-KR"/>
        </w:rPr>
      </w:pPr>
      <w:r w:rsidRPr="00404F09">
        <w:rPr>
          <w:rFonts w:ascii="Calibri" w:eastAsia="Malgun Gothic" w:hAnsi="Calibri" w:cs="Times New Roman"/>
          <w:szCs w:val="22"/>
          <w:lang w:val="en-AU" w:eastAsia="ko-KR"/>
        </w:rPr>
        <w:t xml:space="preserve">Data adequately </w:t>
      </w:r>
      <w:r w:rsidRPr="00404F09">
        <w:rPr>
          <w:rFonts w:ascii="Calibri" w:eastAsia="Malgun Gothic" w:hAnsi="Calibri" w:cs="Times New Roman"/>
          <w:b/>
          <w:color w:val="385623"/>
          <w:szCs w:val="22"/>
          <w:lang w:val="en-AU" w:eastAsia="ko-KR"/>
        </w:rPr>
        <w:t>reflect the</w:t>
      </w:r>
      <w:r w:rsidRPr="00404F09">
        <w:rPr>
          <w:rFonts w:ascii="Calibri" w:eastAsia="Malgun Gothic" w:hAnsi="Calibri" w:cs="Times New Roman"/>
          <w:color w:val="385623"/>
          <w:szCs w:val="22"/>
          <w:lang w:val="en-AU" w:eastAsia="ko-KR"/>
        </w:rPr>
        <w:t xml:space="preserve"> </w:t>
      </w:r>
      <w:r w:rsidRPr="00404F09">
        <w:rPr>
          <w:rFonts w:ascii="Calibri" w:eastAsia="Malgun Gothic" w:hAnsi="Calibri" w:cs="Times New Roman"/>
          <w:b/>
          <w:color w:val="385623"/>
          <w:szCs w:val="22"/>
          <w:lang w:val="en-AU" w:eastAsia="ko-KR"/>
        </w:rPr>
        <w:t>diversity of women and men</w:t>
      </w:r>
      <w:r w:rsidRPr="00404F09">
        <w:rPr>
          <w:rFonts w:ascii="Calibri" w:eastAsia="Malgun Gothic" w:hAnsi="Calibri" w:cs="Times New Roman"/>
          <w:color w:val="385623"/>
          <w:szCs w:val="22"/>
          <w:lang w:val="en-AU" w:eastAsia="ko-KR"/>
        </w:rPr>
        <w:t xml:space="preserve"> </w:t>
      </w:r>
      <w:r w:rsidRPr="00404F09">
        <w:rPr>
          <w:rFonts w:ascii="Calibri" w:eastAsia="Malgun Gothic" w:hAnsi="Calibri" w:cs="Times New Roman"/>
          <w:szCs w:val="22"/>
          <w:lang w:val="en-AU" w:eastAsia="ko-KR"/>
        </w:rPr>
        <w:t>and capture all aspects of their lives.</w:t>
      </w:r>
    </w:p>
    <w:p w14:paraId="08DF13D8" w14:textId="77777777" w:rsidR="00404F09" w:rsidRPr="00404F09" w:rsidRDefault="00404F09" w:rsidP="00590212">
      <w:pPr>
        <w:spacing w:after="240" w:line="240" w:lineRule="auto"/>
        <w:ind w:left="360"/>
        <w:jc w:val="left"/>
        <w:rPr>
          <w:rFonts w:ascii="Calibri" w:eastAsia="Malgun Gothic" w:hAnsi="Calibri" w:cs="Times New Roman"/>
          <w:szCs w:val="22"/>
          <w:lang w:val="en-AU" w:eastAsia="ko-KR"/>
        </w:rPr>
      </w:pPr>
      <w:r w:rsidRPr="00404F09">
        <w:rPr>
          <w:rFonts w:ascii="Calibri" w:eastAsia="Malgun Gothic" w:hAnsi="Calibri" w:cs="Times New Roman"/>
          <w:szCs w:val="22"/>
          <w:lang w:val="en-AU" w:eastAsia="ko-KR"/>
        </w:rPr>
        <w:t xml:space="preserve">There are significant and important gender differences, depending on age, education, disability, ethnicity, religion, sexual orientation, sexuality, gender identity and geographic location. </w:t>
      </w:r>
    </w:p>
    <w:p w14:paraId="7108E935" w14:textId="77777777" w:rsidR="00404F09" w:rsidRPr="00404F09" w:rsidRDefault="00404F09" w:rsidP="00590212">
      <w:pPr>
        <w:spacing w:after="240" w:line="240" w:lineRule="auto"/>
        <w:ind w:left="360"/>
        <w:jc w:val="left"/>
        <w:rPr>
          <w:rFonts w:ascii="Calibri" w:eastAsia="Malgun Gothic" w:hAnsi="Calibri" w:cs="Times New Roman"/>
          <w:szCs w:val="22"/>
          <w:lang w:val="en-AU" w:eastAsia="ko-KR"/>
        </w:rPr>
      </w:pPr>
      <w:r w:rsidRPr="00404F09">
        <w:rPr>
          <w:rFonts w:ascii="Calibri" w:eastAsia="Malgun Gothic" w:hAnsi="Calibri" w:cs="Times New Roman"/>
          <w:szCs w:val="22"/>
          <w:lang w:val="en-AU" w:eastAsia="ko-KR"/>
        </w:rPr>
        <w:t>Generalising about women or men might be misleading because of this diversity.</w:t>
      </w:r>
    </w:p>
    <w:p w14:paraId="7DE788BE" w14:textId="77777777" w:rsidR="00404F09" w:rsidRPr="00404F09" w:rsidRDefault="00404F09" w:rsidP="00590212">
      <w:pPr>
        <w:pStyle w:val="ListParagraph"/>
        <w:numPr>
          <w:ilvl w:val="0"/>
          <w:numId w:val="34"/>
        </w:numPr>
        <w:spacing w:after="240" w:line="240" w:lineRule="auto"/>
        <w:contextualSpacing w:val="0"/>
        <w:jc w:val="left"/>
        <w:rPr>
          <w:rFonts w:ascii="Calibri" w:eastAsia="Malgun Gothic" w:hAnsi="Calibri" w:cs="Times New Roman"/>
          <w:szCs w:val="22"/>
          <w:lang w:val="en-AU" w:eastAsia="ko-KR"/>
        </w:rPr>
      </w:pPr>
      <w:r w:rsidRPr="00404F09">
        <w:rPr>
          <w:rFonts w:ascii="Calibri" w:eastAsia="Malgun Gothic" w:hAnsi="Calibri" w:cs="Times New Roman"/>
          <w:szCs w:val="22"/>
          <w:lang w:val="en-AU" w:eastAsia="ko-KR"/>
        </w:rPr>
        <w:t xml:space="preserve">Data collection methods </w:t>
      </w:r>
      <w:r w:rsidRPr="00404F09">
        <w:rPr>
          <w:rFonts w:ascii="Calibri" w:eastAsia="Malgun Gothic" w:hAnsi="Calibri" w:cs="Times New Roman"/>
          <w:b/>
          <w:color w:val="385623"/>
          <w:szCs w:val="22"/>
          <w:lang w:val="en-AU" w:eastAsia="ko-KR"/>
        </w:rPr>
        <w:t>take into account stereotypes and social and cultural factors</w:t>
      </w:r>
      <w:r w:rsidRPr="00404F09">
        <w:rPr>
          <w:rFonts w:ascii="Calibri" w:eastAsia="Malgun Gothic" w:hAnsi="Calibri" w:cs="Times New Roman"/>
          <w:color w:val="385623"/>
          <w:szCs w:val="22"/>
          <w:lang w:val="en-AU" w:eastAsia="ko-KR"/>
        </w:rPr>
        <w:t xml:space="preserve"> </w:t>
      </w:r>
      <w:r w:rsidRPr="00404F09">
        <w:rPr>
          <w:rFonts w:ascii="Calibri" w:eastAsia="Malgun Gothic" w:hAnsi="Calibri" w:cs="Times New Roman"/>
          <w:szCs w:val="22"/>
          <w:lang w:val="en-AU" w:eastAsia="ko-KR"/>
        </w:rPr>
        <w:t xml:space="preserve">that may produce gender-based biases. </w:t>
      </w:r>
    </w:p>
    <w:p w14:paraId="3675CFD8" w14:textId="77777777" w:rsidR="00404F09" w:rsidRPr="00404F09" w:rsidRDefault="00404F09" w:rsidP="00590212">
      <w:pPr>
        <w:spacing w:after="240" w:line="240" w:lineRule="auto"/>
        <w:ind w:left="142"/>
        <w:jc w:val="left"/>
        <w:rPr>
          <w:rFonts w:ascii="Calibri" w:eastAsia="Malgun Gothic" w:hAnsi="Calibri" w:cs="Times New Roman"/>
          <w:szCs w:val="22"/>
          <w:lang w:val="en-AU" w:eastAsia="ko-KR"/>
        </w:rPr>
      </w:pPr>
      <w:r w:rsidRPr="00404F09">
        <w:rPr>
          <w:rFonts w:ascii="Calibri" w:eastAsia="Malgun Gothic" w:hAnsi="Calibri" w:cs="Times New Roman"/>
          <w:szCs w:val="22"/>
          <w:lang w:val="en-AU" w:eastAsia="ko-KR"/>
        </w:rPr>
        <w:t>For example, the term Gross Domestic Product excludes unpaid household service. It is important to have comprehensive data on all kinds of work to understand fully the provision of goods and services in a country.</w:t>
      </w:r>
    </w:p>
    <w:p w14:paraId="60B35DD2" w14:textId="77777777" w:rsidR="00404F09" w:rsidRPr="00404F09" w:rsidRDefault="00404F09" w:rsidP="00590212">
      <w:pPr>
        <w:spacing w:after="240" w:line="240" w:lineRule="auto"/>
        <w:ind w:left="142"/>
        <w:jc w:val="left"/>
        <w:rPr>
          <w:rFonts w:ascii="Calibri" w:eastAsia="Malgun Gothic" w:hAnsi="Calibri" w:cs="Times New Roman"/>
          <w:szCs w:val="22"/>
          <w:lang w:val="en-AU" w:eastAsia="ko-KR"/>
        </w:rPr>
      </w:pPr>
      <w:r w:rsidRPr="00404F09">
        <w:rPr>
          <w:rFonts w:ascii="Calibri" w:eastAsia="Malgun Gothic" w:hAnsi="Calibri" w:cs="Times New Roman"/>
          <w:szCs w:val="22"/>
          <w:lang w:val="en-AU" w:eastAsia="ko-KR"/>
        </w:rPr>
        <w:lastRenderedPageBreak/>
        <w:t>On the other hand, information on family status, fertility preferences, contraceptive behaviour and actual fertility is more likely to be gathered from women than men.</w:t>
      </w:r>
    </w:p>
    <w:p w14:paraId="39F8A7A5" w14:textId="77777777" w:rsidR="00404F09" w:rsidRPr="00404F09" w:rsidRDefault="00404F09" w:rsidP="00404F09">
      <w:pPr>
        <w:spacing w:before="100" w:beforeAutospacing="1" w:after="100" w:afterAutospacing="1" w:line="240" w:lineRule="auto"/>
        <w:jc w:val="left"/>
        <w:rPr>
          <w:rFonts w:ascii="Calibri Light" w:eastAsia="Malgun Gothic" w:hAnsi="Calibri Light" w:cs="Times New Roman"/>
          <w:b/>
          <w:color w:val="385623"/>
          <w:sz w:val="28"/>
          <w:szCs w:val="28"/>
          <w:lang w:val="en-AU" w:eastAsia="ko-KR"/>
        </w:rPr>
      </w:pPr>
      <w:r w:rsidRPr="00404F09">
        <w:rPr>
          <w:rFonts w:ascii="Calibri Light" w:eastAsia="Malgun Gothic" w:hAnsi="Calibri Light" w:cs="Times New Roman"/>
          <w:b/>
          <w:color w:val="385623"/>
          <w:sz w:val="28"/>
          <w:szCs w:val="28"/>
          <w:lang w:val="en-AU" w:eastAsia="ko-KR"/>
        </w:rPr>
        <w:t>Gender statistics in Australia</w:t>
      </w:r>
    </w:p>
    <w:p w14:paraId="134444C7" w14:textId="26BCDB59" w:rsidR="00404F09" w:rsidRPr="00404F09" w:rsidRDefault="00404F09" w:rsidP="00590212">
      <w:pPr>
        <w:pStyle w:val="ListParagraph"/>
        <w:numPr>
          <w:ilvl w:val="0"/>
          <w:numId w:val="34"/>
        </w:numPr>
        <w:spacing w:after="240" w:line="240" w:lineRule="auto"/>
        <w:ind w:left="357" w:hanging="357"/>
        <w:contextualSpacing w:val="0"/>
        <w:jc w:val="left"/>
        <w:rPr>
          <w:rFonts w:ascii="Calibri" w:eastAsia="Malgun Gothic" w:hAnsi="Calibri" w:cs="Times New Roman"/>
          <w:szCs w:val="22"/>
          <w:lang w:val="en" w:eastAsia="ko-KR"/>
        </w:rPr>
      </w:pPr>
      <w:r w:rsidRPr="00404F09">
        <w:rPr>
          <w:rFonts w:ascii="Calibri" w:eastAsia="Malgun Gothic" w:hAnsi="Calibri" w:cs="Times New Roman"/>
          <w:szCs w:val="22"/>
          <w:lang w:val="en" w:eastAsia="ko-KR"/>
        </w:rPr>
        <w:t>The Australian Bureau of Statistics releases ‘</w:t>
      </w:r>
      <w:hyperlink r:id="rId47" w:history="1">
        <w:r w:rsidRPr="006125DD">
          <w:rPr>
            <w:rFonts w:ascii="Calibri" w:eastAsia="Malgun Gothic" w:hAnsi="Calibri" w:cs="Times New Roman"/>
            <w:szCs w:val="22"/>
            <w:u w:val="single"/>
            <w:lang w:val="en" w:eastAsia="ko-KR"/>
          </w:rPr>
          <w:t>Gender Indicators, Australia</w:t>
        </w:r>
      </w:hyperlink>
      <w:r w:rsidRPr="00404F09">
        <w:rPr>
          <w:rFonts w:ascii="Calibri" w:eastAsia="Malgun Gothic" w:hAnsi="Calibri" w:cs="Times New Roman"/>
          <w:szCs w:val="22"/>
          <w:lang w:val="en" w:eastAsia="ko-KR"/>
        </w:rPr>
        <w:t xml:space="preserve">’, a statistical resource for social analysis and research in gender equality in Australia. This </w:t>
      </w:r>
      <w:r w:rsidR="006C1C75">
        <w:rPr>
          <w:rFonts w:ascii="Calibri" w:eastAsia="Malgun Gothic" w:hAnsi="Calibri" w:cs="Times New Roman"/>
          <w:szCs w:val="22"/>
          <w:lang w:val="en" w:eastAsia="ko-KR"/>
        </w:rPr>
        <w:t>publication</w:t>
      </w:r>
      <w:r w:rsidRPr="00404F09">
        <w:rPr>
          <w:rFonts w:ascii="Calibri" w:eastAsia="Malgun Gothic" w:hAnsi="Calibri" w:cs="Times New Roman"/>
          <w:szCs w:val="22"/>
          <w:lang w:val="en" w:eastAsia="ko-KR"/>
        </w:rPr>
        <w:t xml:space="preserve"> identifies six areas — economic security; education; health; work and family</w:t>
      </w:r>
      <w:r w:rsidRPr="00404F09">
        <w:rPr>
          <w:rFonts w:ascii="Calibri" w:eastAsia="Malgun Gothic" w:hAnsi="Calibri" w:cs="Times New Roman"/>
          <w:szCs w:val="22"/>
          <w:lang w:eastAsia="ko-KR"/>
        </w:rPr>
        <w:t xml:space="preserve"> balance; safety and justice; and democracy, governance and citizenship. </w:t>
      </w:r>
      <w:r w:rsidRPr="00404F09">
        <w:rPr>
          <w:rFonts w:ascii="Calibri" w:eastAsia="Malgun Gothic" w:hAnsi="Calibri" w:cs="Times New Roman"/>
          <w:szCs w:val="22"/>
          <w:lang w:val="en" w:eastAsia="ko-KR"/>
        </w:rPr>
        <w:t>These six areas contain 55 key indicators and a further 95 data series.</w:t>
      </w:r>
    </w:p>
    <w:p w14:paraId="13CCE7ED" w14:textId="3CEA8377" w:rsidR="006C1C75" w:rsidRDefault="00404F09" w:rsidP="00590212">
      <w:pPr>
        <w:pStyle w:val="ListParagraph"/>
        <w:numPr>
          <w:ilvl w:val="0"/>
          <w:numId w:val="34"/>
        </w:numPr>
        <w:spacing w:after="240" w:line="240" w:lineRule="auto"/>
        <w:ind w:left="357" w:hanging="357"/>
        <w:contextualSpacing w:val="0"/>
        <w:jc w:val="left"/>
        <w:rPr>
          <w:rFonts w:ascii="Calibri" w:eastAsia="Malgun Gothic" w:hAnsi="Calibri" w:cs="Times New Roman"/>
          <w:szCs w:val="22"/>
          <w:lang w:val="en-AU" w:eastAsia="ko-KR"/>
        </w:rPr>
      </w:pPr>
      <w:r w:rsidRPr="006C1C75">
        <w:rPr>
          <w:rFonts w:ascii="Calibri" w:eastAsia="Malgun Gothic" w:hAnsi="Calibri" w:cs="Times New Roman"/>
          <w:szCs w:val="22"/>
          <w:lang w:val="en-AU" w:eastAsia="ko-KR"/>
        </w:rPr>
        <w:t xml:space="preserve">The Queensland Government Office for Women produces gender statistics on regular bases. </w:t>
      </w:r>
      <w:hyperlink r:id="rId48" w:history="1">
        <w:r w:rsidR="006125DD" w:rsidRPr="006125DD">
          <w:rPr>
            <w:rStyle w:val="Hyperlink"/>
            <w:rFonts w:ascii="Calibri" w:eastAsia="Malgun Gothic" w:hAnsi="Calibri" w:cs="Times New Roman"/>
            <w:szCs w:val="22"/>
            <w:lang w:val="en-AU" w:eastAsia="ko-KR"/>
          </w:rPr>
          <w:t xml:space="preserve">Gender Equality </w:t>
        </w:r>
        <w:r w:rsidRPr="006125DD">
          <w:rPr>
            <w:rStyle w:val="Hyperlink"/>
            <w:rFonts w:ascii="Calibri" w:eastAsia="Malgun Gothic" w:hAnsi="Calibri" w:cs="Times New Roman"/>
            <w:szCs w:val="22"/>
            <w:lang w:val="en-AU" w:eastAsia="ko-KR"/>
          </w:rPr>
          <w:t>Report Cards</w:t>
        </w:r>
      </w:hyperlink>
      <w:r w:rsidRPr="006C1C75">
        <w:rPr>
          <w:rFonts w:ascii="Calibri" w:eastAsia="Malgun Gothic" w:hAnsi="Calibri" w:cs="Times New Roman"/>
          <w:szCs w:val="22"/>
          <w:lang w:val="en-AU" w:eastAsia="ko-KR"/>
        </w:rPr>
        <w:t xml:space="preserve"> as part of the </w:t>
      </w:r>
      <w:r w:rsidRPr="006125DD">
        <w:rPr>
          <w:rFonts w:ascii="Calibri" w:eastAsia="Malgun Gothic" w:hAnsi="Calibri" w:cs="Times New Roman"/>
          <w:szCs w:val="22"/>
          <w:lang w:val="en-AU" w:eastAsia="ko-KR"/>
        </w:rPr>
        <w:t>Queensland Women’s Strategy 2016-21</w:t>
      </w:r>
      <w:r w:rsidRPr="006C1C75">
        <w:rPr>
          <w:rFonts w:ascii="Calibri" w:eastAsia="Malgun Gothic" w:hAnsi="Calibri" w:cs="Times New Roman"/>
          <w:szCs w:val="22"/>
          <w:lang w:val="en-AU" w:eastAsia="ko-KR"/>
        </w:rPr>
        <w:t xml:space="preserve"> annually report and assess the status of gender equality in Queensland across four areas: participation and leadership; economic security; safety; and health and wellbeing</w:t>
      </w:r>
      <w:r w:rsidR="00F860A9" w:rsidRPr="006C1C75">
        <w:rPr>
          <w:rFonts w:ascii="Calibri" w:eastAsia="Malgun Gothic" w:hAnsi="Calibri" w:cs="Times New Roman"/>
          <w:szCs w:val="22"/>
          <w:lang w:val="en-AU" w:eastAsia="ko-KR"/>
        </w:rPr>
        <w:t xml:space="preserve">, including the following </w:t>
      </w:r>
      <w:r w:rsidR="005E0C90" w:rsidRPr="006C1C75">
        <w:rPr>
          <w:rFonts w:ascii="Calibri" w:eastAsia="Malgun Gothic" w:hAnsi="Calibri" w:cs="Times New Roman"/>
          <w:szCs w:val="22"/>
          <w:lang w:val="en-AU" w:eastAsia="ko-KR"/>
        </w:rPr>
        <w:t>gender statistics</w:t>
      </w:r>
      <w:r w:rsidR="00F860A9" w:rsidRPr="006C1C75">
        <w:rPr>
          <w:rFonts w:ascii="Calibri" w:eastAsia="Malgun Gothic" w:hAnsi="Calibri" w:cs="Times New Roman"/>
          <w:szCs w:val="22"/>
          <w:lang w:val="en-AU" w:eastAsia="ko-KR"/>
        </w:rPr>
        <w:t>:</w:t>
      </w:r>
    </w:p>
    <w:p w14:paraId="0D1D7F60" w14:textId="36EA195C" w:rsidR="00F860A9" w:rsidRPr="006C1C75" w:rsidRDefault="00F860A9" w:rsidP="006125DD">
      <w:pPr>
        <w:pStyle w:val="ListParagraph"/>
        <w:pBdr>
          <w:top w:val="single" w:sz="4" w:space="1" w:color="7030A0"/>
          <w:left w:val="single" w:sz="4" w:space="4" w:color="7030A0"/>
          <w:bottom w:val="single" w:sz="4" w:space="1" w:color="7030A0"/>
          <w:right w:val="single" w:sz="4" w:space="4" w:color="7030A0"/>
          <w:between w:val="single" w:sz="4" w:space="1" w:color="7030A0"/>
          <w:bar w:val="single" w:sz="4" w:color="7030A0"/>
        </w:pBdr>
        <w:spacing w:after="240" w:line="240" w:lineRule="auto"/>
        <w:ind w:left="357"/>
        <w:contextualSpacing w:val="0"/>
        <w:jc w:val="left"/>
        <w:rPr>
          <w:rFonts w:ascii="Calibri" w:eastAsia="Malgun Gothic" w:hAnsi="Calibri" w:cs="Times New Roman"/>
          <w:szCs w:val="22"/>
          <w:lang w:val="en-AU" w:eastAsia="ko-KR"/>
        </w:rPr>
      </w:pPr>
      <w:r>
        <w:rPr>
          <w:rFonts w:ascii="Calibri" w:eastAsia="Malgun Gothic" w:hAnsi="Calibri" w:cs="Times New Roman"/>
          <w:noProof/>
          <w:szCs w:val="22"/>
          <w:lang w:val="en-AU" w:eastAsia="ko-KR"/>
        </w:rPr>
        <w:drawing>
          <wp:inline distT="0" distB="0" distL="0" distR="0" wp14:anchorId="74ED75A4" wp14:editId="71C36BC4">
            <wp:extent cx="2702146" cy="2200940"/>
            <wp:effectExtent l="0" t="0" r="317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80622_3 Capture.JPG"/>
                    <pic:cNvPicPr/>
                  </pic:nvPicPr>
                  <pic:blipFill>
                    <a:blip r:embed="rId49">
                      <a:extLst>
                        <a:ext uri="{28A0092B-C50C-407E-A947-70E740481C1C}">
                          <a14:useLocalDpi xmlns:a14="http://schemas.microsoft.com/office/drawing/2010/main" val="0"/>
                        </a:ext>
                      </a:extLst>
                    </a:blip>
                    <a:stretch>
                      <a:fillRect/>
                    </a:stretch>
                  </pic:blipFill>
                  <pic:spPr>
                    <a:xfrm>
                      <a:off x="0" y="0"/>
                      <a:ext cx="2702881" cy="2201539"/>
                    </a:xfrm>
                    <a:prstGeom prst="rect">
                      <a:avLst/>
                    </a:prstGeom>
                  </pic:spPr>
                </pic:pic>
              </a:graphicData>
            </a:graphic>
          </wp:inline>
        </w:drawing>
      </w:r>
      <w:r w:rsidR="005E0C90">
        <w:rPr>
          <w:rFonts w:ascii="Calibri" w:eastAsia="Malgun Gothic" w:hAnsi="Calibri" w:cs="Times New Roman"/>
          <w:noProof/>
          <w:szCs w:val="22"/>
          <w:lang w:val="en-AU" w:eastAsia="ko-KR"/>
        </w:rPr>
        <w:drawing>
          <wp:inline distT="0" distB="0" distL="0" distR="0" wp14:anchorId="429285C6" wp14:editId="1F1F6E08">
            <wp:extent cx="2775098" cy="2452134"/>
            <wp:effectExtent l="0" t="0" r="635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80622_5 Capture.JPG"/>
                    <pic:cNvPicPr/>
                  </pic:nvPicPr>
                  <pic:blipFill>
                    <a:blip r:embed="rId50">
                      <a:extLst>
                        <a:ext uri="{28A0092B-C50C-407E-A947-70E740481C1C}">
                          <a14:useLocalDpi xmlns:a14="http://schemas.microsoft.com/office/drawing/2010/main" val="0"/>
                        </a:ext>
                      </a:extLst>
                    </a:blip>
                    <a:stretch>
                      <a:fillRect/>
                    </a:stretch>
                  </pic:blipFill>
                  <pic:spPr>
                    <a:xfrm>
                      <a:off x="0" y="0"/>
                      <a:ext cx="2775098" cy="2452134"/>
                    </a:xfrm>
                    <a:prstGeom prst="rect">
                      <a:avLst/>
                    </a:prstGeom>
                  </pic:spPr>
                </pic:pic>
              </a:graphicData>
            </a:graphic>
          </wp:inline>
        </w:drawing>
      </w:r>
    </w:p>
    <w:p w14:paraId="5FE6CFAE" w14:textId="77777777" w:rsidR="00404F09" w:rsidRPr="00404F09" w:rsidRDefault="00404F09" w:rsidP="00590212">
      <w:pPr>
        <w:pStyle w:val="ListParagraph"/>
        <w:numPr>
          <w:ilvl w:val="0"/>
          <w:numId w:val="34"/>
        </w:numPr>
        <w:spacing w:after="240" w:line="240" w:lineRule="auto"/>
        <w:ind w:left="357" w:hanging="357"/>
        <w:contextualSpacing w:val="0"/>
        <w:jc w:val="left"/>
        <w:rPr>
          <w:lang w:val="en-AU"/>
        </w:rPr>
      </w:pPr>
      <w:r w:rsidRPr="00404F09">
        <w:rPr>
          <w:rFonts w:ascii="Calibri" w:eastAsia="Malgun Gothic" w:hAnsi="Calibri" w:cs="Times New Roman"/>
          <w:szCs w:val="22"/>
          <w:lang w:val="en-AU" w:eastAsia="ko-KR"/>
        </w:rPr>
        <w:t xml:space="preserve">The Workplace Gender Equality Agency produces gender statistics with a focus on gender issues in the workplace, including </w:t>
      </w:r>
      <w:hyperlink r:id="rId51" w:history="1">
        <w:r w:rsidRPr="00404F09">
          <w:rPr>
            <w:rFonts w:ascii="Calibri" w:eastAsia="Malgun Gothic" w:hAnsi="Calibri" w:cs="Times New Roman"/>
            <w:color w:val="0000FF"/>
            <w:szCs w:val="22"/>
            <w:u w:val="single"/>
            <w:lang w:val="en-AU" w:eastAsia="ko-KR"/>
          </w:rPr>
          <w:t>gender pay gap statistics</w:t>
        </w:r>
      </w:hyperlink>
      <w:r w:rsidRPr="00404F09">
        <w:rPr>
          <w:rFonts w:ascii="Calibri" w:eastAsia="Malgun Gothic" w:hAnsi="Calibri" w:cs="Times New Roman"/>
          <w:szCs w:val="22"/>
          <w:lang w:val="en-AU" w:eastAsia="ko-KR"/>
        </w:rPr>
        <w:t xml:space="preserve"> and </w:t>
      </w:r>
      <w:hyperlink r:id="rId52" w:history="1">
        <w:r w:rsidRPr="00404F09">
          <w:rPr>
            <w:rFonts w:ascii="Calibri" w:eastAsia="Malgun Gothic" w:hAnsi="Calibri" w:cs="Times New Roman"/>
            <w:color w:val="0000FF"/>
            <w:szCs w:val="22"/>
            <w:u w:val="single"/>
            <w:lang w:val="en-AU" w:eastAsia="ko-KR"/>
          </w:rPr>
          <w:t>gender workplace statistics</w:t>
        </w:r>
      </w:hyperlink>
      <w:r w:rsidRPr="00404F09">
        <w:rPr>
          <w:rFonts w:ascii="Calibri" w:eastAsia="Malgun Gothic" w:hAnsi="Calibri" w:cs="Times New Roman"/>
          <w:szCs w:val="22"/>
          <w:lang w:val="en-AU" w:eastAsia="ko-KR"/>
        </w:rPr>
        <w:t>.</w:t>
      </w:r>
    </w:p>
    <w:p w14:paraId="1E065F02" w14:textId="77777777" w:rsidR="00FA07F6" w:rsidRPr="00FA07F6" w:rsidRDefault="00404F09" w:rsidP="00590212">
      <w:pPr>
        <w:pStyle w:val="ListParagraph"/>
        <w:numPr>
          <w:ilvl w:val="0"/>
          <w:numId w:val="34"/>
        </w:numPr>
        <w:spacing w:after="240" w:line="240" w:lineRule="auto"/>
        <w:ind w:left="357" w:hanging="357"/>
        <w:contextualSpacing w:val="0"/>
        <w:jc w:val="left"/>
        <w:rPr>
          <w:lang w:val="en-AU"/>
        </w:rPr>
      </w:pPr>
      <w:r w:rsidRPr="00404F09">
        <w:rPr>
          <w:rFonts w:ascii="Calibri" w:eastAsia="Malgun Gothic" w:hAnsi="Calibri" w:cs="Times New Roman"/>
          <w:szCs w:val="22"/>
          <w:lang w:val="en-AU" w:eastAsia="ko-KR"/>
        </w:rPr>
        <w:t xml:space="preserve">Gender statistics published in other Australian states include the </w:t>
      </w:r>
      <w:hyperlink r:id="rId53" w:history="1">
        <w:r w:rsidRPr="00404F09">
          <w:rPr>
            <w:rFonts w:ascii="Calibri" w:eastAsia="Malgun Gothic" w:hAnsi="Calibri" w:cs="Times New Roman"/>
            <w:color w:val="385623"/>
            <w:szCs w:val="22"/>
            <w:u w:val="single"/>
            <w:lang w:val="en-AU" w:eastAsia="ko-KR"/>
          </w:rPr>
          <w:t>Women in NSW</w:t>
        </w:r>
      </w:hyperlink>
      <w:r w:rsidRPr="00404F09">
        <w:rPr>
          <w:rFonts w:ascii="Calibri" w:eastAsia="Malgun Gothic" w:hAnsi="Calibri" w:cs="Times New Roman"/>
          <w:szCs w:val="22"/>
          <w:lang w:val="en-AU" w:eastAsia="ko-KR"/>
        </w:rPr>
        <w:t xml:space="preserve"> reports, which examine gender equity in New South Wales, and t</w:t>
      </w:r>
      <w:r w:rsidRPr="00404F09">
        <w:rPr>
          <w:rFonts w:ascii="Calibri" w:eastAsia="Malgun Gothic" w:hAnsi="Calibri" w:cs="Times New Roman"/>
          <w:szCs w:val="22"/>
          <w:lang w:val="en" w:eastAsia="ko-KR"/>
        </w:rPr>
        <w:t xml:space="preserve">he </w:t>
      </w:r>
      <w:hyperlink r:id="rId54" w:anchor="!/" w:history="1">
        <w:r w:rsidRPr="00404F09">
          <w:rPr>
            <w:rFonts w:ascii="Calibri" w:eastAsia="Malgun Gothic" w:hAnsi="Calibri" w:cs="Times New Roman"/>
            <w:color w:val="385623"/>
            <w:szCs w:val="22"/>
            <w:u w:val="single"/>
            <w:lang w:val="en" w:eastAsia="ko-KR"/>
          </w:rPr>
          <w:t>Victorian Women’s Health Atlas</w:t>
        </w:r>
      </w:hyperlink>
      <w:r w:rsidRPr="00404F09">
        <w:rPr>
          <w:rFonts w:ascii="Calibri" w:eastAsia="Malgun Gothic" w:hAnsi="Calibri" w:cs="Times New Roman"/>
          <w:szCs w:val="22"/>
          <w:lang w:val="en" w:eastAsia="ko-KR"/>
        </w:rPr>
        <w:t>, which assists in the identification of gender impacts on key health areas in Victoria</w:t>
      </w:r>
    </w:p>
    <w:p w14:paraId="1341DCB4" w14:textId="5E5D8234" w:rsidR="009C65CB" w:rsidRDefault="009C65CB">
      <w:pPr>
        <w:spacing w:after="0" w:line="240" w:lineRule="auto"/>
        <w:jc w:val="left"/>
        <w:rPr>
          <w:lang w:val="en-AU"/>
        </w:rPr>
      </w:pPr>
      <w:r>
        <w:rPr>
          <w:lang w:val="en-AU"/>
        </w:rPr>
        <w:br w:type="page"/>
      </w:r>
    </w:p>
    <w:p w14:paraId="22294AED" w14:textId="04F9735C" w:rsidR="009C65CB" w:rsidRPr="00A33FFF" w:rsidRDefault="008C7059" w:rsidP="009C65CB">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240" w:line="240" w:lineRule="auto"/>
        <w:jc w:val="left"/>
        <w:rPr>
          <w:rFonts w:eastAsia="Malgun Gothic" w:cs="Arial"/>
          <w:color w:val="385623"/>
          <w:szCs w:val="22"/>
          <w:lang w:val="en-AU" w:eastAsia="ko-KR"/>
        </w:rPr>
      </w:pPr>
      <w:r>
        <w:rPr>
          <w:rFonts w:ascii="Calibri" w:eastAsia="Malgun Gothic" w:hAnsi="Calibri" w:cs="Times New Roman"/>
          <w:b/>
          <w:color w:val="385623"/>
          <w:sz w:val="36"/>
          <w:szCs w:val="36"/>
          <w:lang w:val="en-AU" w:eastAsia="ko-KR"/>
        </w:rPr>
        <w:lastRenderedPageBreak/>
        <w:t xml:space="preserve">CASE STUDY               </w:t>
      </w:r>
      <w:r w:rsidR="009C65CB">
        <w:rPr>
          <w:rFonts w:ascii="Calibri" w:eastAsia="Malgun Gothic" w:hAnsi="Calibri" w:cs="Times New Roman"/>
          <w:b/>
          <w:color w:val="385623"/>
          <w:sz w:val="36"/>
          <w:szCs w:val="36"/>
          <w:lang w:val="en-AU" w:eastAsia="ko-KR"/>
        </w:rPr>
        <w:t xml:space="preserve">                                                     </w:t>
      </w:r>
      <w:r w:rsidR="009C65CB">
        <w:rPr>
          <w:rFonts w:ascii="Calibri" w:eastAsia="Malgun Gothic" w:hAnsi="Calibri" w:cs="Times New Roman"/>
          <w:b/>
          <w:noProof/>
          <w:color w:val="385623"/>
          <w:sz w:val="40"/>
          <w:szCs w:val="40"/>
          <w:lang w:val="en-AU" w:eastAsia="ko-KR"/>
        </w:rPr>
        <w:t xml:space="preserve">   </w:t>
      </w:r>
      <w:r w:rsidR="009C65CB">
        <w:rPr>
          <w:rFonts w:ascii="Calibri" w:eastAsia="Malgun Gothic" w:hAnsi="Calibri" w:cs="Times New Roman"/>
          <w:b/>
          <w:noProof/>
          <w:color w:val="385623"/>
          <w:sz w:val="40"/>
          <w:szCs w:val="40"/>
          <w:lang w:val="en-AU" w:eastAsia="ko-KR"/>
        </w:rPr>
        <w:drawing>
          <wp:inline distT="0" distB="0" distL="0" distR="0" wp14:anchorId="252C35AC" wp14:editId="2C13DD94">
            <wp:extent cx="871855" cy="871855"/>
            <wp:effectExtent l="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pic:spPr>
                </pic:pic>
              </a:graphicData>
            </a:graphic>
          </wp:inline>
        </w:drawing>
      </w:r>
    </w:p>
    <w:p w14:paraId="62C1CC67" w14:textId="77777777" w:rsidR="00F116AB" w:rsidRPr="00F116AB" w:rsidRDefault="00F116AB" w:rsidP="00F116AB">
      <w:pPr>
        <w:spacing w:before="100" w:beforeAutospacing="1" w:after="100" w:afterAutospacing="1" w:line="240" w:lineRule="auto"/>
        <w:jc w:val="left"/>
        <w:rPr>
          <w:rFonts w:ascii="Calibri" w:eastAsia="Malgun Gothic" w:hAnsi="Calibri" w:cs="Times New Roman"/>
          <w:bCs/>
          <w:szCs w:val="22"/>
          <w:lang w:eastAsia="ko-KR"/>
        </w:rPr>
      </w:pPr>
      <w:r w:rsidRPr="00F116AB">
        <w:rPr>
          <w:rFonts w:ascii="Calibri" w:eastAsia="Malgun Gothic" w:hAnsi="Calibri" w:cs="Times New Roman"/>
          <w:bCs/>
          <w:szCs w:val="22"/>
          <w:lang w:val="en-AU" w:eastAsia="ko-KR"/>
        </w:rPr>
        <w:t xml:space="preserve">Below is an example of how gender analysis is used in the </w:t>
      </w:r>
      <w:r w:rsidRPr="00F116AB">
        <w:rPr>
          <w:rFonts w:ascii="Calibri" w:eastAsia="Malgun Gothic" w:hAnsi="Calibri" w:cs="Times New Roman"/>
          <w:bCs/>
          <w:szCs w:val="22"/>
          <w:lang w:eastAsia="ko-KR"/>
        </w:rPr>
        <w:t>policy, program and service development cycle</w:t>
      </w:r>
      <w:r w:rsidRPr="00F116AB">
        <w:rPr>
          <w:rFonts w:ascii="Calibri" w:eastAsia="Malgun Gothic" w:hAnsi="Calibri" w:cs="Times New Roman"/>
          <w:bCs/>
          <w:szCs w:val="22"/>
          <w:lang w:val="en-AU" w:eastAsia="ko-KR"/>
        </w:rPr>
        <w:t xml:space="preserve">.  </w:t>
      </w:r>
    </w:p>
    <w:tbl>
      <w:tblPr>
        <w:tblStyle w:val="TableGrid4"/>
        <w:tblW w:w="9016" w:type="dxa"/>
        <w:tblBorders>
          <w:top w:val="single" w:sz="4" w:space="0" w:color="E6E7F2"/>
          <w:left w:val="single" w:sz="4" w:space="0" w:color="E6E7F2"/>
          <w:bottom w:val="single" w:sz="4" w:space="0" w:color="E6E7F2"/>
          <w:right w:val="single" w:sz="4" w:space="0" w:color="E6E7F2"/>
          <w:insideH w:val="single" w:sz="4" w:space="0" w:color="E6E7F2"/>
          <w:insideV w:val="single" w:sz="4" w:space="0" w:color="E6E7F2"/>
        </w:tblBorders>
        <w:tblLook w:val="04A0" w:firstRow="1" w:lastRow="0" w:firstColumn="1" w:lastColumn="0" w:noHBand="0" w:noVBand="1"/>
      </w:tblPr>
      <w:tblGrid>
        <w:gridCol w:w="9016"/>
      </w:tblGrid>
      <w:tr w:rsidR="00F116AB" w:rsidRPr="00F116AB" w14:paraId="7B2BCD4C" w14:textId="77777777" w:rsidTr="00192BAF">
        <w:tc>
          <w:tcPr>
            <w:tcW w:w="9016" w:type="dxa"/>
            <w:shd w:val="clear" w:color="auto" w:fill="7066AE"/>
          </w:tcPr>
          <w:p w14:paraId="3FCB73F1" w14:textId="77777777" w:rsidR="00F116AB" w:rsidRPr="00F116AB" w:rsidRDefault="00F116AB" w:rsidP="00F116AB">
            <w:pPr>
              <w:spacing w:before="240" w:after="240" w:line="240" w:lineRule="auto"/>
              <w:jc w:val="left"/>
              <w:rPr>
                <w:rFonts w:ascii="Calibri" w:eastAsia="Malgun Gothic" w:hAnsi="Calibri" w:cs="Times New Roman"/>
                <w:b/>
                <w:bCs/>
                <w:sz w:val="24"/>
              </w:rPr>
            </w:pPr>
            <w:r w:rsidRPr="00F116AB">
              <w:rPr>
                <w:rFonts w:ascii="Calibri Light" w:eastAsia="Malgun Gothic" w:hAnsi="Calibri Light" w:cs="Times New Roman"/>
                <w:b/>
                <w:bCs/>
                <w:color w:val="FFFFFF"/>
                <w:sz w:val="24"/>
              </w:rPr>
              <w:t>Community Centre Breakfast Club</w:t>
            </w:r>
            <w:r w:rsidRPr="00F116AB">
              <w:rPr>
                <w:rFonts w:ascii="Calibri" w:eastAsia="Malgun Gothic" w:hAnsi="Calibri" w:cs="Times New Roman"/>
                <w:b/>
                <w:color w:val="FFFFFF"/>
                <w:sz w:val="24"/>
                <w:vertAlign w:val="superscript"/>
              </w:rPr>
              <w:endnoteReference w:id="28"/>
            </w:r>
          </w:p>
        </w:tc>
      </w:tr>
      <w:tr w:rsidR="00F116AB" w:rsidRPr="00F116AB" w14:paraId="0B80161F" w14:textId="77777777" w:rsidTr="00192BAF">
        <w:tc>
          <w:tcPr>
            <w:tcW w:w="9016" w:type="dxa"/>
          </w:tcPr>
          <w:p w14:paraId="5A6FDA43" w14:textId="77777777" w:rsidR="00F116AB" w:rsidRPr="00F116AB" w:rsidRDefault="00F116AB" w:rsidP="00F116AB">
            <w:pPr>
              <w:numPr>
                <w:ilvl w:val="0"/>
                <w:numId w:val="62"/>
              </w:numPr>
              <w:spacing w:before="120" w:after="0" w:line="240" w:lineRule="auto"/>
              <w:ind w:left="357" w:hanging="357"/>
              <w:jc w:val="left"/>
              <w:rPr>
                <w:rFonts w:ascii="Calibri" w:eastAsia="Malgun Gothic" w:hAnsi="Calibri" w:cs="Times New Roman"/>
                <w:bCs/>
              </w:rPr>
            </w:pPr>
            <w:r w:rsidRPr="00F116AB">
              <w:rPr>
                <w:rFonts w:ascii="Calibri" w:eastAsia="Malgun Gothic" w:hAnsi="Calibri" w:cs="Times New Roman"/>
                <w:bCs/>
              </w:rPr>
              <w:t>A community centre in a disadvantaged area plans to run a breakfast club for students attending nearby public schools.</w:t>
            </w:r>
          </w:p>
          <w:p w14:paraId="10152DB6" w14:textId="77777777" w:rsidR="00F116AB" w:rsidRPr="00F116AB" w:rsidRDefault="00F116AB" w:rsidP="00F116AB">
            <w:pPr>
              <w:numPr>
                <w:ilvl w:val="0"/>
                <w:numId w:val="62"/>
              </w:numPr>
              <w:spacing w:before="120" w:after="0" w:line="240" w:lineRule="auto"/>
              <w:ind w:left="357" w:hanging="357"/>
              <w:jc w:val="left"/>
              <w:rPr>
                <w:rFonts w:ascii="Calibri" w:eastAsia="Malgun Gothic" w:hAnsi="Calibri" w:cs="Times New Roman"/>
                <w:bCs/>
              </w:rPr>
            </w:pPr>
            <w:r w:rsidRPr="00F116AB">
              <w:rPr>
                <w:rFonts w:ascii="Calibri" w:eastAsia="Malgun Gothic" w:hAnsi="Calibri" w:cs="Times New Roman"/>
                <w:bCs/>
              </w:rPr>
              <w:t>Students will be asked to help prepare and serve the breakfast and clean up afterwards.</w:t>
            </w:r>
          </w:p>
          <w:p w14:paraId="17874BC7" w14:textId="77777777" w:rsidR="00F116AB" w:rsidRPr="00F116AB" w:rsidRDefault="00F116AB" w:rsidP="00F116AB">
            <w:pPr>
              <w:numPr>
                <w:ilvl w:val="0"/>
                <w:numId w:val="62"/>
              </w:numPr>
              <w:spacing w:before="120" w:after="0" w:line="240" w:lineRule="auto"/>
              <w:ind w:left="357" w:hanging="357"/>
              <w:jc w:val="left"/>
              <w:rPr>
                <w:rFonts w:ascii="Calibri" w:eastAsia="Malgun Gothic" w:hAnsi="Calibri" w:cs="Times New Roman"/>
                <w:bCs/>
              </w:rPr>
            </w:pPr>
            <w:r w:rsidRPr="00F116AB">
              <w:rPr>
                <w:rFonts w:ascii="Calibri" w:eastAsia="Malgun Gothic" w:hAnsi="Calibri" w:cs="Times New Roman"/>
                <w:bCs/>
              </w:rPr>
              <w:t>Activities will be provided for the children who arrive early before breakfast is ready – mostly outdoor games.</w:t>
            </w:r>
          </w:p>
          <w:p w14:paraId="3C72CEA9" w14:textId="77777777" w:rsidR="00F116AB" w:rsidRPr="00F116AB" w:rsidRDefault="00F116AB" w:rsidP="00F116AB">
            <w:pPr>
              <w:numPr>
                <w:ilvl w:val="0"/>
                <w:numId w:val="62"/>
              </w:numPr>
              <w:spacing w:before="120" w:after="0" w:line="240" w:lineRule="auto"/>
              <w:ind w:left="357" w:hanging="357"/>
              <w:jc w:val="left"/>
              <w:rPr>
                <w:rFonts w:ascii="Calibri" w:eastAsia="Malgun Gothic" w:hAnsi="Calibri" w:cs="Times New Roman"/>
                <w:bCs/>
              </w:rPr>
            </w:pPr>
            <w:r w:rsidRPr="00F116AB">
              <w:rPr>
                <w:rFonts w:ascii="Calibri" w:eastAsia="Malgun Gothic" w:hAnsi="Calibri" w:cs="Times New Roman"/>
                <w:bCs/>
              </w:rPr>
              <w:t>The Community Centre Management Committee will manage the program through a Director and two part-time staff.</w:t>
            </w:r>
          </w:p>
          <w:p w14:paraId="1B6EFA2B" w14:textId="77777777" w:rsidR="00F116AB" w:rsidRPr="00F116AB" w:rsidRDefault="00F116AB" w:rsidP="00F116AB">
            <w:pPr>
              <w:numPr>
                <w:ilvl w:val="0"/>
                <w:numId w:val="62"/>
              </w:numPr>
              <w:spacing w:before="120" w:after="0" w:line="240" w:lineRule="auto"/>
              <w:ind w:left="357" w:hanging="357"/>
              <w:jc w:val="left"/>
              <w:rPr>
                <w:rFonts w:ascii="Calibri" w:eastAsia="Malgun Gothic" w:hAnsi="Calibri" w:cs="Times New Roman"/>
              </w:rPr>
            </w:pPr>
            <w:r w:rsidRPr="00F116AB">
              <w:rPr>
                <w:rFonts w:ascii="Calibri" w:eastAsia="Malgun Gothic" w:hAnsi="Calibri" w:cs="Times New Roman"/>
                <w:bCs/>
              </w:rPr>
              <w:t>The Management Committee has six members, including Chair and Deputy Chair who are both male.</w:t>
            </w:r>
          </w:p>
        </w:tc>
      </w:tr>
    </w:tbl>
    <w:p w14:paraId="0541433E" w14:textId="77777777" w:rsidR="00F116AB" w:rsidRPr="00F116AB" w:rsidRDefault="00F116AB" w:rsidP="00F116AB">
      <w:pPr>
        <w:spacing w:before="120" w:line="259" w:lineRule="auto"/>
        <w:jc w:val="left"/>
        <w:rPr>
          <w:rFonts w:ascii="Calibri" w:eastAsia="Malgun Gothic" w:hAnsi="Calibri" w:cs="Times New Roman"/>
          <w:b/>
          <w:bCs/>
          <w:color w:val="FFFFFF"/>
          <w:szCs w:val="22"/>
          <w:lang w:val="en-AU" w:eastAsia="ko-KR"/>
        </w:rPr>
      </w:pPr>
    </w:p>
    <w:tbl>
      <w:tblPr>
        <w:tblStyle w:val="TableGrid4"/>
        <w:tblW w:w="5031" w:type="pct"/>
        <w:tblInd w:w="-5" w:type="dxa"/>
        <w:tblLook w:val="04A0" w:firstRow="1" w:lastRow="0" w:firstColumn="1" w:lastColumn="0" w:noHBand="0" w:noVBand="1"/>
      </w:tblPr>
      <w:tblGrid>
        <w:gridCol w:w="9066"/>
      </w:tblGrid>
      <w:tr w:rsidR="00F116AB" w:rsidRPr="00F116AB" w14:paraId="7FF463DE" w14:textId="77777777" w:rsidTr="00F116AB">
        <w:tc>
          <w:tcPr>
            <w:tcW w:w="5000" w:type="pct"/>
            <w:tcBorders>
              <w:top w:val="single" w:sz="4" w:space="0" w:color="E2EFD9"/>
              <w:left w:val="single" w:sz="4" w:space="0" w:color="E2EFD9"/>
              <w:bottom w:val="single" w:sz="4" w:space="0" w:color="E2EFD9"/>
              <w:right w:val="single" w:sz="4" w:space="0" w:color="E2EFD9"/>
            </w:tcBorders>
            <w:shd w:val="clear" w:color="auto" w:fill="538135"/>
          </w:tcPr>
          <w:p w14:paraId="33BD4B09" w14:textId="77777777" w:rsidR="00F116AB" w:rsidRPr="00F116AB" w:rsidRDefault="00F116AB" w:rsidP="00F116AB">
            <w:pPr>
              <w:spacing w:before="120" w:line="240" w:lineRule="auto"/>
              <w:jc w:val="center"/>
              <w:rPr>
                <w:rFonts w:ascii="Calibri" w:eastAsia="Malgun Gothic" w:hAnsi="Calibri" w:cs="Times New Roman"/>
                <w:b/>
                <w:bCs/>
              </w:rPr>
            </w:pPr>
            <w:r w:rsidRPr="00F116AB">
              <w:rPr>
                <w:rFonts w:ascii="Calibri" w:eastAsia="Malgun Gothic" w:hAnsi="Calibri" w:cs="Times New Roman"/>
                <w:b/>
                <w:bCs/>
                <w:color w:val="FFFFFF"/>
              </w:rPr>
              <w:t>STAGE 1: Identifying issues</w:t>
            </w:r>
          </w:p>
        </w:tc>
      </w:tr>
      <w:tr w:rsidR="00F116AB" w:rsidRPr="00F116AB" w14:paraId="459880B4" w14:textId="77777777" w:rsidTr="00F116AB">
        <w:tc>
          <w:tcPr>
            <w:tcW w:w="5000" w:type="pct"/>
            <w:tcBorders>
              <w:top w:val="single" w:sz="4" w:space="0" w:color="E2EFD9"/>
              <w:left w:val="single" w:sz="4" w:space="0" w:color="E2EFD9"/>
              <w:bottom w:val="single" w:sz="4" w:space="0" w:color="E2EFD9"/>
              <w:right w:val="single" w:sz="4" w:space="0" w:color="E2EFD9"/>
            </w:tcBorders>
            <w:shd w:val="clear" w:color="auto" w:fill="F4F9F1"/>
          </w:tcPr>
          <w:p w14:paraId="5DA8466A" w14:textId="77777777" w:rsidR="00F116AB" w:rsidRPr="00F116AB" w:rsidRDefault="00F116AB" w:rsidP="00F116AB">
            <w:pPr>
              <w:numPr>
                <w:ilvl w:val="0"/>
                <w:numId w:val="66"/>
              </w:numPr>
              <w:spacing w:before="160" w:after="160" w:line="240" w:lineRule="auto"/>
              <w:ind w:left="357" w:hanging="357"/>
              <w:jc w:val="left"/>
              <w:rPr>
                <w:rFonts w:ascii="Calibri" w:eastAsia="Malgun Gothic" w:hAnsi="Calibri" w:cs="Times New Roman"/>
                <w:bCs/>
              </w:rPr>
            </w:pPr>
            <w:r w:rsidRPr="00F116AB">
              <w:rPr>
                <w:rFonts w:ascii="Calibri" w:eastAsia="Malgun Gothic" w:hAnsi="Calibri" w:cs="Times New Roman"/>
                <w:bCs/>
              </w:rPr>
              <w:t>This program will benefit many people in the community who are economically disadvantaged and/or are unable to provide a morning routine for children.</w:t>
            </w:r>
          </w:p>
          <w:p w14:paraId="1BA239A2" w14:textId="77777777" w:rsidR="00F116AB" w:rsidRPr="00F116AB" w:rsidRDefault="00F116AB" w:rsidP="00F116AB">
            <w:pPr>
              <w:numPr>
                <w:ilvl w:val="0"/>
                <w:numId w:val="66"/>
              </w:numPr>
              <w:spacing w:before="160" w:after="160" w:line="240" w:lineRule="auto"/>
              <w:ind w:left="357" w:hanging="357"/>
              <w:jc w:val="left"/>
              <w:rPr>
                <w:rFonts w:ascii="Calibri" w:eastAsia="Malgun Gothic" w:hAnsi="Calibri" w:cs="Times New Roman"/>
                <w:bCs/>
              </w:rPr>
            </w:pPr>
            <w:r w:rsidRPr="00F116AB">
              <w:rPr>
                <w:rFonts w:ascii="Calibri" w:eastAsia="Malgun Gothic" w:hAnsi="Calibri" w:cs="Times New Roman"/>
                <w:bCs/>
              </w:rPr>
              <w:t>This program will particularly affect women who are more likely than men to provide child care and domestic activities at home, pre-school care and employment within the education system.</w:t>
            </w:r>
          </w:p>
          <w:p w14:paraId="3989CF9F" w14:textId="77777777" w:rsidR="00F116AB" w:rsidRPr="00F116AB" w:rsidRDefault="00F116AB" w:rsidP="00F116AB">
            <w:pPr>
              <w:numPr>
                <w:ilvl w:val="1"/>
                <w:numId w:val="66"/>
              </w:numPr>
              <w:spacing w:before="160" w:after="160" w:line="240" w:lineRule="auto"/>
              <w:ind w:left="720" w:hanging="357"/>
              <w:jc w:val="left"/>
              <w:rPr>
                <w:rFonts w:ascii="Calibri" w:eastAsia="Malgun Gothic" w:hAnsi="Calibri" w:cs="Times New Roman"/>
                <w:bCs/>
              </w:rPr>
            </w:pPr>
            <w:r w:rsidRPr="00F116AB">
              <w:rPr>
                <w:rFonts w:ascii="Calibri" w:eastAsia="Malgun Gothic" w:hAnsi="Calibri" w:cs="Times New Roman"/>
                <w:bCs/>
              </w:rPr>
              <w:t>There is a need to identify the specific group/s of women affected, including age, disability, religion, ethnicity, sexual orientation, sex and gender identity.</w:t>
            </w:r>
          </w:p>
          <w:p w14:paraId="76EEE372" w14:textId="77777777" w:rsidR="00F116AB" w:rsidRPr="00F116AB" w:rsidRDefault="00F116AB" w:rsidP="00F116AB">
            <w:pPr>
              <w:numPr>
                <w:ilvl w:val="0"/>
                <w:numId w:val="66"/>
              </w:numPr>
              <w:spacing w:before="160" w:after="160" w:line="240" w:lineRule="auto"/>
              <w:ind w:left="357" w:hanging="357"/>
              <w:jc w:val="left"/>
              <w:rPr>
                <w:rFonts w:ascii="Calibri" w:eastAsia="Malgun Gothic" w:hAnsi="Calibri" w:cs="Times New Roman"/>
                <w:bCs/>
              </w:rPr>
            </w:pPr>
            <w:r w:rsidRPr="00F116AB">
              <w:rPr>
                <w:rFonts w:ascii="Calibri" w:eastAsia="Malgun Gothic" w:hAnsi="Calibri" w:cs="Times New Roman"/>
                <w:bCs/>
              </w:rPr>
              <w:t xml:space="preserve">Given that the leadership of the organisation is male dominated, consideration may need to be given to ensuring women are adequately represented in the design of the program. </w:t>
            </w:r>
          </w:p>
        </w:tc>
      </w:tr>
      <w:tr w:rsidR="00F116AB" w:rsidRPr="00F116AB" w14:paraId="1C91D651" w14:textId="77777777" w:rsidTr="00F116AB">
        <w:tc>
          <w:tcPr>
            <w:tcW w:w="5000" w:type="pct"/>
            <w:tcBorders>
              <w:top w:val="single" w:sz="4" w:space="0" w:color="E2EFD9"/>
              <w:left w:val="single" w:sz="4" w:space="0" w:color="E2EFD9"/>
              <w:bottom w:val="single" w:sz="4" w:space="0" w:color="E6E7F2"/>
              <w:right w:val="single" w:sz="4" w:space="0" w:color="E2EFD9"/>
            </w:tcBorders>
            <w:shd w:val="clear" w:color="auto" w:fill="7066AE"/>
          </w:tcPr>
          <w:p w14:paraId="068E4FA3" w14:textId="77777777" w:rsidR="00F116AB" w:rsidRPr="00F116AB" w:rsidRDefault="00F116AB" w:rsidP="00F116AB">
            <w:pPr>
              <w:spacing w:before="120" w:line="240" w:lineRule="auto"/>
              <w:jc w:val="center"/>
              <w:rPr>
                <w:rFonts w:ascii="Calibri" w:eastAsia="Malgun Gothic" w:hAnsi="Calibri" w:cs="Times New Roman"/>
                <w:b/>
                <w:bCs/>
                <w:color w:val="FFFFFF"/>
              </w:rPr>
            </w:pPr>
            <w:r w:rsidRPr="00F116AB">
              <w:rPr>
                <w:rFonts w:ascii="Calibri" w:eastAsia="Malgun Gothic" w:hAnsi="Calibri" w:cs="Times New Roman"/>
                <w:b/>
                <w:bCs/>
                <w:color w:val="FFFFFF"/>
              </w:rPr>
              <w:t>STAGE 2: Gathering evidence</w:t>
            </w:r>
          </w:p>
        </w:tc>
      </w:tr>
      <w:tr w:rsidR="00F116AB" w:rsidRPr="00F116AB" w14:paraId="67B80EF1" w14:textId="77777777" w:rsidTr="00192BAF">
        <w:tc>
          <w:tcPr>
            <w:tcW w:w="5000" w:type="pct"/>
            <w:tcBorders>
              <w:top w:val="single" w:sz="4" w:space="0" w:color="E6E7F2"/>
              <w:left w:val="single" w:sz="4" w:space="0" w:color="E6E7F2"/>
              <w:bottom w:val="single" w:sz="4" w:space="0" w:color="E6E7F2"/>
              <w:right w:val="single" w:sz="4" w:space="0" w:color="E6E7F2"/>
            </w:tcBorders>
            <w:shd w:val="clear" w:color="auto" w:fill="F2F3F8"/>
          </w:tcPr>
          <w:p w14:paraId="21D79A73" w14:textId="77777777" w:rsidR="00F116AB" w:rsidRPr="00F116AB" w:rsidRDefault="00F116AB" w:rsidP="00F116AB">
            <w:pPr>
              <w:numPr>
                <w:ilvl w:val="0"/>
                <w:numId w:val="67"/>
              </w:numPr>
              <w:spacing w:before="160" w:after="160" w:line="240" w:lineRule="auto"/>
              <w:ind w:hanging="357"/>
              <w:jc w:val="left"/>
              <w:rPr>
                <w:rFonts w:ascii="Calibri" w:eastAsia="Malgun Gothic" w:hAnsi="Calibri" w:cs="Times New Roman"/>
                <w:b/>
                <w:bCs/>
                <w:color w:val="FFFFFF"/>
              </w:rPr>
            </w:pPr>
            <w:r w:rsidRPr="00F116AB">
              <w:rPr>
                <w:rFonts w:ascii="Calibri" w:eastAsia="Malgun Gothic" w:hAnsi="Calibri" w:cs="Times New Roman"/>
              </w:rPr>
              <w:t>Females across all age groups are more likely than males to provide unpaid childcare. The 25-34 years age group shows the greatest gender gap, with women accounting for 61 per cent of people in this age group providing unpaid childcare.</w:t>
            </w:r>
            <w:r w:rsidRPr="00F116AB">
              <w:rPr>
                <w:rFonts w:ascii="Calibri" w:eastAsia="Malgun Gothic" w:hAnsi="Calibri" w:cs="Times New Roman"/>
                <w:vertAlign w:val="superscript"/>
              </w:rPr>
              <w:endnoteReference w:id="29"/>
            </w:r>
          </w:p>
          <w:p w14:paraId="674CEA05" w14:textId="77777777" w:rsidR="00F116AB" w:rsidRPr="00F116AB" w:rsidRDefault="00F116AB" w:rsidP="00F116AB">
            <w:pPr>
              <w:numPr>
                <w:ilvl w:val="0"/>
                <w:numId w:val="69"/>
              </w:numPr>
              <w:spacing w:before="160" w:after="160" w:line="240" w:lineRule="auto"/>
              <w:jc w:val="left"/>
              <w:rPr>
                <w:rFonts w:ascii="Calibri" w:eastAsia="Malgun Gothic" w:hAnsi="Calibri" w:cs="Times New Roman"/>
                <w:b/>
                <w:bCs/>
                <w:color w:val="FFFFFF"/>
              </w:rPr>
            </w:pPr>
            <w:r w:rsidRPr="00F116AB">
              <w:rPr>
                <w:rFonts w:ascii="Calibri" w:eastAsia="Malgun Gothic" w:hAnsi="Calibri" w:cs="Times New Roman"/>
              </w:rPr>
              <w:t>In families with at least one employed parent, 70 per cent of working mothers used flexible work arrangements to care for their children, compared with 33 per cent of working fathers.</w:t>
            </w:r>
            <w:r w:rsidRPr="009733CA">
              <w:rPr>
                <w:rFonts w:ascii="Calibri" w:eastAsia="Malgun Gothic" w:hAnsi="Calibri" w:cs="Times New Roman"/>
                <w:vertAlign w:val="superscript"/>
              </w:rPr>
              <w:endnoteReference w:id="30"/>
            </w:r>
          </w:p>
          <w:p w14:paraId="0CBA9D28" w14:textId="77777777" w:rsidR="00F116AB" w:rsidRPr="00F116AB" w:rsidRDefault="00F116AB" w:rsidP="00F116AB">
            <w:pPr>
              <w:numPr>
                <w:ilvl w:val="0"/>
                <w:numId w:val="69"/>
              </w:numPr>
              <w:spacing w:before="160" w:after="160" w:line="240" w:lineRule="auto"/>
              <w:jc w:val="left"/>
              <w:rPr>
                <w:rFonts w:ascii="Calibri" w:eastAsia="Malgun Gothic" w:hAnsi="Calibri" w:cs="Times New Roman"/>
                <w:b/>
                <w:bCs/>
                <w:color w:val="FFFFFF"/>
              </w:rPr>
            </w:pPr>
            <w:r w:rsidRPr="00F116AB">
              <w:rPr>
                <w:rFonts w:ascii="Calibri" w:eastAsia="Malgun Gothic" w:hAnsi="Calibri" w:cs="Times New Roman"/>
              </w:rPr>
              <w:t>38 per cent of working mothers used part-time work to care for a child, compared with 3 per cent of working fathers.</w:t>
            </w:r>
            <w:r w:rsidRPr="00F116AB">
              <w:rPr>
                <w:rFonts w:ascii="Calibri" w:eastAsia="Malgun Gothic" w:hAnsi="Calibri" w:cs="Times New Roman"/>
                <w:vertAlign w:val="superscript"/>
              </w:rPr>
              <w:endnoteReference w:id="31"/>
            </w:r>
          </w:p>
          <w:p w14:paraId="6E2BCB1D" w14:textId="77777777" w:rsidR="00F116AB" w:rsidRPr="00F116AB" w:rsidRDefault="00F116AB" w:rsidP="00F116AB">
            <w:pPr>
              <w:numPr>
                <w:ilvl w:val="0"/>
                <w:numId w:val="67"/>
              </w:numPr>
              <w:spacing w:before="160" w:after="160" w:line="240" w:lineRule="auto"/>
              <w:ind w:hanging="357"/>
              <w:jc w:val="left"/>
              <w:rPr>
                <w:rFonts w:ascii="Calibri" w:eastAsia="Malgun Gothic" w:hAnsi="Calibri" w:cs="Times New Roman"/>
                <w:bCs/>
              </w:rPr>
            </w:pPr>
            <w:r w:rsidRPr="00F116AB">
              <w:rPr>
                <w:rFonts w:ascii="Calibri" w:eastAsia="Malgun Gothic" w:hAnsi="Calibri" w:cs="Times New Roman"/>
              </w:rPr>
              <w:lastRenderedPageBreak/>
              <w:t>Females aged 15 years and older are nearly three times more likely than males to spend 15 hours or more every week on unpaid domestic activities – 30 per cent of females compared with 12 per cent of males.</w:t>
            </w:r>
            <w:r w:rsidRPr="00F116AB">
              <w:rPr>
                <w:rFonts w:ascii="Calibri" w:eastAsia="Malgun Gothic" w:hAnsi="Calibri" w:cs="Times New Roman"/>
                <w:vertAlign w:val="superscript"/>
              </w:rPr>
              <w:endnoteReference w:id="32"/>
            </w:r>
          </w:p>
          <w:p w14:paraId="211C1198" w14:textId="77777777" w:rsidR="00F116AB" w:rsidRPr="00F116AB" w:rsidRDefault="00F116AB" w:rsidP="00F116AB">
            <w:pPr>
              <w:numPr>
                <w:ilvl w:val="0"/>
                <w:numId w:val="67"/>
              </w:numPr>
              <w:spacing w:before="160" w:after="160" w:line="240" w:lineRule="auto"/>
              <w:ind w:hanging="357"/>
              <w:jc w:val="left"/>
              <w:rPr>
                <w:rFonts w:ascii="Calibri" w:eastAsia="Malgun Gothic" w:hAnsi="Calibri" w:cs="Times New Roman"/>
                <w:b/>
                <w:bCs/>
                <w:color w:val="FFFFFF"/>
              </w:rPr>
            </w:pPr>
            <w:r w:rsidRPr="00F116AB">
              <w:rPr>
                <w:rFonts w:ascii="Calibri" w:eastAsia="Malgun Gothic" w:hAnsi="Calibri" w:cs="Times New Roman"/>
                <w:bCs/>
              </w:rPr>
              <w:t>Women comprised 95 per cent of child carers (including child care workers, family day care workers, nannies and out of school hours care workers), and 74 per cent of school teachers.</w:t>
            </w:r>
            <w:r w:rsidRPr="00F116AB">
              <w:rPr>
                <w:rFonts w:ascii="Calibri" w:eastAsia="Malgun Gothic" w:hAnsi="Calibri" w:cs="Times New Roman"/>
                <w:vertAlign w:val="superscript"/>
              </w:rPr>
              <w:endnoteReference w:id="33"/>
            </w:r>
          </w:p>
          <w:p w14:paraId="4CDBCA03" w14:textId="77777777" w:rsidR="00F116AB" w:rsidRPr="00F116AB" w:rsidRDefault="00F116AB" w:rsidP="00F116AB">
            <w:pPr>
              <w:numPr>
                <w:ilvl w:val="0"/>
                <w:numId w:val="67"/>
              </w:numPr>
              <w:spacing w:before="160" w:after="0" w:line="240" w:lineRule="auto"/>
              <w:contextualSpacing/>
              <w:jc w:val="left"/>
              <w:rPr>
                <w:rFonts w:ascii="Calibri" w:eastAsia="Malgun Gothic" w:hAnsi="Calibri" w:cs="Times New Roman"/>
                <w:bCs/>
                <w:color w:val="FFFFFF"/>
              </w:rPr>
            </w:pPr>
            <w:r w:rsidRPr="00F116AB">
              <w:rPr>
                <w:rFonts w:ascii="Calibri" w:eastAsia="Malgun Gothic" w:hAnsi="Calibri" w:cs="Times New Roman"/>
                <w:bCs/>
              </w:rPr>
              <w:t>2,100 females were employed as chief executives and managing directors, accounting for 19 per cent of the total 11,200 chief executives and managing directors.</w:t>
            </w:r>
            <w:r w:rsidRPr="00F116AB">
              <w:rPr>
                <w:rFonts w:ascii="Calibri" w:eastAsia="Malgun Gothic" w:hAnsi="Calibri" w:cs="Times New Roman"/>
                <w:vertAlign w:val="superscript"/>
              </w:rPr>
              <w:endnoteReference w:id="34"/>
            </w:r>
            <w:r w:rsidRPr="00F116AB">
              <w:rPr>
                <w:rFonts w:ascii="Calibri" w:eastAsia="Malgun Gothic" w:hAnsi="Calibri" w:cs="Times New Roman"/>
                <w:bCs/>
              </w:rPr>
              <w:t xml:space="preserve"> </w:t>
            </w:r>
            <w:r w:rsidRPr="00F116AB">
              <w:rPr>
                <w:rFonts w:ascii="Calibri" w:eastAsia="Malgun Gothic" w:hAnsi="Calibri" w:cs="Times New Roman"/>
                <w:vertAlign w:val="superscript"/>
              </w:rPr>
              <w:endnoteReference w:id="35"/>
            </w:r>
          </w:p>
          <w:p w14:paraId="26E1AE1B" w14:textId="77777777" w:rsidR="00F116AB" w:rsidRPr="00F116AB" w:rsidRDefault="00F116AB" w:rsidP="00F116AB">
            <w:pPr>
              <w:numPr>
                <w:ilvl w:val="0"/>
                <w:numId w:val="67"/>
              </w:numPr>
              <w:spacing w:before="160" w:after="160" w:line="240" w:lineRule="auto"/>
              <w:ind w:hanging="357"/>
              <w:jc w:val="left"/>
              <w:rPr>
                <w:rFonts w:ascii="Calibri" w:eastAsia="Malgun Gothic" w:hAnsi="Calibri" w:cs="Times New Roman"/>
                <w:bCs/>
                <w:color w:val="FFFFFF"/>
              </w:rPr>
            </w:pPr>
            <w:r w:rsidRPr="00F116AB">
              <w:rPr>
                <w:rFonts w:ascii="Calibri" w:eastAsia="Malgun Gothic" w:hAnsi="Calibri" w:cs="Times New Roman"/>
                <w:bCs/>
              </w:rPr>
              <w:t>Specific data that reports women’s representation in community organisation management committees/boards.</w:t>
            </w:r>
          </w:p>
          <w:p w14:paraId="3AE1138E" w14:textId="77777777" w:rsidR="00F116AB" w:rsidRPr="00F116AB" w:rsidRDefault="00F116AB" w:rsidP="00F116AB">
            <w:pPr>
              <w:numPr>
                <w:ilvl w:val="0"/>
                <w:numId w:val="67"/>
              </w:numPr>
              <w:spacing w:before="160" w:after="160" w:line="240" w:lineRule="auto"/>
              <w:ind w:hanging="357"/>
              <w:jc w:val="left"/>
              <w:rPr>
                <w:rFonts w:ascii="Calibri" w:eastAsia="Malgun Gothic" w:hAnsi="Calibri" w:cs="Times New Roman"/>
                <w:bCs/>
                <w:color w:val="FFFFFF"/>
              </w:rPr>
            </w:pPr>
            <w:r w:rsidRPr="00F116AB">
              <w:rPr>
                <w:rFonts w:ascii="Calibri" w:eastAsia="Malgun Gothic" w:hAnsi="Calibri" w:cs="Times New Roman"/>
                <w:bCs/>
              </w:rPr>
              <w:t xml:space="preserve">Any success or failure stories on implementing a program of similar nature. </w:t>
            </w:r>
          </w:p>
        </w:tc>
      </w:tr>
      <w:tr w:rsidR="00F116AB" w:rsidRPr="00F116AB" w14:paraId="07CC9FF3" w14:textId="77777777" w:rsidTr="00F116AB">
        <w:tc>
          <w:tcPr>
            <w:tcW w:w="5000" w:type="pct"/>
            <w:tcBorders>
              <w:top w:val="single" w:sz="4" w:space="0" w:color="E6E7F2"/>
              <w:left w:val="single" w:sz="4" w:space="0" w:color="E2EFD9"/>
              <w:bottom w:val="single" w:sz="4" w:space="0" w:color="E2EFD9"/>
              <w:right w:val="single" w:sz="4" w:space="0" w:color="E2EFD9"/>
            </w:tcBorders>
            <w:shd w:val="clear" w:color="auto" w:fill="538135"/>
          </w:tcPr>
          <w:p w14:paraId="1B222405" w14:textId="77777777" w:rsidR="00F116AB" w:rsidRPr="00F116AB" w:rsidRDefault="00F116AB" w:rsidP="00F116AB">
            <w:pPr>
              <w:spacing w:before="120" w:line="240" w:lineRule="auto"/>
              <w:jc w:val="center"/>
              <w:rPr>
                <w:rFonts w:ascii="Calibri" w:eastAsia="Malgun Gothic" w:hAnsi="Calibri" w:cs="Times New Roman"/>
                <w:b/>
                <w:bCs/>
                <w:color w:val="FFFFFF"/>
              </w:rPr>
            </w:pPr>
            <w:r w:rsidRPr="00F116AB">
              <w:rPr>
                <w:rFonts w:ascii="Calibri" w:eastAsia="Malgun Gothic" w:hAnsi="Calibri" w:cs="Times New Roman"/>
                <w:b/>
                <w:bCs/>
                <w:color w:val="FFFFFF"/>
              </w:rPr>
              <w:lastRenderedPageBreak/>
              <w:t>STAGE 3: Identifying and defining outcomes</w:t>
            </w:r>
          </w:p>
        </w:tc>
      </w:tr>
      <w:tr w:rsidR="00F116AB" w:rsidRPr="00F116AB" w14:paraId="585B2163" w14:textId="77777777" w:rsidTr="00F116AB">
        <w:tc>
          <w:tcPr>
            <w:tcW w:w="5000" w:type="pct"/>
            <w:tcBorders>
              <w:top w:val="single" w:sz="4" w:space="0" w:color="E2EFD9"/>
              <w:left w:val="single" w:sz="4" w:space="0" w:color="E2EFD9"/>
              <w:bottom w:val="single" w:sz="4" w:space="0" w:color="E2EFD9"/>
              <w:right w:val="single" w:sz="4" w:space="0" w:color="E2EFD9"/>
            </w:tcBorders>
            <w:shd w:val="clear" w:color="auto" w:fill="F4F9F1"/>
          </w:tcPr>
          <w:p w14:paraId="5020CF5E" w14:textId="77777777" w:rsidR="00F116AB" w:rsidRPr="00F116AB" w:rsidRDefault="00F116AB" w:rsidP="00F116AB">
            <w:pPr>
              <w:numPr>
                <w:ilvl w:val="0"/>
                <w:numId w:val="65"/>
              </w:numPr>
              <w:spacing w:before="160" w:after="160" w:line="240" w:lineRule="auto"/>
              <w:ind w:hanging="357"/>
              <w:jc w:val="left"/>
              <w:rPr>
                <w:rFonts w:ascii="Calibri" w:eastAsia="Malgun Gothic" w:hAnsi="Calibri" w:cs="Times New Roman"/>
                <w:bCs/>
              </w:rPr>
            </w:pPr>
            <w:r w:rsidRPr="00F116AB">
              <w:rPr>
                <w:rFonts w:ascii="Calibri" w:eastAsia="Malgun Gothic" w:hAnsi="Calibri" w:cs="Times New Roman"/>
                <w:bCs/>
              </w:rPr>
              <w:t>The ideal outcome is that the program</w:t>
            </w:r>
          </w:p>
          <w:p w14:paraId="15C03BCB" w14:textId="77777777" w:rsidR="00F116AB" w:rsidRPr="00F116AB" w:rsidRDefault="00F116AB" w:rsidP="00AF30E8">
            <w:pPr>
              <w:numPr>
                <w:ilvl w:val="0"/>
                <w:numId w:val="70"/>
              </w:numPr>
              <w:spacing w:before="160" w:after="160" w:line="240" w:lineRule="auto"/>
              <w:jc w:val="left"/>
              <w:rPr>
                <w:rFonts w:ascii="Calibri" w:eastAsia="Malgun Gothic" w:hAnsi="Calibri" w:cs="Times New Roman"/>
                <w:bCs/>
              </w:rPr>
            </w:pPr>
            <w:r w:rsidRPr="00F116AB">
              <w:rPr>
                <w:rFonts w:ascii="Calibri" w:eastAsia="Malgun Gothic" w:hAnsi="Calibri" w:cs="Times New Roman"/>
                <w:bCs/>
              </w:rPr>
              <w:t>benefits children, parents and the community</w:t>
            </w:r>
          </w:p>
          <w:p w14:paraId="0AC28AC7" w14:textId="77777777" w:rsidR="00F116AB" w:rsidRPr="00F116AB" w:rsidRDefault="00F116AB" w:rsidP="00AF30E8">
            <w:pPr>
              <w:numPr>
                <w:ilvl w:val="0"/>
                <w:numId w:val="70"/>
              </w:numPr>
              <w:spacing w:before="160" w:after="160" w:line="240" w:lineRule="auto"/>
              <w:jc w:val="left"/>
              <w:rPr>
                <w:rFonts w:ascii="Calibri" w:eastAsia="Malgun Gothic" w:hAnsi="Calibri" w:cs="Times New Roman"/>
                <w:bCs/>
              </w:rPr>
            </w:pPr>
            <w:r w:rsidRPr="00F116AB">
              <w:rPr>
                <w:rFonts w:ascii="Calibri" w:eastAsia="Malgun Gothic" w:hAnsi="Calibri" w:cs="Times New Roman"/>
                <w:bCs/>
              </w:rPr>
              <w:t>management committee represents all genders</w:t>
            </w:r>
          </w:p>
          <w:p w14:paraId="6452B853" w14:textId="77777777" w:rsidR="00F116AB" w:rsidRPr="00F116AB" w:rsidRDefault="00F116AB" w:rsidP="00AF30E8">
            <w:pPr>
              <w:numPr>
                <w:ilvl w:val="0"/>
                <w:numId w:val="70"/>
              </w:numPr>
              <w:spacing w:before="160" w:after="160" w:line="240" w:lineRule="auto"/>
              <w:jc w:val="left"/>
              <w:rPr>
                <w:rFonts w:ascii="Calibri" w:eastAsia="Malgun Gothic" w:hAnsi="Calibri" w:cs="Times New Roman"/>
                <w:bCs/>
              </w:rPr>
            </w:pPr>
            <w:r w:rsidRPr="00F116AB">
              <w:rPr>
                <w:rFonts w:ascii="Calibri" w:eastAsia="Malgun Gothic" w:hAnsi="Calibri" w:cs="Times New Roman"/>
                <w:bCs/>
              </w:rPr>
              <w:t xml:space="preserve">staff represent all genders </w:t>
            </w:r>
          </w:p>
          <w:p w14:paraId="547645A8" w14:textId="77777777" w:rsidR="00F116AB" w:rsidRPr="00F116AB" w:rsidRDefault="00F116AB" w:rsidP="00AF30E8">
            <w:pPr>
              <w:numPr>
                <w:ilvl w:val="0"/>
                <w:numId w:val="70"/>
              </w:numPr>
              <w:spacing w:before="160" w:after="160" w:line="240" w:lineRule="auto"/>
              <w:jc w:val="left"/>
              <w:rPr>
                <w:rFonts w:ascii="Calibri" w:eastAsia="Malgun Gothic" w:hAnsi="Calibri" w:cs="Times New Roman"/>
                <w:bCs/>
              </w:rPr>
            </w:pPr>
            <w:r w:rsidRPr="00F116AB">
              <w:rPr>
                <w:rFonts w:ascii="Calibri" w:eastAsia="Malgun Gothic" w:hAnsi="Calibri" w:cs="Times New Roman"/>
                <w:bCs/>
              </w:rPr>
              <w:t>provides activities appropriate for all genders.</w:t>
            </w:r>
          </w:p>
        </w:tc>
      </w:tr>
      <w:tr w:rsidR="00F116AB" w:rsidRPr="00F116AB" w14:paraId="55497614" w14:textId="77777777" w:rsidTr="00F116AB">
        <w:tc>
          <w:tcPr>
            <w:tcW w:w="5000" w:type="pct"/>
            <w:tcBorders>
              <w:top w:val="single" w:sz="4" w:space="0" w:color="E2EFD9"/>
              <w:left w:val="single" w:sz="4" w:space="0" w:color="E2EFD9"/>
              <w:bottom w:val="single" w:sz="4" w:space="0" w:color="E6E7F2"/>
              <w:right w:val="single" w:sz="4" w:space="0" w:color="E2EFD9"/>
            </w:tcBorders>
            <w:shd w:val="clear" w:color="auto" w:fill="7066AE"/>
          </w:tcPr>
          <w:p w14:paraId="3B1CA743" w14:textId="77777777" w:rsidR="00F116AB" w:rsidRPr="00F116AB" w:rsidRDefault="00F116AB" w:rsidP="00F116AB">
            <w:pPr>
              <w:spacing w:before="120" w:line="240" w:lineRule="auto"/>
              <w:jc w:val="center"/>
              <w:rPr>
                <w:rFonts w:ascii="Calibri" w:eastAsia="Malgun Gothic" w:hAnsi="Calibri" w:cs="Times New Roman"/>
                <w:b/>
                <w:bCs/>
                <w:color w:val="FFFFFF"/>
              </w:rPr>
            </w:pPr>
            <w:r w:rsidRPr="00F116AB">
              <w:rPr>
                <w:rFonts w:ascii="Calibri" w:eastAsia="Malgun Gothic" w:hAnsi="Calibri" w:cs="Times New Roman"/>
                <w:b/>
                <w:bCs/>
                <w:color w:val="FFFFFF"/>
              </w:rPr>
              <w:t>STAGE 4: Planning</w:t>
            </w:r>
          </w:p>
        </w:tc>
      </w:tr>
      <w:tr w:rsidR="00F116AB" w:rsidRPr="00F116AB" w14:paraId="45AE907A" w14:textId="77777777" w:rsidTr="00192BAF">
        <w:tc>
          <w:tcPr>
            <w:tcW w:w="5000" w:type="pct"/>
            <w:tcBorders>
              <w:top w:val="single" w:sz="4" w:space="0" w:color="E6E7F2"/>
              <w:left w:val="single" w:sz="4" w:space="0" w:color="E6E7F2"/>
              <w:bottom w:val="single" w:sz="4" w:space="0" w:color="E6E7F2"/>
              <w:right w:val="single" w:sz="4" w:space="0" w:color="E6E7F2"/>
            </w:tcBorders>
            <w:shd w:val="clear" w:color="auto" w:fill="F2F3F8"/>
          </w:tcPr>
          <w:p w14:paraId="7E43B4B4" w14:textId="77777777" w:rsidR="00F116AB" w:rsidRPr="00F116AB" w:rsidRDefault="00F116AB" w:rsidP="00F116AB">
            <w:pPr>
              <w:numPr>
                <w:ilvl w:val="0"/>
                <w:numId w:val="63"/>
              </w:numPr>
              <w:spacing w:before="160" w:after="160" w:line="240" w:lineRule="auto"/>
              <w:jc w:val="left"/>
              <w:rPr>
                <w:rFonts w:ascii="Calibri" w:eastAsia="Malgun Gothic" w:hAnsi="Calibri" w:cs="Times New Roman"/>
                <w:bCs/>
              </w:rPr>
            </w:pPr>
            <w:r w:rsidRPr="00F116AB">
              <w:rPr>
                <w:rFonts w:ascii="Calibri" w:eastAsia="Malgun Gothic" w:hAnsi="Calibri" w:cs="Times New Roman"/>
                <w:bCs/>
              </w:rPr>
              <w:t>When engaging female stakeholders, consider access to transport and child care for face-to-face meetings; child care responsibilities and domestic routines; and alternative ways for people to provide input.</w:t>
            </w:r>
          </w:p>
          <w:p w14:paraId="06785C9F" w14:textId="77777777" w:rsidR="00F116AB" w:rsidRPr="00F116AB" w:rsidRDefault="00F116AB" w:rsidP="00F116AB">
            <w:pPr>
              <w:numPr>
                <w:ilvl w:val="0"/>
                <w:numId w:val="63"/>
              </w:numPr>
              <w:spacing w:before="160" w:after="160" w:line="240" w:lineRule="auto"/>
              <w:jc w:val="left"/>
              <w:rPr>
                <w:rFonts w:ascii="Calibri" w:eastAsia="Malgun Gothic" w:hAnsi="Calibri" w:cs="Times New Roman"/>
                <w:bCs/>
              </w:rPr>
            </w:pPr>
            <w:r w:rsidRPr="00F116AB">
              <w:rPr>
                <w:rFonts w:ascii="Calibri" w:eastAsia="Malgun Gothic" w:hAnsi="Calibri" w:cs="Times New Roman"/>
                <w:bCs/>
              </w:rPr>
              <w:t>The program could benefit from strategies to address any barriers to men’s involvement in the program.</w:t>
            </w:r>
          </w:p>
          <w:p w14:paraId="528603B9" w14:textId="77777777" w:rsidR="00F116AB" w:rsidRPr="00F116AB" w:rsidRDefault="00F116AB" w:rsidP="00F116AB">
            <w:pPr>
              <w:numPr>
                <w:ilvl w:val="0"/>
                <w:numId w:val="63"/>
              </w:numPr>
              <w:spacing w:before="160" w:after="160" w:line="240" w:lineRule="auto"/>
              <w:jc w:val="left"/>
              <w:rPr>
                <w:rFonts w:ascii="Calibri" w:eastAsia="Malgun Gothic" w:hAnsi="Calibri" w:cs="Times New Roman"/>
                <w:bCs/>
              </w:rPr>
            </w:pPr>
            <w:r w:rsidRPr="00F116AB">
              <w:rPr>
                <w:rFonts w:ascii="Calibri" w:eastAsia="Malgun Gothic" w:hAnsi="Calibri" w:cs="Times New Roman"/>
                <w:bCs/>
              </w:rPr>
              <w:t>Strategies to involve all students attending breakfast, not only girls, to help prepare and serve the breakfast and clean up afterwards.</w:t>
            </w:r>
          </w:p>
          <w:p w14:paraId="7A49A061" w14:textId="77777777" w:rsidR="00F116AB" w:rsidRPr="00F116AB" w:rsidRDefault="00F116AB" w:rsidP="00F116AB">
            <w:pPr>
              <w:numPr>
                <w:ilvl w:val="0"/>
                <w:numId w:val="63"/>
              </w:numPr>
              <w:spacing w:before="160" w:after="160" w:line="240" w:lineRule="auto"/>
              <w:jc w:val="left"/>
              <w:rPr>
                <w:rFonts w:ascii="Calibri" w:eastAsia="Malgun Gothic" w:hAnsi="Calibri" w:cs="Times New Roman"/>
                <w:bCs/>
              </w:rPr>
            </w:pPr>
            <w:r w:rsidRPr="00F116AB">
              <w:rPr>
                <w:rFonts w:ascii="Calibri" w:eastAsia="Malgun Gothic" w:hAnsi="Calibri" w:cs="Times New Roman"/>
                <w:bCs/>
              </w:rPr>
              <w:t>Strategies to encourage participation in outdoor activities for all students, including girls, such as having a wide variety of equipment and spaces available.</w:t>
            </w:r>
          </w:p>
          <w:p w14:paraId="759A90B6" w14:textId="0D01C290" w:rsidR="009733CA" w:rsidRPr="003D0394" w:rsidRDefault="00F116AB" w:rsidP="003D0394">
            <w:pPr>
              <w:numPr>
                <w:ilvl w:val="0"/>
                <w:numId w:val="63"/>
              </w:numPr>
              <w:spacing w:before="160" w:after="160" w:line="240" w:lineRule="auto"/>
              <w:jc w:val="left"/>
              <w:rPr>
                <w:rFonts w:ascii="Calibri" w:eastAsia="Malgun Gothic" w:hAnsi="Calibri" w:cs="Times New Roman"/>
                <w:bCs/>
              </w:rPr>
            </w:pPr>
            <w:r w:rsidRPr="00F116AB">
              <w:rPr>
                <w:rFonts w:ascii="Calibri" w:eastAsia="Malgun Gothic" w:hAnsi="Calibri" w:cs="Times New Roman"/>
                <w:bCs/>
              </w:rPr>
              <w:t>Develop key performance indicators to monitor, review and report the program.</w:t>
            </w:r>
          </w:p>
        </w:tc>
      </w:tr>
      <w:tr w:rsidR="00F116AB" w:rsidRPr="00F116AB" w14:paraId="189FB9A9" w14:textId="77777777" w:rsidTr="00F116AB">
        <w:tc>
          <w:tcPr>
            <w:tcW w:w="5000" w:type="pct"/>
            <w:tcBorders>
              <w:top w:val="single" w:sz="4" w:space="0" w:color="E6E7F2"/>
              <w:left w:val="single" w:sz="4" w:space="0" w:color="E2EFD9"/>
              <w:bottom w:val="single" w:sz="4" w:space="0" w:color="E2EFD9"/>
              <w:right w:val="single" w:sz="4" w:space="0" w:color="E2EFD9"/>
            </w:tcBorders>
            <w:shd w:val="clear" w:color="auto" w:fill="538135"/>
          </w:tcPr>
          <w:p w14:paraId="54E9639F" w14:textId="77777777" w:rsidR="00F116AB" w:rsidRPr="00F116AB" w:rsidRDefault="00F116AB" w:rsidP="00F116AB">
            <w:pPr>
              <w:spacing w:before="120" w:line="240" w:lineRule="auto"/>
              <w:jc w:val="center"/>
              <w:rPr>
                <w:rFonts w:ascii="Calibri" w:eastAsia="Malgun Gothic" w:hAnsi="Calibri" w:cs="Times New Roman"/>
                <w:b/>
                <w:bCs/>
                <w:color w:val="FFFFFF"/>
              </w:rPr>
            </w:pPr>
            <w:r w:rsidRPr="00F116AB">
              <w:rPr>
                <w:rFonts w:ascii="Calibri" w:eastAsia="Malgun Gothic" w:hAnsi="Calibri" w:cs="Times New Roman"/>
                <w:b/>
                <w:bCs/>
                <w:color w:val="FFFFFF"/>
              </w:rPr>
              <w:t>STAGE 5: Communication</w:t>
            </w:r>
          </w:p>
        </w:tc>
      </w:tr>
      <w:tr w:rsidR="00F116AB" w:rsidRPr="00F116AB" w14:paraId="0CB00D1E" w14:textId="77777777" w:rsidTr="00F116AB">
        <w:tc>
          <w:tcPr>
            <w:tcW w:w="5000" w:type="pct"/>
            <w:tcBorders>
              <w:top w:val="single" w:sz="4" w:space="0" w:color="E2EFD9"/>
              <w:left w:val="single" w:sz="4" w:space="0" w:color="E2EFD9"/>
              <w:bottom w:val="single" w:sz="4" w:space="0" w:color="E2EFD9"/>
              <w:right w:val="single" w:sz="4" w:space="0" w:color="E2EFD9"/>
            </w:tcBorders>
            <w:shd w:val="clear" w:color="auto" w:fill="F4F9F1"/>
          </w:tcPr>
          <w:p w14:paraId="42A23547" w14:textId="77777777" w:rsidR="00F116AB" w:rsidRPr="00F116AB" w:rsidRDefault="00F116AB" w:rsidP="00F116AB">
            <w:pPr>
              <w:numPr>
                <w:ilvl w:val="0"/>
                <w:numId w:val="64"/>
              </w:numPr>
              <w:spacing w:before="160" w:after="160" w:line="240" w:lineRule="auto"/>
              <w:ind w:hanging="357"/>
              <w:jc w:val="left"/>
              <w:rPr>
                <w:rFonts w:ascii="Calibri" w:eastAsia="Malgun Gothic" w:hAnsi="Calibri" w:cs="Times New Roman"/>
                <w:bCs/>
              </w:rPr>
            </w:pPr>
            <w:r w:rsidRPr="00F116AB">
              <w:rPr>
                <w:rFonts w:ascii="Calibri" w:eastAsia="Malgun Gothic" w:hAnsi="Calibri" w:cs="Times New Roman"/>
                <w:bCs/>
              </w:rPr>
              <w:t xml:space="preserve">Communication with diverse groups of community members needs to be presented in various media. </w:t>
            </w:r>
          </w:p>
          <w:p w14:paraId="63E2B710" w14:textId="77777777" w:rsidR="00F116AB" w:rsidRPr="00F116AB" w:rsidRDefault="00F116AB" w:rsidP="00AF30E8">
            <w:pPr>
              <w:numPr>
                <w:ilvl w:val="0"/>
                <w:numId w:val="71"/>
              </w:numPr>
              <w:spacing w:before="160" w:after="160" w:line="240" w:lineRule="auto"/>
              <w:jc w:val="left"/>
              <w:rPr>
                <w:rFonts w:ascii="Calibri" w:eastAsia="Malgun Gothic" w:hAnsi="Calibri" w:cs="Times New Roman"/>
                <w:bCs/>
              </w:rPr>
            </w:pPr>
            <w:r w:rsidRPr="00F116AB">
              <w:rPr>
                <w:rFonts w:ascii="Calibri" w:eastAsia="Malgun Gothic" w:hAnsi="Calibri" w:cs="Times New Roman"/>
                <w:bCs/>
              </w:rPr>
              <w:t xml:space="preserve">Women, especially older women and women from lower socio-economic backgrounds, may have less access to the Internet and email than men. </w:t>
            </w:r>
          </w:p>
          <w:p w14:paraId="1791B98D" w14:textId="77777777" w:rsidR="00F116AB" w:rsidRDefault="00F116AB" w:rsidP="00AF30E8">
            <w:pPr>
              <w:numPr>
                <w:ilvl w:val="0"/>
                <w:numId w:val="71"/>
              </w:numPr>
              <w:spacing w:before="160" w:after="160" w:line="240" w:lineRule="auto"/>
              <w:jc w:val="left"/>
              <w:rPr>
                <w:rFonts w:ascii="Calibri" w:eastAsia="Malgun Gothic" w:hAnsi="Calibri" w:cs="Times New Roman"/>
                <w:bCs/>
              </w:rPr>
            </w:pPr>
            <w:r w:rsidRPr="00F116AB">
              <w:rPr>
                <w:rFonts w:ascii="Calibri" w:eastAsia="Malgun Gothic" w:hAnsi="Calibri" w:cs="Times New Roman"/>
                <w:bCs/>
              </w:rPr>
              <w:t>Education and literacy levels can vary significantly and communication needs to be tailored to the abilities of the target audience to ensure it is fully understood.</w:t>
            </w:r>
          </w:p>
          <w:p w14:paraId="0B95CB97" w14:textId="77777777" w:rsidR="003D0394" w:rsidRPr="00F116AB" w:rsidRDefault="003D0394" w:rsidP="00864C2C">
            <w:pPr>
              <w:spacing w:before="160" w:after="160" w:line="240" w:lineRule="auto"/>
              <w:jc w:val="left"/>
              <w:rPr>
                <w:rFonts w:ascii="Calibri" w:eastAsia="Malgun Gothic" w:hAnsi="Calibri" w:cs="Times New Roman"/>
                <w:bCs/>
              </w:rPr>
            </w:pPr>
          </w:p>
        </w:tc>
      </w:tr>
      <w:tr w:rsidR="00F116AB" w:rsidRPr="00F116AB" w14:paraId="1EF026B0" w14:textId="77777777" w:rsidTr="00F116AB">
        <w:tc>
          <w:tcPr>
            <w:tcW w:w="5000" w:type="pct"/>
            <w:tcBorders>
              <w:top w:val="single" w:sz="4" w:space="0" w:color="E2EFD9"/>
              <w:left w:val="single" w:sz="4" w:space="0" w:color="E2EFD9"/>
              <w:bottom w:val="single" w:sz="4" w:space="0" w:color="E6E7F2"/>
              <w:right w:val="single" w:sz="4" w:space="0" w:color="E2EFD9"/>
            </w:tcBorders>
            <w:shd w:val="clear" w:color="auto" w:fill="7066AE"/>
          </w:tcPr>
          <w:p w14:paraId="58F3E049" w14:textId="77777777" w:rsidR="00F116AB" w:rsidRPr="00F116AB" w:rsidRDefault="00F116AB" w:rsidP="00F116AB">
            <w:pPr>
              <w:spacing w:before="120" w:line="240" w:lineRule="auto"/>
              <w:jc w:val="center"/>
              <w:rPr>
                <w:rFonts w:ascii="Calibri" w:eastAsia="Malgun Gothic" w:hAnsi="Calibri" w:cs="Times New Roman"/>
                <w:b/>
                <w:bCs/>
                <w:color w:val="FFFFFF"/>
              </w:rPr>
            </w:pPr>
            <w:r w:rsidRPr="00F116AB">
              <w:rPr>
                <w:rFonts w:ascii="Calibri" w:eastAsia="Malgun Gothic" w:hAnsi="Calibri" w:cs="Times New Roman"/>
                <w:b/>
                <w:bCs/>
                <w:color w:val="FFFFFF"/>
              </w:rPr>
              <w:lastRenderedPageBreak/>
              <w:t>STAGE 6: Delivery/ implementation</w:t>
            </w:r>
          </w:p>
        </w:tc>
      </w:tr>
      <w:tr w:rsidR="00F116AB" w:rsidRPr="00F116AB" w14:paraId="2A2E9577" w14:textId="77777777" w:rsidTr="00192BAF">
        <w:tc>
          <w:tcPr>
            <w:tcW w:w="5000" w:type="pct"/>
            <w:tcBorders>
              <w:top w:val="single" w:sz="4" w:space="0" w:color="E6E7F2"/>
              <w:left w:val="single" w:sz="4" w:space="0" w:color="E6E7F2"/>
              <w:bottom w:val="single" w:sz="4" w:space="0" w:color="E6E7F2"/>
              <w:right w:val="single" w:sz="4" w:space="0" w:color="E6E7F2"/>
            </w:tcBorders>
            <w:shd w:val="clear" w:color="auto" w:fill="F2F3F8"/>
          </w:tcPr>
          <w:p w14:paraId="7E09036D" w14:textId="77777777" w:rsidR="00F116AB" w:rsidRPr="00F116AB" w:rsidRDefault="00F116AB" w:rsidP="00F116AB">
            <w:pPr>
              <w:numPr>
                <w:ilvl w:val="0"/>
                <w:numId w:val="63"/>
              </w:numPr>
              <w:spacing w:before="160" w:after="160" w:line="240" w:lineRule="auto"/>
              <w:ind w:left="357" w:hanging="357"/>
              <w:jc w:val="left"/>
              <w:rPr>
                <w:rFonts w:ascii="Calibri" w:eastAsia="Malgun Gothic" w:hAnsi="Calibri" w:cs="Times New Roman"/>
                <w:bCs/>
              </w:rPr>
            </w:pPr>
            <w:r w:rsidRPr="00F116AB">
              <w:rPr>
                <w:rFonts w:ascii="Calibri" w:eastAsia="Malgun Gothic" w:hAnsi="Calibri" w:cs="Times New Roman"/>
                <w:bCs/>
              </w:rPr>
              <w:t>Program delivery needs to target the community as a whole.</w:t>
            </w:r>
          </w:p>
          <w:p w14:paraId="3AD57677" w14:textId="77777777" w:rsidR="00F116AB" w:rsidRPr="00F116AB" w:rsidRDefault="00F116AB" w:rsidP="00F116AB">
            <w:pPr>
              <w:numPr>
                <w:ilvl w:val="0"/>
                <w:numId w:val="63"/>
              </w:numPr>
              <w:spacing w:before="160" w:after="160" w:line="240" w:lineRule="auto"/>
              <w:ind w:left="357" w:hanging="357"/>
              <w:jc w:val="left"/>
              <w:rPr>
                <w:rFonts w:ascii="Calibri" w:eastAsia="Malgun Gothic" w:hAnsi="Calibri" w:cs="Times New Roman"/>
                <w:bCs/>
              </w:rPr>
            </w:pPr>
            <w:r w:rsidRPr="00F116AB">
              <w:rPr>
                <w:rFonts w:ascii="Calibri" w:eastAsia="Malgun Gothic" w:hAnsi="Calibri" w:cs="Times New Roman"/>
                <w:bCs/>
              </w:rPr>
              <w:t>Implementation should be mindful of gender roles between participating students, between staff members, between volunteers and between management committee members.</w:t>
            </w:r>
          </w:p>
        </w:tc>
      </w:tr>
      <w:tr w:rsidR="00F116AB" w:rsidRPr="00F116AB" w14:paraId="2BC3EDC3" w14:textId="77777777" w:rsidTr="00F116AB">
        <w:tc>
          <w:tcPr>
            <w:tcW w:w="5000" w:type="pct"/>
            <w:tcBorders>
              <w:top w:val="single" w:sz="4" w:space="0" w:color="E6E7F2"/>
              <w:left w:val="single" w:sz="4" w:space="0" w:color="E2EFD9"/>
              <w:bottom w:val="single" w:sz="4" w:space="0" w:color="E2EFD9"/>
              <w:right w:val="single" w:sz="4" w:space="0" w:color="E2EFD9"/>
            </w:tcBorders>
            <w:shd w:val="clear" w:color="auto" w:fill="538135"/>
          </w:tcPr>
          <w:p w14:paraId="5828AEBA" w14:textId="77777777" w:rsidR="00F116AB" w:rsidRPr="00F116AB" w:rsidRDefault="00F116AB" w:rsidP="00F116AB">
            <w:pPr>
              <w:spacing w:before="120" w:line="240" w:lineRule="auto"/>
              <w:jc w:val="center"/>
              <w:rPr>
                <w:rFonts w:ascii="Calibri" w:eastAsia="Malgun Gothic" w:hAnsi="Calibri" w:cs="Times New Roman"/>
                <w:b/>
                <w:bCs/>
                <w:color w:val="FFFFFF"/>
              </w:rPr>
            </w:pPr>
            <w:r w:rsidRPr="00F116AB">
              <w:rPr>
                <w:rFonts w:ascii="Calibri" w:eastAsia="Malgun Gothic" w:hAnsi="Calibri" w:cs="Times New Roman"/>
                <w:b/>
                <w:bCs/>
                <w:color w:val="FFFFFF"/>
              </w:rPr>
              <w:t>STAGE 7: Monitoring and review</w:t>
            </w:r>
          </w:p>
        </w:tc>
      </w:tr>
      <w:tr w:rsidR="00F116AB" w:rsidRPr="00F116AB" w14:paraId="186B804E" w14:textId="77777777" w:rsidTr="00F116AB">
        <w:tc>
          <w:tcPr>
            <w:tcW w:w="5000" w:type="pct"/>
            <w:tcBorders>
              <w:top w:val="single" w:sz="4" w:space="0" w:color="E2EFD9"/>
              <w:left w:val="single" w:sz="4" w:space="0" w:color="E2EFD9"/>
              <w:bottom w:val="single" w:sz="4" w:space="0" w:color="E2EFD9"/>
              <w:right w:val="single" w:sz="4" w:space="0" w:color="E2EFD9"/>
            </w:tcBorders>
            <w:shd w:val="clear" w:color="auto" w:fill="F4F9F1"/>
          </w:tcPr>
          <w:p w14:paraId="168523AA" w14:textId="77777777" w:rsidR="00F116AB" w:rsidRPr="00F116AB" w:rsidRDefault="00F116AB" w:rsidP="00F116AB">
            <w:pPr>
              <w:numPr>
                <w:ilvl w:val="0"/>
                <w:numId w:val="64"/>
              </w:numPr>
              <w:spacing w:before="160" w:after="160" w:line="240" w:lineRule="auto"/>
              <w:ind w:left="363" w:hanging="357"/>
              <w:jc w:val="left"/>
              <w:rPr>
                <w:rFonts w:ascii="Calibri" w:eastAsia="Malgun Gothic" w:hAnsi="Calibri" w:cs="Times New Roman"/>
                <w:bCs/>
              </w:rPr>
            </w:pPr>
            <w:r w:rsidRPr="00F116AB">
              <w:rPr>
                <w:rFonts w:ascii="Calibri" w:eastAsia="Malgun Gothic" w:hAnsi="Calibri" w:cs="Times New Roman"/>
                <w:bCs/>
              </w:rPr>
              <w:t>The main purpose is to deliver a gender-sensitive program that benefits the community.</w:t>
            </w:r>
          </w:p>
          <w:p w14:paraId="0CB5F1B9" w14:textId="77777777" w:rsidR="00F116AB" w:rsidRPr="00F116AB" w:rsidRDefault="00F116AB" w:rsidP="00F116AB">
            <w:pPr>
              <w:numPr>
                <w:ilvl w:val="0"/>
                <w:numId w:val="64"/>
              </w:numPr>
              <w:spacing w:before="160" w:after="160" w:line="240" w:lineRule="auto"/>
              <w:ind w:left="363" w:hanging="357"/>
              <w:jc w:val="left"/>
              <w:rPr>
                <w:rFonts w:ascii="Calibri" w:eastAsia="Malgun Gothic" w:hAnsi="Calibri" w:cs="Times New Roman"/>
                <w:bCs/>
              </w:rPr>
            </w:pPr>
            <w:r w:rsidRPr="00F116AB">
              <w:rPr>
                <w:rFonts w:ascii="Calibri" w:eastAsia="Malgun Gothic" w:hAnsi="Calibri" w:cs="Times New Roman"/>
                <w:bCs/>
              </w:rPr>
              <w:t>Monitor and evaluate this factor against the key performance indicators.</w:t>
            </w:r>
          </w:p>
          <w:p w14:paraId="3B070C31" w14:textId="77777777" w:rsidR="00F116AB" w:rsidRPr="00F116AB" w:rsidRDefault="00F116AB" w:rsidP="00F116AB">
            <w:pPr>
              <w:numPr>
                <w:ilvl w:val="0"/>
                <w:numId w:val="64"/>
              </w:numPr>
              <w:spacing w:before="160" w:after="160" w:line="240" w:lineRule="auto"/>
              <w:ind w:left="363" w:hanging="357"/>
              <w:jc w:val="left"/>
              <w:rPr>
                <w:rFonts w:ascii="Calibri" w:eastAsia="Malgun Gothic" w:hAnsi="Calibri" w:cs="Times New Roman"/>
                <w:bCs/>
              </w:rPr>
            </w:pPr>
            <w:r w:rsidRPr="00F116AB">
              <w:rPr>
                <w:rFonts w:ascii="Calibri" w:eastAsia="Malgun Gothic" w:hAnsi="Calibri" w:cs="Times New Roman"/>
                <w:bCs/>
              </w:rPr>
              <w:t>Review gender disaggregated data to inform future strategic planning.</w:t>
            </w:r>
          </w:p>
        </w:tc>
      </w:tr>
      <w:tr w:rsidR="00F116AB" w:rsidRPr="00F116AB" w14:paraId="1E3F361B" w14:textId="77777777" w:rsidTr="00F116AB">
        <w:tc>
          <w:tcPr>
            <w:tcW w:w="5000" w:type="pct"/>
            <w:tcBorders>
              <w:top w:val="single" w:sz="4" w:space="0" w:color="E2EFD9"/>
              <w:left w:val="single" w:sz="4" w:space="0" w:color="E2EFD9"/>
              <w:bottom w:val="single" w:sz="4" w:space="0" w:color="E6E7F2"/>
              <w:right w:val="single" w:sz="4" w:space="0" w:color="E2EFD9"/>
            </w:tcBorders>
            <w:shd w:val="clear" w:color="auto" w:fill="7066AE"/>
          </w:tcPr>
          <w:p w14:paraId="6F25F544" w14:textId="77777777" w:rsidR="00F116AB" w:rsidRPr="00F116AB" w:rsidRDefault="00F116AB" w:rsidP="00F116AB">
            <w:pPr>
              <w:spacing w:before="120" w:line="240" w:lineRule="auto"/>
              <w:jc w:val="center"/>
              <w:rPr>
                <w:rFonts w:ascii="Calibri" w:eastAsia="Malgun Gothic" w:hAnsi="Calibri" w:cs="Times New Roman"/>
                <w:b/>
                <w:bCs/>
                <w:color w:val="FFFFFF"/>
              </w:rPr>
            </w:pPr>
            <w:r w:rsidRPr="00F116AB">
              <w:rPr>
                <w:rFonts w:ascii="Calibri" w:eastAsia="Malgun Gothic" w:hAnsi="Calibri" w:cs="Times New Roman"/>
                <w:b/>
                <w:bCs/>
                <w:color w:val="FFFFFF"/>
              </w:rPr>
              <w:t>STAGE 8: Reporting</w:t>
            </w:r>
          </w:p>
        </w:tc>
      </w:tr>
      <w:tr w:rsidR="00F116AB" w:rsidRPr="00F116AB" w14:paraId="75966A86" w14:textId="77777777" w:rsidTr="00192BAF">
        <w:tc>
          <w:tcPr>
            <w:tcW w:w="5000" w:type="pct"/>
            <w:tcBorders>
              <w:top w:val="single" w:sz="4" w:space="0" w:color="E6E7F2"/>
              <w:left w:val="single" w:sz="4" w:space="0" w:color="E6E7F2"/>
              <w:bottom w:val="nil"/>
              <w:right w:val="single" w:sz="4" w:space="0" w:color="E6E7F2"/>
            </w:tcBorders>
            <w:shd w:val="clear" w:color="auto" w:fill="F2F3F8"/>
          </w:tcPr>
          <w:p w14:paraId="7A0B5BC8" w14:textId="77777777" w:rsidR="00F116AB" w:rsidRPr="00F116AB" w:rsidRDefault="00F116AB" w:rsidP="00F116AB">
            <w:pPr>
              <w:numPr>
                <w:ilvl w:val="0"/>
                <w:numId w:val="63"/>
              </w:numPr>
              <w:spacing w:before="160" w:after="160" w:line="240" w:lineRule="auto"/>
              <w:ind w:left="357" w:hanging="357"/>
              <w:jc w:val="left"/>
              <w:rPr>
                <w:rFonts w:ascii="Calibri" w:eastAsia="Malgun Gothic" w:hAnsi="Calibri" w:cs="Times New Roman"/>
                <w:bCs/>
              </w:rPr>
            </w:pPr>
            <w:r w:rsidRPr="00F116AB">
              <w:rPr>
                <w:rFonts w:ascii="Calibri" w:eastAsia="Malgun Gothic" w:hAnsi="Calibri" w:cs="Times New Roman"/>
                <w:bCs/>
              </w:rPr>
              <w:t>Distribute a report on the outcomes of the program using various media and methods to the whole community.</w:t>
            </w:r>
          </w:p>
          <w:p w14:paraId="20CD0DC8" w14:textId="77777777" w:rsidR="00F116AB" w:rsidRPr="00F116AB" w:rsidRDefault="00F116AB" w:rsidP="00F116AB">
            <w:pPr>
              <w:numPr>
                <w:ilvl w:val="0"/>
                <w:numId w:val="63"/>
              </w:numPr>
              <w:spacing w:before="160" w:after="160" w:line="240" w:lineRule="auto"/>
              <w:ind w:left="357" w:hanging="357"/>
              <w:jc w:val="left"/>
              <w:rPr>
                <w:rFonts w:ascii="Calibri" w:eastAsia="Malgun Gothic" w:hAnsi="Calibri" w:cs="Times New Roman"/>
                <w:bCs/>
              </w:rPr>
            </w:pPr>
            <w:r w:rsidRPr="00F116AB">
              <w:rPr>
                <w:rFonts w:ascii="Calibri" w:eastAsia="Malgun Gothic" w:hAnsi="Calibri" w:cs="Times New Roman"/>
                <w:bCs/>
              </w:rPr>
              <w:t>Internal reporting should respond to the key performance indicators and provide reports broken down by gender and other factors including age, cultural background, disability, and sexual orientation, .</w:t>
            </w:r>
          </w:p>
        </w:tc>
      </w:tr>
      <w:tr w:rsidR="00F116AB" w:rsidRPr="00F116AB" w14:paraId="53BFD6D9" w14:textId="77777777" w:rsidTr="00192BAF">
        <w:tc>
          <w:tcPr>
            <w:tcW w:w="5000" w:type="pct"/>
            <w:tcBorders>
              <w:top w:val="nil"/>
              <w:left w:val="nil"/>
              <w:bottom w:val="nil"/>
              <w:right w:val="nil"/>
            </w:tcBorders>
            <w:shd w:val="clear" w:color="auto" w:fill="auto"/>
          </w:tcPr>
          <w:p w14:paraId="268191B7" w14:textId="77777777" w:rsidR="00F116AB" w:rsidRPr="00F116AB" w:rsidRDefault="00F116AB" w:rsidP="00F116AB">
            <w:pPr>
              <w:spacing w:before="160" w:after="0" w:line="240" w:lineRule="auto"/>
              <w:jc w:val="left"/>
              <w:rPr>
                <w:rFonts w:ascii="Calibri" w:eastAsia="Malgun Gothic" w:hAnsi="Calibri" w:cs="Times New Roman"/>
                <w:bCs/>
              </w:rPr>
            </w:pPr>
          </w:p>
        </w:tc>
      </w:tr>
    </w:tbl>
    <w:p w14:paraId="4458F0B6" w14:textId="77777777" w:rsidR="00340BAC" w:rsidRPr="00404F09" w:rsidRDefault="00340BAC" w:rsidP="00FA07F6">
      <w:pPr>
        <w:pStyle w:val="ListParagraph"/>
        <w:spacing w:after="240" w:line="240" w:lineRule="auto"/>
        <w:ind w:left="357"/>
        <w:contextualSpacing w:val="0"/>
        <w:jc w:val="left"/>
        <w:rPr>
          <w:lang w:val="en-AU"/>
        </w:rPr>
      </w:pPr>
    </w:p>
    <w:p w14:paraId="7602DA4E" w14:textId="6A2B1E9A" w:rsidR="00214B0D" w:rsidRDefault="00214B0D">
      <w:pPr>
        <w:spacing w:after="0" w:line="240" w:lineRule="auto"/>
        <w:jc w:val="left"/>
        <w:rPr>
          <w:lang w:val="en-AU"/>
        </w:rPr>
      </w:pPr>
      <w:r>
        <w:rPr>
          <w:lang w:val="en-AU"/>
        </w:rPr>
        <w:br w:type="page"/>
      </w:r>
    </w:p>
    <w:p w14:paraId="054C069D" w14:textId="07EA5E8B" w:rsidR="00214B0D" w:rsidRDefault="004420AB" w:rsidP="00214B0D">
      <w:pPr>
        <w:jc w:val="right"/>
        <w:rPr>
          <w:b/>
          <w:color w:val="660066"/>
          <w:sz w:val="36"/>
          <w:szCs w:val="36"/>
        </w:rPr>
      </w:pPr>
      <w:r>
        <w:rPr>
          <w:b/>
          <w:noProof/>
          <w:color w:val="660066"/>
          <w:sz w:val="36"/>
          <w:szCs w:val="36"/>
          <w:lang w:val="en-AU" w:eastAsia="ko-KR"/>
        </w:rPr>
        <w:lastRenderedPageBreak/>
        <w:drawing>
          <wp:anchor distT="0" distB="0" distL="114300" distR="114300" simplePos="0" relativeHeight="251683840" behindDoc="1" locked="1" layoutInCell="1" allowOverlap="1" wp14:anchorId="1B3F7DB9" wp14:editId="2F42FF3D">
            <wp:simplePos x="0" y="0"/>
            <wp:positionH relativeFrom="column">
              <wp:posOffset>-914400</wp:posOffset>
            </wp:positionH>
            <wp:positionV relativeFrom="page">
              <wp:posOffset>-52705</wp:posOffset>
            </wp:positionV>
            <wp:extent cx="7596505" cy="107448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8 GenericToolkit_5.jpg"/>
                    <pic:cNvPicPr/>
                  </pic:nvPicPr>
                  <pic:blipFill>
                    <a:blip r:embed="rId55">
                      <a:extLst>
                        <a:ext uri="{28A0092B-C50C-407E-A947-70E740481C1C}">
                          <a14:useLocalDpi xmlns:a14="http://schemas.microsoft.com/office/drawing/2010/main" val="0"/>
                        </a:ext>
                      </a:extLst>
                    </a:blip>
                    <a:stretch>
                      <a:fillRect/>
                    </a:stretch>
                  </pic:blipFill>
                  <pic:spPr>
                    <a:xfrm>
                      <a:off x="0" y="0"/>
                      <a:ext cx="7596505" cy="1074483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0A65A0D" w14:textId="77777777" w:rsidR="00214B0D" w:rsidRDefault="00214B0D" w:rsidP="00214B0D">
      <w:pPr>
        <w:jc w:val="right"/>
        <w:rPr>
          <w:b/>
          <w:color w:val="660066"/>
          <w:sz w:val="36"/>
          <w:szCs w:val="36"/>
        </w:rPr>
      </w:pPr>
    </w:p>
    <w:p w14:paraId="18D97439" w14:textId="77777777" w:rsidR="00214B0D" w:rsidRDefault="00214B0D" w:rsidP="00214B0D">
      <w:pPr>
        <w:jc w:val="right"/>
        <w:rPr>
          <w:b/>
          <w:color w:val="660066"/>
          <w:sz w:val="36"/>
          <w:szCs w:val="36"/>
        </w:rPr>
      </w:pPr>
    </w:p>
    <w:p w14:paraId="694C7DD4" w14:textId="77777777" w:rsidR="00214B0D" w:rsidRDefault="00214B0D" w:rsidP="00214B0D">
      <w:pPr>
        <w:jc w:val="right"/>
        <w:rPr>
          <w:b/>
          <w:color w:val="660066"/>
          <w:sz w:val="36"/>
          <w:szCs w:val="36"/>
        </w:rPr>
      </w:pPr>
    </w:p>
    <w:p w14:paraId="36842707" w14:textId="77777777" w:rsidR="00214B0D" w:rsidRDefault="00214B0D" w:rsidP="00214B0D">
      <w:pPr>
        <w:jc w:val="right"/>
        <w:rPr>
          <w:b/>
          <w:color w:val="660066"/>
          <w:sz w:val="36"/>
          <w:szCs w:val="36"/>
        </w:rPr>
      </w:pPr>
    </w:p>
    <w:p w14:paraId="06D9F86F" w14:textId="77777777" w:rsidR="00214B0D" w:rsidRDefault="00214B0D" w:rsidP="00214B0D">
      <w:pPr>
        <w:jc w:val="right"/>
        <w:rPr>
          <w:b/>
          <w:color w:val="660066"/>
          <w:sz w:val="36"/>
          <w:szCs w:val="36"/>
        </w:rPr>
      </w:pPr>
    </w:p>
    <w:p w14:paraId="731C7956" w14:textId="77777777" w:rsidR="00214B0D" w:rsidRDefault="00214B0D" w:rsidP="00214B0D">
      <w:pPr>
        <w:jc w:val="right"/>
        <w:rPr>
          <w:b/>
          <w:color w:val="660066"/>
          <w:sz w:val="36"/>
          <w:szCs w:val="36"/>
        </w:rPr>
      </w:pPr>
    </w:p>
    <w:p w14:paraId="2667CF3B" w14:textId="77777777" w:rsidR="00214B0D" w:rsidRDefault="00214B0D" w:rsidP="00214B0D">
      <w:pPr>
        <w:jc w:val="right"/>
        <w:rPr>
          <w:b/>
          <w:color w:val="660066"/>
          <w:sz w:val="36"/>
          <w:szCs w:val="36"/>
        </w:rPr>
      </w:pPr>
    </w:p>
    <w:p w14:paraId="7785CEFD" w14:textId="77777777" w:rsidR="00D629DB" w:rsidRDefault="00D629DB" w:rsidP="00214B0D">
      <w:pPr>
        <w:jc w:val="right"/>
        <w:rPr>
          <w:b/>
          <w:color w:val="660066"/>
          <w:sz w:val="36"/>
          <w:szCs w:val="36"/>
        </w:rPr>
      </w:pPr>
    </w:p>
    <w:p w14:paraId="6362C7D4" w14:textId="77777777" w:rsidR="00D629DB" w:rsidRDefault="00D629DB" w:rsidP="00214B0D">
      <w:pPr>
        <w:jc w:val="right"/>
        <w:rPr>
          <w:b/>
          <w:color w:val="660066"/>
          <w:sz w:val="36"/>
          <w:szCs w:val="36"/>
        </w:rPr>
      </w:pPr>
    </w:p>
    <w:p w14:paraId="5F98FD09" w14:textId="77777777" w:rsidR="00D629DB" w:rsidRDefault="00D629DB" w:rsidP="00214B0D">
      <w:pPr>
        <w:jc w:val="right"/>
        <w:rPr>
          <w:b/>
          <w:color w:val="660066"/>
          <w:sz w:val="36"/>
          <w:szCs w:val="36"/>
        </w:rPr>
      </w:pPr>
    </w:p>
    <w:p w14:paraId="0B302720" w14:textId="77777777" w:rsidR="00D629DB" w:rsidRDefault="00D629DB" w:rsidP="00214B0D">
      <w:pPr>
        <w:jc w:val="right"/>
        <w:rPr>
          <w:b/>
          <w:color w:val="660066"/>
          <w:sz w:val="36"/>
          <w:szCs w:val="36"/>
        </w:rPr>
      </w:pPr>
    </w:p>
    <w:p w14:paraId="5159BCD5" w14:textId="77777777" w:rsidR="00D629DB" w:rsidRDefault="00D629DB" w:rsidP="00214B0D">
      <w:pPr>
        <w:jc w:val="right"/>
        <w:rPr>
          <w:b/>
          <w:color w:val="660066"/>
          <w:sz w:val="36"/>
          <w:szCs w:val="36"/>
        </w:rPr>
      </w:pPr>
    </w:p>
    <w:p w14:paraId="7AAE18C8" w14:textId="77777777" w:rsidR="00214B0D" w:rsidRDefault="00214B0D" w:rsidP="00214B0D">
      <w:pPr>
        <w:jc w:val="right"/>
        <w:rPr>
          <w:b/>
          <w:color w:val="660066"/>
          <w:sz w:val="36"/>
          <w:szCs w:val="36"/>
        </w:rPr>
      </w:pPr>
      <w:r>
        <w:rPr>
          <w:noProof/>
          <w:lang w:val="en-AU" w:eastAsia="ko-KR"/>
        </w:rPr>
        <mc:AlternateContent>
          <mc:Choice Requires="wps">
            <w:drawing>
              <wp:anchor distT="0" distB="0" distL="114300" distR="114300" simplePos="0" relativeHeight="251669504" behindDoc="0" locked="0" layoutInCell="1" allowOverlap="1" wp14:anchorId="5573E86E" wp14:editId="5AA8AF08">
                <wp:simplePos x="0" y="0"/>
                <wp:positionH relativeFrom="column">
                  <wp:posOffset>1600200</wp:posOffset>
                </wp:positionH>
                <wp:positionV relativeFrom="paragraph">
                  <wp:posOffset>163830</wp:posOffset>
                </wp:positionV>
                <wp:extent cx="5829300" cy="571500"/>
                <wp:effectExtent l="0" t="0" r="38100" b="38100"/>
                <wp:wrapNone/>
                <wp:docPr id="10" name="Text Box 10"/>
                <wp:cNvGraphicFramePr/>
                <a:graphic xmlns:a="http://schemas.openxmlformats.org/drawingml/2006/main">
                  <a:graphicData uri="http://schemas.microsoft.com/office/word/2010/wordprocessingShape">
                    <wps:wsp>
                      <wps:cNvSpPr txBox="1"/>
                      <wps:spPr>
                        <a:xfrm>
                          <a:off x="0" y="0"/>
                          <a:ext cx="5829300" cy="571500"/>
                        </a:xfrm>
                        <a:prstGeom prst="rect">
                          <a:avLst/>
                        </a:prstGeom>
                        <a:noFill/>
                        <a:ln w="6350" cap="rnd">
                          <a:solidFill>
                            <a:srgbClr val="660066"/>
                          </a:solidFill>
                          <a:roun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3C40B1" w14:textId="77777777" w:rsidR="00BD7507" w:rsidRPr="009A05A1" w:rsidRDefault="00BD7507" w:rsidP="00214B0D">
                            <w:pPr>
                              <w:pStyle w:val="Title"/>
                              <w:jc w:val="left"/>
                              <w:rPr>
                                <w:sz w:val="44"/>
                                <w:szCs w:val="44"/>
                              </w:rPr>
                            </w:pPr>
                            <w:r w:rsidRPr="009A05A1">
                              <w:rPr>
                                <w:sz w:val="44"/>
                                <w:szCs w:val="44"/>
                              </w:rPr>
                              <w:t>GENDER ANALYSIS TOOLKIT</w:t>
                            </w:r>
                          </w:p>
                          <w:p w14:paraId="0F8AA384" w14:textId="77777777" w:rsidR="00BD7507" w:rsidRDefault="00BD7507" w:rsidP="00214B0D"/>
                        </w:txbxContent>
                      </wps:txbx>
                      <wps:bodyPr rot="0" spcFirstLastPara="0" vertOverflow="overflow" horzOverflow="overflow" vert="horz" wrap="square" lIns="180000" tIns="108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73E86E" id="Text Box 10" o:spid="_x0000_s1030" type="#_x0000_t202" style="position:absolute;left:0;text-align:left;margin-left:126pt;margin-top:12.9pt;width:459pt;height: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2y2AIAAPQFAAAOAAAAZHJzL2Uyb0RvYy54bWysVFtv2jAUfp+0/2D5nSahQAE1VCkV06Sq&#10;rdZOfTaOA9EcO7MNpJv23/fZSehle+k0HsI5x9+5X84vmkqSvTC21CqlyUlMiVBc56XapPTrw2ow&#10;pcQ6pnImtRIpfRKWXiw+fjg/1HMx1Fstc2EIjCg7P9Qp3TpXz6PI8q2omD3RtVB4LLSpmANrNlFu&#10;2AHWKxkN43gSHbTJa6O5sBbSq/aRLoL9ohDc3RaFFY7IlCI2F74mfNf+Gy3O2XxjWL0teRcG+4co&#10;KlYqOD2aumKOkZ0p/zBVldxoqwt3wnUV6aIouQg5IJskfpPN/ZbVIuSC4tj6WCb7/8zym/2dIWWO&#10;3qE8ilXo0YNoHLnUDYEI9TnUdg7YfQ2gayAHtpdbCH3aTWEq/4+ECN5h6ulYXW+NQzieDmenMZ44&#10;3sZnyRg0zEfP2rWx7pPQFfFESg26F4rK9tfWtdAe4p0pvSqlDB2UihxSOjkde/MMc2RUHlStlmXu&#10;YV7Bms16KQ3ZM0zDZILxmXQRvIIZvVN5604qryfCILUxgGscyCBHZqHJP5fjs2F2Np4NJtk4GYyS&#10;eDrIsng4uFplcRaPVsvZ6PJX56vXj3xh2wIGyj1J4a1K9UUUaEmoYwjbL4M4Bs44F8qFFqB2Ae1R&#10;BZJ8j2KHD3mE/N6j3FYEGsGzVu6oXJVKm7b0r8POv/UhFy0erX+Rtydds27CLI76+Vrr/AljZ3S7&#10;uLbmqxKzcc2su2MGm4p+4/q4W3wKqTEDuqMo2Wrz429yj8cC4ZWSAzY/pfb7jhlBifyssFrJNMYP&#10;t6LlYs9SYgI3S0YjMOvAjNB0MGpXLTUGKsGlq3kgPd7JniyMrh5xpjLvF09McXhPqevJpWsvEs4c&#10;F1kWQDgPNXPX6r7m3rSvs5/9h+aRmbpbEIdRutH9lWDzN3vSYr2m0tnO6aIMS+Qr3da16wBOS1jD&#10;7gz62/WSD6jnY734DQAA//8DAFBLAwQUAAYACAAAACEAfOmzy90AAAALAQAADwAAAGRycy9kb3du&#10;cmV2LnhtbExPy07DMBC8I/EP1iJxo04j8VCIU6FKcKhaoRYQHJ14cSLidWS7Tfh7Nid6m50Zzc6U&#10;q8n14oQhdp4ULBcZCKTGm46sgve355sHEDFpMrr3hAp+McKqurwodWH8SHs8HZIVHEKx0AralIZC&#10;yti06HRc+AGJtW8fnE58BitN0COHu17mWXYnne6IP7R6wHWLzc/h6BSE/efrh69342Zbd/Zla3eb&#10;9ZdR6vpqenoEkXBK/2aY63N1qLhT7Y9kougV5Lc5b0kz4AmzYXmfMVPPiClZlfJ8Q/UHAAD//wMA&#10;UEsBAi0AFAAGAAgAAAAhALaDOJL+AAAA4QEAABMAAAAAAAAAAAAAAAAAAAAAAFtDb250ZW50X1R5&#10;cGVzXS54bWxQSwECLQAUAAYACAAAACEAOP0h/9YAAACUAQAACwAAAAAAAAAAAAAAAAAvAQAAX3Jl&#10;bHMvLnJlbHNQSwECLQAUAAYACAAAACEALjitstgCAAD0BQAADgAAAAAAAAAAAAAAAAAuAgAAZHJz&#10;L2Uyb0RvYy54bWxQSwECLQAUAAYACAAAACEAfOmzy90AAAALAQAADwAAAAAAAAAAAAAAAAAyBQAA&#10;ZHJzL2Rvd25yZXYueG1sUEsFBgAAAAAEAAQA8wAAADwGAAAAAA==&#10;" filled="f" strokecolor="#606" strokeweight=".5pt">
                <v:stroke joinstyle="round" endcap="round"/>
                <v:textbox inset="5mm,3mm">
                  <w:txbxContent>
                    <w:p w14:paraId="513C40B1" w14:textId="77777777" w:rsidR="00BD7507" w:rsidRPr="009A05A1" w:rsidRDefault="00BD7507" w:rsidP="00214B0D">
                      <w:pPr>
                        <w:pStyle w:val="Title"/>
                        <w:jc w:val="left"/>
                        <w:rPr>
                          <w:sz w:val="44"/>
                          <w:szCs w:val="44"/>
                        </w:rPr>
                      </w:pPr>
                      <w:r w:rsidRPr="009A05A1">
                        <w:rPr>
                          <w:sz w:val="44"/>
                          <w:szCs w:val="44"/>
                        </w:rPr>
                        <w:t>GENDER ANALYSIS TOOLKIT</w:t>
                      </w:r>
                    </w:p>
                    <w:p w14:paraId="0F8AA384" w14:textId="77777777" w:rsidR="00BD7507" w:rsidRDefault="00BD7507" w:rsidP="00214B0D"/>
                  </w:txbxContent>
                </v:textbox>
              </v:shape>
            </w:pict>
          </mc:Fallback>
        </mc:AlternateContent>
      </w:r>
    </w:p>
    <w:p w14:paraId="03F9B5F5" w14:textId="77777777" w:rsidR="00214B0D" w:rsidRDefault="00214B0D" w:rsidP="00214B0D">
      <w:pPr>
        <w:jc w:val="right"/>
        <w:rPr>
          <w:b/>
          <w:color w:val="660066"/>
          <w:sz w:val="36"/>
          <w:szCs w:val="36"/>
        </w:rPr>
      </w:pPr>
    </w:p>
    <w:p w14:paraId="1DC630E0" w14:textId="77777777" w:rsidR="00214B0D" w:rsidRDefault="00214B0D" w:rsidP="00214B0D">
      <w:pPr>
        <w:jc w:val="right"/>
        <w:rPr>
          <w:b/>
          <w:color w:val="660066"/>
          <w:sz w:val="36"/>
          <w:szCs w:val="36"/>
        </w:rPr>
      </w:pPr>
    </w:p>
    <w:p w14:paraId="574DD60B" w14:textId="77777777" w:rsidR="00214B0D" w:rsidRDefault="00214B0D" w:rsidP="00214B0D">
      <w:pPr>
        <w:spacing w:after="0" w:line="240" w:lineRule="auto"/>
        <w:jc w:val="right"/>
        <w:rPr>
          <w:b/>
          <w:color w:val="660066"/>
          <w:sz w:val="36"/>
          <w:szCs w:val="36"/>
        </w:rPr>
      </w:pPr>
      <w:r w:rsidRPr="000B22AB">
        <w:rPr>
          <w:b/>
          <w:color w:val="660066"/>
          <w:sz w:val="36"/>
          <w:szCs w:val="36"/>
        </w:rPr>
        <w:t xml:space="preserve">Section </w:t>
      </w:r>
      <w:r>
        <w:rPr>
          <w:b/>
          <w:color w:val="660066"/>
          <w:sz w:val="36"/>
          <w:szCs w:val="36"/>
        </w:rPr>
        <w:t>4</w:t>
      </w:r>
      <w:r w:rsidRPr="00250BFF">
        <w:rPr>
          <w:b/>
          <w:color w:val="FFFFFF" w:themeColor="background1"/>
          <w:sz w:val="36"/>
          <w:szCs w:val="36"/>
        </w:rPr>
        <w:t>1</w:t>
      </w:r>
    </w:p>
    <w:p w14:paraId="60194793" w14:textId="77777777" w:rsidR="00214B0D" w:rsidRPr="000B22AB" w:rsidRDefault="00214B0D" w:rsidP="00214B0D">
      <w:pPr>
        <w:spacing w:after="0" w:line="240" w:lineRule="auto"/>
        <w:jc w:val="right"/>
        <w:rPr>
          <w:b/>
          <w:color w:val="660066"/>
          <w:sz w:val="36"/>
          <w:szCs w:val="36"/>
        </w:rPr>
      </w:pPr>
      <w:r>
        <w:rPr>
          <w:b/>
          <w:color w:val="660066"/>
          <w:sz w:val="36"/>
          <w:szCs w:val="36"/>
        </w:rPr>
        <w:t xml:space="preserve"> </w:t>
      </w:r>
    </w:p>
    <w:p w14:paraId="52FF5FA3" w14:textId="77777777" w:rsidR="008F76A5" w:rsidRDefault="00214B0D" w:rsidP="00214B0D">
      <w:pPr>
        <w:pStyle w:val="Title"/>
        <w:ind w:left="-426"/>
        <w:rPr>
          <w:lang w:val="en-AU"/>
        </w:rPr>
      </w:pPr>
      <w:r w:rsidRPr="00214B0D">
        <w:rPr>
          <w:lang w:val="en-AU"/>
        </w:rPr>
        <w:t xml:space="preserve">How </w:t>
      </w:r>
      <w:r w:rsidR="008F76A5">
        <w:rPr>
          <w:lang w:val="en-AU"/>
        </w:rPr>
        <w:t>can I</w:t>
      </w:r>
      <w:r w:rsidRPr="00214B0D">
        <w:rPr>
          <w:lang w:val="en-AU"/>
        </w:rPr>
        <w:t xml:space="preserve"> advocate for gender analysis</w:t>
      </w:r>
      <w:r w:rsidR="008F76A5">
        <w:rPr>
          <w:lang w:val="en-AU"/>
        </w:rPr>
        <w:t>?</w:t>
      </w:r>
    </w:p>
    <w:p w14:paraId="13FF2433" w14:textId="77777777" w:rsidR="008F76A5" w:rsidRDefault="008F76A5">
      <w:pPr>
        <w:spacing w:after="0" w:line="240" w:lineRule="auto"/>
        <w:jc w:val="left"/>
        <w:rPr>
          <w:color w:val="660066"/>
          <w:sz w:val="56"/>
          <w:szCs w:val="56"/>
          <w:lang w:val="en-AU"/>
        </w:rPr>
      </w:pPr>
      <w:r>
        <w:rPr>
          <w:lang w:val="en-AU"/>
        </w:rPr>
        <w:br w:type="page"/>
      </w:r>
    </w:p>
    <w:p w14:paraId="043CFB0D" w14:textId="23386384" w:rsidR="006912A5" w:rsidRPr="00A33FFF" w:rsidRDefault="00821D89" w:rsidP="006912A5">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240" w:line="240" w:lineRule="auto"/>
        <w:jc w:val="left"/>
        <w:rPr>
          <w:rFonts w:eastAsia="Malgun Gothic" w:cs="Arial"/>
          <w:color w:val="385623"/>
          <w:szCs w:val="22"/>
          <w:lang w:val="en-AU" w:eastAsia="ko-KR"/>
        </w:rPr>
      </w:pPr>
      <w:r>
        <w:rPr>
          <w:rFonts w:ascii="Calibri" w:eastAsia="Malgun Gothic" w:hAnsi="Calibri" w:cs="Times New Roman"/>
          <w:b/>
          <w:color w:val="385623"/>
          <w:sz w:val="36"/>
          <w:szCs w:val="36"/>
          <w:lang w:val="en-AU" w:eastAsia="ko-KR"/>
        </w:rPr>
        <w:lastRenderedPageBreak/>
        <w:t>ADVOCACY AND OVERCOMING RESISTANCE</w:t>
      </w:r>
      <w:r w:rsidRPr="00821D89">
        <w:rPr>
          <w:rFonts w:ascii="Calibri Light" w:eastAsia="Malgun Gothic" w:hAnsi="Calibri Light" w:cs="Times New Roman"/>
          <w:bCs/>
          <w:color w:val="70AD47"/>
          <w:sz w:val="24"/>
          <w:vertAlign w:val="superscript"/>
          <w:lang w:val="en-AU" w:eastAsia="ko-KR"/>
          <w14:textFill>
            <w14:solidFill>
              <w14:srgbClr w14:val="70AD47">
                <w14:lumMod w14:val="50000"/>
              </w14:srgbClr>
            </w14:solidFill>
          </w14:textFill>
        </w:rPr>
        <w:endnoteReference w:id="36"/>
      </w:r>
      <w:r>
        <w:rPr>
          <w:rFonts w:ascii="Calibri" w:eastAsia="Malgun Gothic" w:hAnsi="Calibri" w:cs="Times New Roman"/>
          <w:b/>
          <w:color w:val="385623"/>
          <w:sz w:val="36"/>
          <w:szCs w:val="36"/>
          <w:lang w:val="en-AU" w:eastAsia="ko-KR"/>
        </w:rPr>
        <w:t xml:space="preserve">         </w:t>
      </w:r>
      <w:r w:rsidR="006912A5">
        <w:rPr>
          <w:rFonts w:ascii="Calibri" w:eastAsia="Malgun Gothic" w:hAnsi="Calibri" w:cs="Times New Roman"/>
          <w:b/>
          <w:noProof/>
          <w:color w:val="385623"/>
          <w:sz w:val="40"/>
          <w:szCs w:val="40"/>
          <w:lang w:val="en-AU" w:eastAsia="ko-KR"/>
        </w:rPr>
        <w:drawing>
          <wp:inline distT="0" distB="0" distL="0" distR="0" wp14:anchorId="3A93F331" wp14:editId="58E56B87">
            <wp:extent cx="871855" cy="871855"/>
            <wp:effectExtent l="0" t="0" r="444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pic:spPr>
                </pic:pic>
              </a:graphicData>
            </a:graphic>
          </wp:inline>
        </w:drawing>
      </w:r>
    </w:p>
    <w:p w14:paraId="5F8E4CD2" w14:textId="77777777" w:rsidR="00255A61" w:rsidRPr="00255A61" w:rsidRDefault="00255A61" w:rsidP="00255A61">
      <w:pPr>
        <w:spacing w:before="100" w:beforeAutospacing="1" w:after="100" w:afterAutospacing="1" w:line="240" w:lineRule="auto"/>
        <w:jc w:val="left"/>
        <w:rPr>
          <w:rFonts w:ascii="Calibri" w:eastAsia="Malgun Gothic" w:hAnsi="Calibri" w:cs="Times New Roman"/>
          <w:szCs w:val="22"/>
          <w:lang w:val="en-AU" w:eastAsia="ko-KR"/>
        </w:rPr>
      </w:pPr>
      <w:r w:rsidRPr="00255A61">
        <w:rPr>
          <w:rFonts w:ascii="Calibri" w:eastAsia="Malgun Gothic" w:hAnsi="Calibri" w:cs="Times New Roman"/>
          <w:szCs w:val="22"/>
          <w:lang w:val="en-AU" w:eastAsia="ko-KR"/>
        </w:rPr>
        <w:t>Gender analysis challenges the status quo. It demands changes in thinking, beliefs and behaviour at the personal and organisational levels. These kinds of changes often require ‘champions’ of gender equality to advocate for action, including gender analysis. This may be met by cultural and organisational inertia, or by resistance. Identifying types of resistance and strategies to respond to them will help promote gender analysis and subsequent action.</w:t>
      </w:r>
    </w:p>
    <w:p w14:paraId="6CFEDA50" w14:textId="77777777" w:rsidR="001E0422" w:rsidRPr="001E0422" w:rsidRDefault="001E0422" w:rsidP="001E0422">
      <w:pPr>
        <w:spacing w:before="100" w:beforeAutospacing="1" w:after="100" w:afterAutospacing="1" w:line="240" w:lineRule="auto"/>
        <w:jc w:val="left"/>
        <w:rPr>
          <w:rFonts w:ascii="Calibri Light" w:eastAsia="Malgun Gothic" w:hAnsi="Calibri Light" w:cs="Times New Roman"/>
          <w:b/>
          <w:color w:val="385623"/>
          <w:sz w:val="28"/>
          <w:szCs w:val="28"/>
          <w:lang w:val="en-AU" w:eastAsia="ko-KR"/>
        </w:rPr>
      </w:pPr>
      <w:r w:rsidRPr="001E0422">
        <w:rPr>
          <w:rFonts w:ascii="Calibri" w:eastAsia="Malgun Gothic" w:hAnsi="Calibri" w:cs="Times New Roman"/>
          <w:szCs w:val="22"/>
          <w:lang w:val="en-AU" w:eastAsia="ko-KR"/>
        </w:rPr>
        <w:tab/>
      </w:r>
      <w:r w:rsidRPr="001E0422">
        <w:rPr>
          <w:rFonts w:ascii="Calibri" w:eastAsia="Malgun Gothic" w:hAnsi="Calibri" w:cs="Times New Roman"/>
          <w:szCs w:val="22"/>
          <w:lang w:val="en-AU" w:eastAsia="ko-KR"/>
        </w:rPr>
        <w:tab/>
      </w:r>
      <w:r w:rsidRPr="001E0422">
        <w:rPr>
          <w:rFonts w:ascii="Calibri Light" w:eastAsia="Malgun Gothic" w:hAnsi="Calibri Light" w:cs="Times New Roman"/>
          <w:b/>
          <w:color w:val="385623"/>
          <w:sz w:val="28"/>
          <w:szCs w:val="28"/>
          <w:lang w:val="en-AU" w:eastAsia="ko-KR"/>
        </w:rPr>
        <w:t>Resistance</w:t>
      </w:r>
      <w:r w:rsidRPr="001E0422">
        <w:rPr>
          <w:rFonts w:ascii="Calibri" w:eastAsia="Malgun Gothic" w:hAnsi="Calibri" w:cs="Times New Roman"/>
          <w:szCs w:val="22"/>
          <w:lang w:val="en-AU" w:eastAsia="ko-KR"/>
        </w:rPr>
        <w:tab/>
      </w:r>
      <w:r w:rsidRPr="001E0422">
        <w:rPr>
          <w:rFonts w:ascii="Calibri" w:eastAsia="Malgun Gothic" w:hAnsi="Calibri" w:cs="Times New Roman"/>
          <w:szCs w:val="22"/>
          <w:lang w:val="en-AU" w:eastAsia="ko-KR"/>
        </w:rPr>
        <w:tab/>
      </w:r>
      <w:r w:rsidRPr="001E0422">
        <w:rPr>
          <w:rFonts w:ascii="Calibri" w:eastAsia="Malgun Gothic" w:hAnsi="Calibri" w:cs="Times New Roman"/>
          <w:szCs w:val="22"/>
          <w:lang w:val="en-AU" w:eastAsia="ko-KR"/>
        </w:rPr>
        <w:tab/>
      </w:r>
      <w:r w:rsidRPr="001E0422">
        <w:rPr>
          <w:rFonts w:ascii="Calibri" w:eastAsia="Malgun Gothic" w:hAnsi="Calibri" w:cs="Times New Roman"/>
          <w:szCs w:val="22"/>
          <w:lang w:val="en-AU" w:eastAsia="ko-KR"/>
        </w:rPr>
        <w:tab/>
      </w:r>
      <w:r w:rsidRPr="001E0422">
        <w:rPr>
          <w:rFonts w:ascii="Calibri" w:eastAsia="Malgun Gothic" w:hAnsi="Calibri" w:cs="Times New Roman"/>
          <w:szCs w:val="22"/>
          <w:lang w:val="en-AU" w:eastAsia="ko-KR"/>
        </w:rPr>
        <w:tab/>
      </w:r>
      <w:r w:rsidRPr="001E0422">
        <w:rPr>
          <w:rFonts w:ascii="Calibri" w:eastAsia="Malgun Gothic" w:hAnsi="Calibri" w:cs="Times New Roman"/>
          <w:szCs w:val="22"/>
          <w:lang w:val="en-AU" w:eastAsia="ko-KR"/>
        </w:rPr>
        <w:tab/>
      </w:r>
      <w:r w:rsidRPr="001E0422">
        <w:rPr>
          <w:rFonts w:ascii="Calibri Light" w:eastAsia="Malgun Gothic" w:hAnsi="Calibri Light" w:cs="Times New Roman"/>
          <w:b/>
          <w:color w:val="385623"/>
          <w:sz w:val="28"/>
          <w:szCs w:val="28"/>
          <w:lang w:val="en-AU" w:eastAsia="ko-KR"/>
        </w:rPr>
        <w:t>Responses</w:t>
      </w:r>
    </w:p>
    <w:p w14:paraId="2551EC7F" w14:textId="2E9FB662" w:rsidR="001E0422" w:rsidRDefault="001E0422" w:rsidP="006912A5">
      <w:pPr>
        <w:spacing w:after="0" w:line="240" w:lineRule="auto"/>
        <w:jc w:val="left"/>
        <w:rPr>
          <w:lang w:val="en-AU"/>
        </w:rPr>
      </w:pPr>
      <w:r w:rsidRPr="001E0422">
        <w:rPr>
          <w:rFonts w:ascii="Calibri" w:eastAsia="Malgun Gothic" w:hAnsi="Calibri" w:cs="Times New Roman"/>
          <w:noProof/>
          <w:szCs w:val="22"/>
          <w:lang w:val="en-AU" w:eastAsia="ko-KR"/>
        </w:rPr>
        <w:drawing>
          <wp:inline distT="0" distB="0" distL="0" distR="0" wp14:anchorId="3F76B802" wp14:editId="0ED697CB">
            <wp:extent cx="5676900" cy="2472855"/>
            <wp:effectExtent l="0" t="0" r="0" b="22860"/>
            <wp:docPr id="239" name="Diagram 2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52EA7A3C" w14:textId="7696B6B6" w:rsidR="001E0422" w:rsidRDefault="001E0422" w:rsidP="006912A5">
      <w:pPr>
        <w:spacing w:after="0" w:line="240" w:lineRule="auto"/>
        <w:jc w:val="left"/>
        <w:rPr>
          <w:lang w:val="en-AU"/>
        </w:rPr>
      </w:pPr>
      <w:r w:rsidRPr="001E0422">
        <w:rPr>
          <w:rFonts w:ascii="Calibri" w:eastAsia="Malgun Gothic" w:hAnsi="Calibri" w:cs="Times New Roman"/>
          <w:noProof/>
          <w:szCs w:val="22"/>
          <w:lang w:val="en-AU" w:eastAsia="ko-KR"/>
        </w:rPr>
        <w:drawing>
          <wp:inline distT="0" distB="0" distL="0" distR="0" wp14:anchorId="0EEC6AB1" wp14:editId="2FBD662B">
            <wp:extent cx="5676900" cy="2671639"/>
            <wp:effectExtent l="0" t="0" r="0" b="14605"/>
            <wp:docPr id="193" name="Diagram 1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08602F2F" w14:textId="77777777" w:rsidR="001E0422" w:rsidRDefault="001E0422" w:rsidP="006912A5">
      <w:pPr>
        <w:spacing w:after="0" w:line="240" w:lineRule="auto"/>
        <w:jc w:val="left"/>
        <w:rPr>
          <w:lang w:val="en-AU"/>
        </w:rPr>
      </w:pPr>
    </w:p>
    <w:p w14:paraId="78C9EB97" w14:textId="6CF5F931" w:rsidR="001E0422" w:rsidRDefault="001E0422" w:rsidP="006912A5">
      <w:pPr>
        <w:spacing w:after="0" w:line="240" w:lineRule="auto"/>
        <w:jc w:val="left"/>
        <w:rPr>
          <w:lang w:val="en-AU"/>
        </w:rPr>
      </w:pPr>
      <w:r w:rsidRPr="001E0422">
        <w:rPr>
          <w:rFonts w:ascii="Calibri" w:eastAsia="Malgun Gothic" w:hAnsi="Calibri" w:cs="Times New Roman"/>
          <w:noProof/>
          <w:szCs w:val="22"/>
          <w:lang w:val="en-AU" w:eastAsia="ko-KR"/>
        </w:rPr>
        <w:lastRenderedPageBreak/>
        <w:drawing>
          <wp:inline distT="0" distB="0" distL="0" distR="0" wp14:anchorId="41267D18" wp14:editId="423F20CA">
            <wp:extent cx="5676900" cy="2001328"/>
            <wp:effectExtent l="0" t="0" r="0" b="18415"/>
            <wp:docPr id="194" name="Diagram 1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5C4A5C51" w14:textId="3365BACC" w:rsidR="00F51FB0" w:rsidRDefault="00F51FB0" w:rsidP="006912A5">
      <w:pPr>
        <w:spacing w:after="0" w:line="240" w:lineRule="auto"/>
        <w:jc w:val="left"/>
        <w:rPr>
          <w:lang w:val="en-AU"/>
        </w:rPr>
      </w:pPr>
      <w:r w:rsidRPr="00F51FB0">
        <w:rPr>
          <w:rFonts w:ascii="Calibri" w:eastAsia="Malgun Gothic" w:hAnsi="Calibri" w:cs="Times New Roman"/>
          <w:noProof/>
          <w:szCs w:val="22"/>
          <w:lang w:val="en-AU" w:eastAsia="ko-KR"/>
        </w:rPr>
        <w:drawing>
          <wp:inline distT="0" distB="0" distL="0" distR="0" wp14:anchorId="21AC9E03" wp14:editId="277275F4">
            <wp:extent cx="5676900" cy="2346385"/>
            <wp:effectExtent l="0" t="0" r="0" b="15875"/>
            <wp:docPr id="195" name="Diagram 1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52BACE4D" w14:textId="60BBF076" w:rsidR="00040A63" w:rsidRDefault="00F51FB0" w:rsidP="006912A5">
      <w:pPr>
        <w:spacing w:after="0" w:line="240" w:lineRule="auto"/>
        <w:jc w:val="left"/>
        <w:rPr>
          <w:lang w:val="en-AU"/>
        </w:rPr>
      </w:pPr>
      <w:r w:rsidRPr="00F51FB0">
        <w:rPr>
          <w:rFonts w:ascii="Calibri" w:eastAsia="Malgun Gothic" w:hAnsi="Calibri" w:cs="Times New Roman"/>
          <w:noProof/>
          <w:szCs w:val="22"/>
          <w:lang w:val="en-AU" w:eastAsia="ko-KR"/>
        </w:rPr>
        <w:drawing>
          <wp:inline distT="0" distB="0" distL="0" distR="0" wp14:anchorId="3CB75C07" wp14:editId="62845859">
            <wp:extent cx="5676900" cy="2218414"/>
            <wp:effectExtent l="0" t="0" r="0" b="10795"/>
            <wp:docPr id="197" name="Diagram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63893EFB" w14:textId="77777777" w:rsidR="00040A63" w:rsidRDefault="00040A63" w:rsidP="006912A5">
      <w:pPr>
        <w:spacing w:after="0" w:line="240" w:lineRule="auto"/>
        <w:jc w:val="left"/>
        <w:rPr>
          <w:lang w:val="en-AU"/>
        </w:rPr>
      </w:pPr>
      <w:r w:rsidRPr="00040A63">
        <w:rPr>
          <w:rFonts w:ascii="Calibri" w:eastAsia="Malgun Gothic" w:hAnsi="Calibri" w:cs="Times New Roman"/>
          <w:noProof/>
          <w:szCs w:val="22"/>
          <w:lang w:val="en-AU" w:eastAsia="ko-KR"/>
        </w:rPr>
        <w:drawing>
          <wp:inline distT="0" distB="0" distL="0" distR="0" wp14:anchorId="2BB96842" wp14:editId="28CB7B83">
            <wp:extent cx="5676900" cy="1470991"/>
            <wp:effectExtent l="0" t="0" r="0" b="15240"/>
            <wp:docPr id="198" name="Diagram 1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376C0BA5" w14:textId="77777777" w:rsidR="00040A63" w:rsidRDefault="00040A63" w:rsidP="006912A5">
      <w:pPr>
        <w:spacing w:after="0" w:line="240" w:lineRule="auto"/>
        <w:jc w:val="left"/>
        <w:rPr>
          <w:lang w:val="en-AU"/>
        </w:rPr>
      </w:pPr>
    </w:p>
    <w:p w14:paraId="77373821" w14:textId="2504BC3B" w:rsidR="008D67A6" w:rsidRDefault="00040A63" w:rsidP="006912A5">
      <w:pPr>
        <w:spacing w:after="0" w:line="240" w:lineRule="auto"/>
        <w:jc w:val="left"/>
        <w:rPr>
          <w:lang w:val="en-AU"/>
        </w:rPr>
      </w:pPr>
      <w:r w:rsidRPr="00040A63">
        <w:rPr>
          <w:rFonts w:ascii="Calibri" w:eastAsia="Malgun Gothic" w:hAnsi="Calibri" w:cs="Times New Roman"/>
          <w:noProof/>
          <w:szCs w:val="22"/>
          <w:lang w:val="en-AU" w:eastAsia="ko-KR"/>
        </w:rPr>
        <w:lastRenderedPageBreak/>
        <w:drawing>
          <wp:inline distT="0" distB="0" distL="0" distR="0" wp14:anchorId="6C83B4AB" wp14:editId="208FDBC1">
            <wp:extent cx="5727700" cy="2735368"/>
            <wp:effectExtent l="0" t="0" r="0" b="27305"/>
            <wp:docPr id="203" name="Diagram 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653ACDCA" w14:textId="41B5E359" w:rsidR="008D67A6" w:rsidRDefault="008D67A6" w:rsidP="006912A5">
      <w:pPr>
        <w:spacing w:after="0" w:line="240" w:lineRule="auto"/>
        <w:jc w:val="left"/>
        <w:rPr>
          <w:lang w:val="en-AU"/>
        </w:rPr>
      </w:pPr>
      <w:r w:rsidRPr="008D67A6">
        <w:rPr>
          <w:rFonts w:ascii="Calibri" w:eastAsia="Malgun Gothic" w:hAnsi="Calibri" w:cs="Times New Roman"/>
          <w:noProof/>
          <w:szCs w:val="22"/>
          <w:lang w:val="en-AU" w:eastAsia="ko-KR"/>
        </w:rPr>
        <w:drawing>
          <wp:inline distT="0" distB="0" distL="0" distR="0" wp14:anchorId="496CD0E8" wp14:editId="6E9722E1">
            <wp:extent cx="5676900" cy="3164619"/>
            <wp:effectExtent l="0" t="0" r="0" b="0"/>
            <wp:docPr id="204" name="Diagram 2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14:paraId="3C43F850" w14:textId="0AD9B6E9" w:rsidR="006912A5" w:rsidRDefault="006A48DA" w:rsidP="006912A5">
      <w:pPr>
        <w:spacing w:after="0" w:line="240" w:lineRule="auto"/>
        <w:jc w:val="left"/>
        <w:rPr>
          <w:lang w:val="en-AU"/>
        </w:rPr>
      </w:pPr>
      <w:r w:rsidRPr="006A48DA">
        <w:rPr>
          <w:rFonts w:ascii="Calibri" w:eastAsia="Malgun Gothic" w:hAnsi="Calibri" w:cs="Times New Roman"/>
          <w:noProof/>
          <w:szCs w:val="22"/>
          <w:lang w:val="en-AU" w:eastAsia="ko-KR"/>
        </w:rPr>
        <w:drawing>
          <wp:inline distT="0" distB="0" distL="0" distR="0" wp14:anchorId="2C6742C3" wp14:editId="3B654014">
            <wp:extent cx="5727700" cy="2113144"/>
            <wp:effectExtent l="0" t="0" r="0" b="20955"/>
            <wp:docPr id="208" name="Diagram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2A5506C1" w14:textId="77777777" w:rsidR="006912A5" w:rsidRDefault="006912A5">
      <w:pPr>
        <w:spacing w:after="0" w:line="240" w:lineRule="auto"/>
        <w:jc w:val="left"/>
        <w:rPr>
          <w:lang w:val="en-AU"/>
        </w:rPr>
      </w:pPr>
      <w:r>
        <w:rPr>
          <w:lang w:val="en-AU"/>
        </w:rPr>
        <w:br w:type="page"/>
      </w:r>
    </w:p>
    <w:p w14:paraId="014A7ABC" w14:textId="1D0D51D8" w:rsidR="006A48DA" w:rsidRPr="00A33FFF" w:rsidRDefault="006A48DA" w:rsidP="006A48DA">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240" w:line="240" w:lineRule="auto"/>
        <w:jc w:val="left"/>
        <w:rPr>
          <w:rFonts w:eastAsia="Malgun Gothic" w:cs="Arial"/>
          <w:color w:val="385623"/>
          <w:szCs w:val="22"/>
          <w:lang w:val="en-AU" w:eastAsia="ko-KR"/>
        </w:rPr>
      </w:pPr>
      <w:r>
        <w:rPr>
          <w:rFonts w:ascii="Calibri" w:eastAsia="Malgun Gothic" w:hAnsi="Calibri" w:cs="Times New Roman"/>
          <w:b/>
          <w:color w:val="385623"/>
          <w:sz w:val="36"/>
          <w:szCs w:val="36"/>
          <w:lang w:val="en-AU" w:eastAsia="ko-KR"/>
        </w:rPr>
        <w:lastRenderedPageBreak/>
        <w:t xml:space="preserve">ADVOCACY AND </w:t>
      </w:r>
      <w:r w:rsidRPr="006A48DA">
        <w:rPr>
          <w:rFonts w:ascii="Calibri" w:eastAsia="Malgun Gothic" w:hAnsi="Calibri" w:cs="Times New Roman"/>
          <w:b/>
          <w:color w:val="385623"/>
          <w:sz w:val="36"/>
          <w:szCs w:val="36"/>
          <w:lang w:val="en-AU" w:eastAsia="ko-KR"/>
        </w:rPr>
        <w:t>BEING ASSERTIVE</w:t>
      </w:r>
      <w:r w:rsidRPr="006125DD">
        <w:rPr>
          <w:rFonts w:ascii="Calibri" w:eastAsia="Malgun Gothic" w:hAnsi="Calibri" w:cs="Times New Roman"/>
          <w:bCs/>
          <w:color w:val="385623"/>
          <w:sz w:val="36"/>
          <w:szCs w:val="36"/>
          <w:vertAlign w:val="superscript"/>
          <w:lang w:val="en-AU" w:eastAsia="ko-KR"/>
        </w:rPr>
        <w:endnoteReference w:id="37"/>
      </w:r>
      <w:r>
        <w:rPr>
          <w:rFonts w:ascii="Calibri" w:eastAsia="Malgun Gothic" w:hAnsi="Calibri" w:cs="Times New Roman"/>
          <w:b/>
          <w:color w:val="385623"/>
          <w:sz w:val="36"/>
          <w:szCs w:val="36"/>
          <w:lang w:val="en-AU" w:eastAsia="ko-KR"/>
        </w:rPr>
        <w:t xml:space="preserve">        </w:t>
      </w:r>
      <w:r w:rsidR="00BE504B">
        <w:rPr>
          <w:rFonts w:ascii="Calibri" w:eastAsia="Malgun Gothic" w:hAnsi="Calibri" w:cs="Times New Roman"/>
          <w:b/>
          <w:color w:val="385623"/>
          <w:sz w:val="36"/>
          <w:szCs w:val="36"/>
          <w:lang w:val="en-AU" w:eastAsia="ko-KR"/>
        </w:rPr>
        <w:t xml:space="preserve">  </w:t>
      </w:r>
      <w:r>
        <w:rPr>
          <w:rFonts w:ascii="Calibri" w:eastAsia="Malgun Gothic" w:hAnsi="Calibri" w:cs="Times New Roman"/>
          <w:b/>
          <w:color w:val="385623"/>
          <w:sz w:val="36"/>
          <w:szCs w:val="36"/>
          <w:lang w:val="en-AU" w:eastAsia="ko-KR"/>
        </w:rPr>
        <w:t xml:space="preserve">                 </w:t>
      </w:r>
      <w:r>
        <w:rPr>
          <w:rFonts w:ascii="Calibri" w:eastAsia="Malgun Gothic" w:hAnsi="Calibri" w:cs="Times New Roman"/>
          <w:b/>
          <w:noProof/>
          <w:color w:val="385623"/>
          <w:sz w:val="40"/>
          <w:szCs w:val="40"/>
          <w:lang w:val="en-AU" w:eastAsia="ko-KR"/>
        </w:rPr>
        <w:drawing>
          <wp:inline distT="0" distB="0" distL="0" distR="0" wp14:anchorId="11EDF07B" wp14:editId="702F68BF">
            <wp:extent cx="871855" cy="871855"/>
            <wp:effectExtent l="0" t="0" r="444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pic:spPr>
                </pic:pic>
              </a:graphicData>
            </a:graphic>
          </wp:inline>
        </w:drawing>
      </w:r>
    </w:p>
    <w:p w14:paraId="097066F7" w14:textId="06B98263" w:rsidR="006A48DA" w:rsidRDefault="006A48DA" w:rsidP="006A48DA">
      <w:pPr>
        <w:spacing w:after="0" w:line="240" w:lineRule="auto"/>
        <w:jc w:val="left"/>
        <w:rPr>
          <w:rFonts w:ascii="Calibri" w:eastAsia="Malgun Gothic" w:hAnsi="Calibri" w:cs="Times New Roman"/>
          <w:szCs w:val="22"/>
          <w:lang w:val="en-AU" w:eastAsia="ko-KR"/>
        </w:rPr>
      </w:pPr>
      <w:r w:rsidRPr="006A48DA">
        <w:rPr>
          <w:rFonts w:ascii="Calibri" w:eastAsia="Malgun Gothic" w:hAnsi="Calibri" w:cs="Times New Roman"/>
          <w:noProof/>
          <w:szCs w:val="22"/>
          <w:lang w:val="en-AU" w:eastAsia="ko-KR"/>
        </w:rPr>
        <mc:AlternateContent>
          <mc:Choice Requires="wps">
            <w:drawing>
              <wp:anchor distT="45720" distB="45720" distL="114300" distR="114300" simplePos="0" relativeHeight="251698176" behindDoc="0" locked="0" layoutInCell="1" allowOverlap="1" wp14:anchorId="1AD7369A" wp14:editId="5337402A">
                <wp:simplePos x="0" y="0"/>
                <wp:positionH relativeFrom="margin">
                  <wp:align>left</wp:align>
                </wp:positionH>
                <wp:positionV relativeFrom="paragraph">
                  <wp:posOffset>893445</wp:posOffset>
                </wp:positionV>
                <wp:extent cx="5806440" cy="585470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5854700"/>
                        </a:xfrm>
                        <a:prstGeom prst="rect">
                          <a:avLst/>
                        </a:prstGeom>
                        <a:solidFill>
                          <a:srgbClr val="FFFFFF"/>
                        </a:solidFill>
                        <a:ln w="9525">
                          <a:noFill/>
                          <a:miter lim="800000"/>
                          <a:headEnd/>
                          <a:tailEnd/>
                        </a:ln>
                      </wps:spPr>
                      <wps:txbx>
                        <w:txbxContent>
                          <w:p w14:paraId="737E2EB8" w14:textId="77777777" w:rsidR="00BD7507" w:rsidRDefault="00BD7507" w:rsidP="006A48DA">
                            <w:pPr>
                              <w:jc w:val="center"/>
                            </w:pPr>
                            <w:r>
                              <w:rPr>
                                <w:noProof/>
                                <w:lang w:val="en-AU" w:eastAsia="ko-KR"/>
                              </w:rPr>
                              <w:drawing>
                                <wp:inline distT="0" distB="0" distL="0" distR="0" wp14:anchorId="27C5962D" wp14:editId="715D4E24">
                                  <wp:extent cx="5640779" cy="5878195"/>
                                  <wp:effectExtent l="38100" t="0" r="0" b="0"/>
                                  <wp:docPr id="233" name="Diagram 2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7369A" id="_x0000_s1031" type="#_x0000_t202" style="position:absolute;margin-left:0;margin-top:70.35pt;width:457.2pt;height:461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RqZIwIAACUEAAAOAAAAZHJzL2Uyb0RvYy54bWysU9uO2yAQfa/Uf0C8N3aseJO14qy22aaq&#10;tL1Iu/0AjHGMCgwFEnv79R1wkkbbt6o8IGCGw5lzhvXdqBU5CuclmJrOZzklwnBopdnX9Pvz7t2K&#10;Eh+YaZkCI2r6Ijy927x9sx5sJQroQbXCEQQxvhpsTfsQbJVlnvdCMz8DKwwGO3CaBdy6fdY6NiC6&#10;VlmR5zfZAK61DrjwHk8fpiDdJPyuEzx87TovAlE1RW4hzS7NTZyzzZpVe8dsL/mJBvsHFppJg49e&#10;oB5YYOTg5F9QWnIHHrow46Az6DrJRaoBq5nnr6p56pkVqRYUx9uLTP7/wfIvx2+OyLamxXxJiWEa&#10;TXoWYyDvYSRF1GewvsK0J4uJYcRj9DnV6u0j8B+eGNj2zOzFvXMw9IK1yG8eb2ZXVyccH0Ga4TO0&#10;+Aw7BEhAY+d0FA/lIIiOPr1cvIlUOB6Wq/xmscAQx1i5KhfLPLmXsep83TofPgrQJC5q6tD8BM+O&#10;jz5EOqw6p8TXPCjZ7qRSaeP2zVY5cmTYKLs0UgWv0pQhQ01vy6JMyAbi/dRDWgZsZCV1TVd5HFNr&#10;RTk+mDalBCbVtEYmypz0iZJM4oSxGZMV5Vn2BtoXFMzB1Lf4z3DRg/tFyYA9W1P/88CcoER9Mij6&#10;7TwpFNJmUS4LlMtdR5rrCDMcoWoaKJmW25A+RpTDwD2a08kkW3RxYnKijL2Y1Dz9m9js1/uU9ed3&#10;b34DAAD//wMAUEsDBBQABgAIAAAAIQD6290k3QAAAAkBAAAPAAAAZHJzL2Rvd25yZXYueG1sTI/N&#10;TsMwEITvSLyDtUhcELVbhYSmcSpAAnHtzwNs4m0SNbaj2G3St2c5wXFnRrPfFNvZ9uJKY+i807Bc&#10;KBDkam8612g4Hj6fX0GEiM5g7x1puFGAbXl/V2Bu/OR2dN3HRnCJCzlqaGMccilD3ZLFsPADOfZO&#10;frQY+RwbaUacuNz2cqVUKi12jj+0ONBHS/V5f7EaTt/T08t6qr7iMdsl6Tt2WeVvWj8+zG8bEJHm&#10;+BeGX3xGh5KZKn9xJoheAw+JrCYqA8H2epkkICpWVLrKQJaF/L+g/AEAAP//AwBQSwECLQAUAAYA&#10;CAAAACEAtoM4kv4AAADhAQAAEwAAAAAAAAAAAAAAAAAAAAAAW0NvbnRlbnRfVHlwZXNdLnhtbFBL&#10;AQItABQABgAIAAAAIQA4/SH/1gAAAJQBAAALAAAAAAAAAAAAAAAAAC8BAABfcmVscy8ucmVsc1BL&#10;AQItABQABgAIAAAAIQBr1RqZIwIAACUEAAAOAAAAAAAAAAAAAAAAAC4CAABkcnMvZTJvRG9jLnht&#10;bFBLAQItABQABgAIAAAAIQD6290k3QAAAAkBAAAPAAAAAAAAAAAAAAAAAH0EAABkcnMvZG93bnJl&#10;di54bWxQSwUGAAAAAAQABADzAAAAhwUAAAAA&#10;" stroked="f">
                <v:textbox>
                  <w:txbxContent>
                    <w:p w14:paraId="737E2EB8" w14:textId="77777777" w:rsidR="00BD7507" w:rsidRDefault="00BD7507" w:rsidP="006A48DA">
                      <w:pPr>
                        <w:jc w:val="center"/>
                      </w:pPr>
                      <w:r>
                        <w:rPr>
                          <w:noProof/>
                          <w:lang w:val="en-AU" w:eastAsia="ko-KR"/>
                        </w:rPr>
                        <w:drawing>
                          <wp:inline distT="0" distB="0" distL="0" distR="0" wp14:anchorId="27C5962D" wp14:editId="715D4E24">
                            <wp:extent cx="5640779" cy="5878195"/>
                            <wp:effectExtent l="38100" t="0" r="0" b="0"/>
                            <wp:docPr id="233" name="Diagram 2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txbxContent>
                </v:textbox>
                <w10:wrap type="square" anchorx="margin"/>
              </v:shape>
            </w:pict>
          </mc:Fallback>
        </mc:AlternateContent>
      </w:r>
      <w:r w:rsidRPr="006A48DA">
        <w:rPr>
          <w:rFonts w:ascii="Calibri" w:eastAsia="Malgun Gothic" w:hAnsi="Calibri" w:cs="Times New Roman"/>
          <w:szCs w:val="22"/>
          <w:lang w:val="en-AU" w:eastAsia="ko-KR"/>
        </w:rPr>
        <w:t>The ability to be assertive is an important skill for overcoming resistance and helping build individual and organisational support for gender analysis. It is also useful for advancing gender equality in organisational cultures where women are taught not to act assertively. The following strategies will help you to advocate viewpoints and agendas, and manage resistance.</w:t>
      </w:r>
    </w:p>
    <w:p w14:paraId="2E64322C" w14:textId="0F0831F4" w:rsidR="006A48DA" w:rsidRDefault="006A48DA" w:rsidP="006A48DA">
      <w:pPr>
        <w:spacing w:after="0" w:line="240" w:lineRule="auto"/>
        <w:jc w:val="left"/>
        <w:rPr>
          <w:rFonts w:ascii="Calibri" w:eastAsia="Malgun Gothic" w:hAnsi="Calibri" w:cs="Times New Roman"/>
          <w:szCs w:val="22"/>
          <w:lang w:val="en-AU" w:eastAsia="ko-KR"/>
        </w:rPr>
      </w:pPr>
    </w:p>
    <w:p w14:paraId="0308B3D6" w14:textId="77777777" w:rsidR="006A48DA" w:rsidRDefault="006A48DA">
      <w:pPr>
        <w:spacing w:after="0" w:line="240" w:lineRule="auto"/>
        <w:jc w:val="left"/>
        <w:rPr>
          <w:rFonts w:ascii="Calibri" w:eastAsia="Malgun Gothic" w:hAnsi="Calibri" w:cs="Times New Roman"/>
          <w:szCs w:val="22"/>
          <w:lang w:val="en-AU" w:eastAsia="ko-KR"/>
        </w:rPr>
      </w:pPr>
      <w:r>
        <w:rPr>
          <w:rFonts w:ascii="Calibri" w:eastAsia="Malgun Gothic" w:hAnsi="Calibri" w:cs="Times New Roman"/>
          <w:szCs w:val="22"/>
          <w:lang w:val="en-AU" w:eastAsia="ko-KR"/>
        </w:rPr>
        <w:br w:type="page"/>
      </w:r>
    </w:p>
    <w:p w14:paraId="660DA44F" w14:textId="579AFEB3" w:rsidR="006A48DA" w:rsidRPr="00E51FD4" w:rsidRDefault="00ED3455" w:rsidP="006125DD">
      <w:pPr>
        <w:shd w:val="clear" w:color="auto" w:fill="385623"/>
        <w:spacing w:after="240" w:line="240" w:lineRule="auto"/>
        <w:jc w:val="left"/>
        <w:rPr>
          <w:rFonts w:eastAsia="Malgun Gothic" w:cs="Arial"/>
          <w:color w:val="FFFFFF" w:themeColor="background1"/>
          <w:szCs w:val="22"/>
          <w:lang w:val="en-AU" w:eastAsia="ko-KR"/>
        </w:rPr>
      </w:pPr>
      <w:r w:rsidRPr="00E51FD4">
        <w:rPr>
          <w:rFonts w:ascii="Calibri" w:eastAsia="Malgun Gothic" w:hAnsi="Calibri" w:cs="Times New Roman"/>
          <w:b/>
          <w:color w:val="FFFFFF" w:themeColor="background1"/>
          <w:sz w:val="36"/>
          <w:szCs w:val="36"/>
          <w:lang w:val="en-AU" w:eastAsia="ko-KR"/>
        </w:rPr>
        <w:lastRenderedPageBreak/>
        <w:t>GOOD PRACTICE EXAMPLE</w:t>
      </w:r>
      <w:r>
        <w:rPr>
          <w:rFonts w:ascii="Calibri" w:eastAsia="Malgun Gothic" w:hAnsi="Calibri" w:cs="Times New Roman"/>
          <w:b/>
          <w:color w:val="FFFFFF" w:themeColor="background1"/>
          <w:sz w:val="36"/>
          <w:szCs w:val="36"/>
          <w:lang w:val="en-AU" w:eastAsia="ko-KR"/>
        </w:rPr>
        <w:t xml:space="preserve">:                                           </w:t>
      </w:r>
      <w:r w:rsidRPr="00E51FD4">
        <w:rPr>
          <w:rFonts w:ascii="Calibri" w:eastAsia="Malgun Gothic" w:hAnsi="Calibri" w:cs="Times New Roman"/>
          <w:b/>
          <w:noProof/>
          <w:color w:val="FFFFFF" w:themeColor="background1"/>
          <w:sz w:val="40"/>
          <w:szCs w:val="40"/>
          <w:lang w:val="en-AU" w:eastAsia="ko-KR"/>
        </w:rPr>
        <w:drawing>
          <wp:inline distT="0" distB="0" distL="0" distR="0" wp14:anchorId="44915BC3" wp14:editId="177A1B63">
            <wp:extent cx="871855" cy="871855"/>
            <wp:effectExtent l="0" t="0" r="4445" b="444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pic:spPr>
                </pic:pic>
              </a:graphicData>
            </a:graphic>
          </wp:inline>
        </w:drawing>
      </w:r>
      <w:r w:rsidRPr="00ED3455">
        <w:rPr>
          <w:rFonts w:ascii="Calibri" w:eastAsia="Malgun Gothic" w:hAnsi="Calibri" w:cs="Times New Roman"/>
          <w:b/>
          <w:i/>
          <w:color w:val="FFFFFF" w:themeColor="background1"/>
          <w:sz w:val="36"/>
          <w:szCs w:val="36"/>
          <w:lang w:val="en-AU" w:eastAsia="ko-KR"/>
        </w:rPr>
        <w:t>Towards Gender Parity: Women on Boards Initiative</w:t>
      </w:r>
      <w:r w:rsidR="005E05DF" w:rsidRPr="00E51FD4">
        <w:rPr>
          <w:rFonts w:ascii="Calibri" w:eastAsia="Malgun Gothic" w:hAnsi="Calibri" w:cs="Times New Roman"/>
          <w:b/>
          <w:color w:val="FFFFFF" w:themeColor="background1"/>
          <w:sz w:val="36"/>
          <w:szCs w:val="36"/>
          <w:lang w:val="en-AU" w:eastAsia="ko-KR"/>
        </w:rPr>
        <w:t xml:space="preserve">    </w:t>
      </w:r>
    </w:p>
    <w:p w14:paraId="44503EB4" w14:textId="77777777" w:rsidR="00DC03F5" w:rsidRPr="005E05DF" w:rsidRDefault="00DC03F5" w:rsidP="00DC03F5">
      <w:pPr>
        <w:shd w:val="clear" w:color="auto" w:fill="5A5098"/>
        <w:spacing w:after="240" w:line="360" w:lineRule="auto"/>
        <w:jc w:val="left"/>
        <w:rPr>
          <w:rFonts w:ascii="Calibri Light" w:eastAsia="Malgun Gothic" w:hAnsi="Calibri Light" w:cs="Calibri Light"/>
          <w:color w:val="FFFFFF" w:themeColor="background1"/>
          <w:sz w:val="28"/>
          <w:szCs w:val="28"/>
          <w:lang w:val="en-AU" w:eastAsia="ko-KR"/>
        </w:rPr>
      </w:pPr>
      <w:r w:rsidRPr="005E05DF">
        <w:rPr>
          <w:rFonts w:ascii="Calibri Light" w:eastAsia="Malgun Gothic" w:hAnsi="Calibri Light" w:cs="Calibri Light"/>
          <w:b/>
          <w:color w:val="FFFFFF" w:themeColor="background1"/>
          <w:sz w:val="28"/>
          <w:szCs w:val="28"/>
          <w:lang w:val="en-AU" w:eastAsia="ko-KR"/>
        </w:rPr>
        <w:t>Gender diversity targets</w:t>
      </w:r>
    </w:p>
    <w:p w14:paraId="381AED8C" w14:textId="6CAD023F" w:rsidR="005E05DF" w:rsidRPr="005E05DF" w:rsidRDefault="005E05DF" w:rsidP="00851C13">
      <w:pPr>
        <w:spacing w:line="240" w:lineRule="auto"/>
        <w:jc w:val="left"/>
        <w:rPr>
          <w:rFonts w:ascii="Calibri" w:eastAsia="Malgun Gothic" w:hAnsi="Calibri" w:cs="Times New Roman"/>
          <w:szCs w:val="22"/>
          <w:lang w:val="en-AU" w:eastAsia="ko-KR"/>
        </w:rPr>
      </w:pPr>
      <w:r w:rsidRPr="005E05DF">
        <w:rPr>
          <w:rFonts w:ascii="Calibri" w:eastAsia="Malgun Gothic" w:hAnsi="Calibri" w:cs="Times New Roman"/>
          <w:szCs w:val="22"/>
          <w:lang w:val="en-AU" w:eastAsia="ko-KR"/>
        </w:rPr>
        <w:t>In July 2015, the Queensland Government established gender diversity targets</w:t>
      </w:r>
      <w:r w:rsidR="00D6483E">
        <w:rPr>
          <w:rStyle w:val="EndnoteReference"/>
          <w:rFonts w:ascii="Calibri" w:eastAsia="Malgun Gothic" w:hAnsi="Calibri" w:cs="Times New Roman"/>
          <w:szCs w:val="22"/>
          <w:lang w:val="en-AU" w:eastAsia="ko-KR"/>
        </w:rPr>
        <w:endnoteReference w:id="38"/>
      </w:r>
      <w:r w:rsidRPr="005E05DF">
        <w:rPr>
          <w:rFonts w:ascii="Calibri" w:eastAsia="Malgun Gothic" w:hAnsi="Calibri" w:cs="Times New Roman"/>
          <w:szCs w:val="22"/>
          <w:lang w:val="en-AU" w:eastAsia="ko-KR"/>
        </w:rPr>
        <w:t xml:space="preserve"> to increase the representation of women on Queensland Government boards and other bodies: </w:t>
      </w:r>
    </w:p>
    <w:p w14:paraId="7C17F736" w14:textId="77777777" w:rsidR="005E05DF" w:rsidRPr="005E05DF" w:rsidRDefault="005E05DF" w:rsidP="00F116AB">
      <w:pPr>
        <w:numPr>
          <w:ilvl w:val="0"/>
          <w:numId w:val="39"/>
        </w:numPr>
        <w:spacing w:line="240" w:lineRule="auto"/>
        <w:ind w:left="714" w:hanging="357"/>
        <w:jc w:val="left"/>
        <w:rPr>
          <w:rFonts w:ascii="Calibri" w:eastAsia="Malgun Gothic" w:hAnsi="Calibri" w:cs="Times New Roman"/>
          <w:szCs w:val="22"/>
          <w:lang w:val="en-AU" w:eastAsia="ko-KR"/>
        </w:rPr>
      </w:pPr>
      <w:r w:rsidRPr="005E05DF">
        <w:rPr>
          <w:rFonts w:ascii="Calibri" w:eastAsia="Malgun Gothic" w:hAnsi="Calibri" w:cs="Times New Roman"/>
          <w:szCs w:val="22"/>
          <w:lang w:val="en-AU" w:eastAsia="ko-KR"/>
        </w:rPr>
        <w:t xml:space="preserve">50 per cent of all new board appointees to Queensland Government bodies are to be women </w:t>
      </w:r>
    </w:p>
    <w:p w14:paraId="3E73CD46" w14:textId="77777777" w:rsidR="005E05DF" w:rsidRPr="005E05DF" w:rsidRDefault="005E05DF" w:rsidP="00F116AB">
      <w:pPr>
        <w:numPr>
          <w:ilvl w:val="0"/>
          <w:numId w:val="39"/>
        </w:numPr>
        <w:spacing w:line="240" w:lineRule="auto"/>
        <w:ind w:left="714" w:hanging="357"/>
        <w:jc w:val="left"/>
        <w:rPr>
          <w:rFonts w:ascii="Calibri" w:eastAsia="Malgun Gothic" w:hAnsi="Calibri" w:cs="Times New Roman"/>
          <w:szCs w:val="22"/>
          <w:lang w:val="en-AU" w:eastAsia="ko-KR"/>
        </w:rPr>
      </w:pPr>
      <w:r w:rsidRPr="005E05DF">
        <w:rPr>
          <w:rFonts w:ascii="Calibri" w:eastAsia="Malgun Gothic" w:hAnsi="Calibri" w:cs="Times New Roman"/>
          <w:szCs w:val="22"/>
          <w:lang w:val="en-AU" w:eastAsia="ko-KR"/>
        </w:rPr>
        <w:t xml:space="preserve">50 per cent representation of women on Queensland Government bodies by 2020. </w:t>
      </w:r>
    </w:p>
    <w:p w14:paraId="65C061B7" w14:textId="28653565" w:rsidR="005E05DF" w:rsidRPr="005E05DF" w:rsidRDefault="005E05DF" w:rsidP="00851C13">
      <w:pPr>
        <w:spacing w:line="240" w:lineRule="auto"/>
        <w:jc w:val="left"/>
        <w:rPr>
          <w:rFonts w:ascii="Calibri" w:eastAsia="Malgun Gothic" w:hAnsi="Calibri" w:cs="Times New Roman"/>
          <w:szCs w:val="22"/>
          <w:lang w:val="en-AU" w:eastAsia="ko-KR"/>
        </w:rPr>
      </w:pPr>
      <w:r w:rsidRPr="005E05DF">
        <w:rPr>
          <w:rFonts w:ascii="Calibri" w:eastAsia="Malgun Gothic" w:hAnsi="Calibri" w:cs="Times New Roman"/>
          <w:szCs w:val="22"/>
          <w:lang w:val="en-AU" w:eastAsia="ko-KR"/>
        </w:rPr>
        <w:t xml:space="preserve">The government also established the </w:t>
      </w:r>
      <w:r w:rsidRPr="005E05DF">
        <w:rPr>
          <w:rFonts w:ascii="Calibri" w:eastAsia="Malgun Gothic" w:hAnsi="Calibri" w:cs="Times New Roman"/>
          <w:i/>
          <w:szCs w:val="22"/>
          <w:lang w:val="en-AU" w:eastAsia="ko-KR"/>
        </w:rPr>
        <w:t>Towards Gender Parity: Women on Boards Initiative</w:t>
      </w:r>
      <w:r w:rsidRPr="005E05DF">
        <w:rPr>
          <w:rFonts w:ascii="Calibri" w:eastAsia="Malgun Gothic" w:hAnsi="Calibri" w:cs="Times New Roman"/>
          <w:szCs w:val="22"/>
          <w:lang w:val="en-AU" w:eastAsia="ko-KR"/>
        </w:rPr>
        <w:t xml:space="preserve"> to provide support to achieve the targets. The initiative provides:</w:t>
      </w:r>
    </w:p>
    <w:p w14:paraId="2071A497" w14:textId="77777777" w:rsidR="005E05DF" w:rsidRPr="005E05DF" w:rsidRDefault="005E05DF" w:rsidP="00F116AB">
      <w:pPr>
        <w:numPr>
          <w:ilvl w:val="0"/>
          <w:numId w:val="39"/>
        </w:numPr>
        <w:spacing w:line="240" w:lineRule="auto"/>
        <w:ind w:left="714" w:hanging="357"/>
        <w:jc w:val="left"/>
        <w:rPr>
          <w:rFonts w:ascii="Calibri" w:eastAsia="Malgun Gothic" w:hAnsi="Calibri" w:cs="Times New Roman"/>
          <w:szCs w:val="22"/>
          <w:lang w:val="en-AU" w:eastAsia="ko-KR"/>
        </w:rPr>
      </w:pPr>
      <w:r w:rsidRPr="005E05DF">
        <w:rPr>
          <w:rFonts w:ascii="Calibri" w:eastAsia="Malgun Gothic" w:hAnsi="Calibri" w:cs="Times New Roman"/>
          <w:szCs w:val="22"/>
          <w:lang w:val="en-AU" w:eastAsia="ko-KR"/>
        </w:rPr>
        <w:t xml:space="preserve">government, business and community sectors with practical supports, including an online suite of resources and tools to drive inclusion and cultural change and support an increase in women’s representation on boards </w:t>
      </w:r>
    </w:p>
    <w:p w14:paraId="42C3F90A" w14:textId="77777777" w:rsidR="005E05DF" w:rsidRDefault="005E05DF" w:rsidP="00F116AB">
      <w:pPr>
        <w:numPr>
          <w:ilvl w:val="0"/>
          <w:numId w:val="39"/>
        </w:numPr>
        <w:spacing w:line="240" w:lineRule="auto"/>
        <w:ind w:left="714" w:hanging="357"/>
        <w:jc w:val="left"/>
        <w:rPr>
          <w:rFonts w:ascii="Calibri" w:eastAsia="Malgun Gothic" w:hAnsi="Calibri" w:cs="Times New Roman"/>
          <w:szCs w:val="22"/>
          <w:lang w:val="en-AU" w:eastAsia="ko-KR"/>
        </w:rPr>
      </w:pPr>
      <w:r w:rsidRPr="005E05DF">
        <w:rPr>
          <w:rFonts w:ascii="Calibri" w:eastAsia="Malgun Gothic" w:hAnsi="Calibri" w:cs="Times New Roman"/>
          <w:szCs w:val="22"/>
          <w:lang w:val="en-AU" w:eastAsia="ko-KR"/>
        </w:rPr>
        <w:t>women seeking board appointments with tools and information to assess their board readiness, prepare and apply for appointments, and connect to mentoring, education and board matching services.</w:t>
      </w:r>
    </w:p>
    <w:p w14:paraId="0E675983" w14:textId="77777777" w:rsidR="00BD7507" w:rsidRPr="005E05DF" w:rsidRDefault="00BD7507" w:rsidP="00BD7507">
      <w:pPr>
        <w:spacing w:line="240" w:lineRule="auto"/>
        <w:ind w:left="714"/>
        <w:jc w:val="left"/>
        <w:rPr>
          <w:rFonts w:ascii="Calibri" w:eastAsia="Malgun Gothic" w:hAnsi="Calibri" w:cs="Times New Roman"/>
          <w:szCs w:val="22"/>
          <w:lang w:val="en-AU" w:eastAsia="ko-KR"/>
        </w:rPr>
      </w:pPr>
    </w:p>
    <w:p w14:paraId="67FACA74" w14:textId="558BF13A" w:rsidR="005E05DF" w:rsidRPr="005E05DF" w:rsidRDefault="00BD7507" w:rsidP="00DC03F5">
      <w:pPr>
        <w:shd w:val="clear" w:color="auto" w:fill="5A5098"/>
        <w:spacing w:after="240" w:line="360" w:lineRule="auto"/>
        <w:jc w:val="left"/>
        <w:rPr>
          <w:rFonts w:ascii="Calibri Light" w:eastAsia="Malgun Gothic" w:hAnsi="Calibri Light" w:cs="Calibri Light"/>
          <w:b/>
          <w:color w:val="FFFFFF" w:themeColor="background1"/>
          <w:sz w:val="28"/>
          <w:szCs w:val="28"/>
          <w:lang w:val="en-AU" w:eastAsia="ko-KR"/>
        </w:rPr>
      </w:pPr>
      <w:r w:rsidRPr="004946D2">
        <w:rPr>
          <w:rFonts w:ascii="Calibri" w:eastAsia="Malgun Gothic" w:hAnsi="Calibri" w:cs="Times New Roman"/>
          <w:noProof/>
          <w:szCs w:val="22"/>
          <w:lang w:val="en-AU" w:eastAsia="ko-KR"/>
        </w:rPr>
        <mc:AlternateContent>
          <mc:Choice Requires="wps">
            <w:drawing>
              <wp:anchor distT="45720" distB="45720" distL="114300" distR="114300" simplePos="0" relativeHeight="251702272" behindDoc="0" locked="0" layoutInCell="1" allowOverlap="1" wp14:anchorId="6DCD9D77" wp14:editId="066DC2CB">
                <wp:simplePos x="0" y="0"/>
                <wp:positionH relativeFrom="margin">
                  <wp:posOffset>3125470</wp:posOffset>
                </wp:positionH>
                <wp:positionV relativeFrom="page">
                  <wp:posOffset>6166485</wp:posOffset>
                </wp:positionV>
                <wp:extent cx="2591435" cy="2434590"/>
                <wp:effectExtent l="0" t="0" r="0" b="381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2434590"/>
                        </a:xfrm>
                        <a:prstGeom prst="rect">
                          <a:avLst/>
                        </a:prstGeom>
                        <a:solidFill>
                          <a:srgbClr val="FFFFFF"/>
                        </a:solidFill>
                        <a:ln w="9525">
                          <a:noFill/>
                          <a:miter lim="800000"/>
                          <a:headEnd/>
                          <a:tailEnd/>
                        </a:ln>
                      </wps:spPr>
                      <wps:txbx>
                        <w:txbxContent>
                          <w:p w14:paraId="472B5DD9" w14:textId="71738F35" w:rsidR="00BD7507" w:rsidRDefault="00BD7507">
                            <w:r w:rsidRPr="005E05DF">
                              <w:rPr>
                                <w:rFonts w:ascii="Calibri" w:eastAsia="Malgun Gothic" w:hAnsi="Calibri" w:cs="Times New Roman"/>
                                <w:noProof/>
                                <w:szCs w:val="22"/>
                                <w:lang w:val="en-AU" w:eastAsia="ko-KR"/>
                              </w:rPr>
                              <w:drawing>
                                <wp:inline distT="0" distB="0" distL="0" distR="0" wp14:anchorId="3FEF59E5" wp14:editId="2DFC268B">
                                  <wp:extent cx="2381250" cy="2307265"/>
                                  <wp:effectExtent l="0" t="0" r="0" b="17145"/>
                                  <wp:docPr id="205" name="Chart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D9D77" id="_x0000_s1032" type="#_x0000_t202" style="position:absolute;margin-left:246.1pt;margin-top:485.55pt;width:204.05pt;height:191.7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FvJAIAACUEAAAOAAAAZHJzL2Uyb0RvYy54bWysU21v2yAQ/j5p/wHxfXHi2l1jxam6dJkm&#10;dS9Sux+AMY7RgGNAYne/vgdOsqj7No0PiOOOh+eeu1vdjlqRg3BegqnpYjanRBgOrTS7mv542r67&#10;ocQHZlqmwIiaPgtPb9dv36wGW4kcelCtcARBjK8GW9M+BFtlmee90MzPwAqDzg6cZgFNt8taxwZE&#10;1yrL5/PrbADXWgdceI+395OTrhN+1wkevnWdF4GomiK3kHaX9ibu2XrFqp1jtpf8SIP9AwvNpMFP&#10;z1D3LDCyd/IvKC25Aw9dmHHQGXSd5CLlgNks5q+yeeyZFSkXFMfbs0z+/8Hyr4fvjsi2pnlRUmKY&#10;xiI9iTGQDzCSPOozWF9h2KPFwDDiNdY55ertA/CfnhjY9MzsxJ1zMPSCtchvEV9mF08nHB9BmuEL&#10;tPgN2wdIQGPndBQP5SCIjnV6PtcmUuF4mZfLRXGFFDn68uKqKJepehmrTs+t8+GTAE3ioaYOi5/g&#10;2eHBh0iHVaeQ+JsHJdutVCoZbtdslCMHho2yTStl8CpMGTLUdFnmZUI2EN+nHtIyYCMrqWt6M49r&#10;aq0ox0fTppDApJrOyESZoz5RkkmcMDZjKsX1SfYG2mcUzMHUtzhneOjB/aZkwJ6tqf+1Z05Qoj4b&#10;FB0VKmKTJ6Mo3+douEtPc+lhhiNUTQMl03ET0mBEOQzcYXE6mWSLVZyYHCljLyY1j3MTm/3STlF/&#10;pnv9AgAA//8DAFBLAwQUAAYACAAAACEAKMfUXeAAAAAMAQAADwAAAGRycy9kb3ducmV2LnhtbEyP&#10;QW6DMBBF95V6B2sqdVM1NgRCIJiordSq26Q5wIAngIpthJ1Abl931S5H/+n/N+V+0QO70uR6ayRE&#10;KwGMTGNVb1oJp6/35y0w59EoHKwhCTdysK/u70oslJ3Nga5H37JQYlyBEjrvx4Jz13Sk0a3sSCZk&#10;Zztp9OGcWq4mnEO5HngsxIZr7E1Y6HCkt46a7+NFSzh/zk9pPtcf/pQdks0r9lltb1I+PiwvO2Ce&#10;Fv8Hw69+UIcqONX2YpRjg4Qkj+OASsizKAIWiFyINbA6oOs0SYFXJf//RPUDAAD//wMAUEsBAi0A&#10;FAAGAAgAAAAhALaDOJL+AAAA4QEAABMAAAAAAAAAAAAAAAAAAAAAAFtDb250ZW50X1R5cGVzXS54&#10;bWxQSwECLQAUAAYACAAAACEAOP0h/9YAAACUAQAACwAAAAAAAAAAAAAAAAAvAQAAX3JlbHMvLnJl&#10;bHNQSwECLQAUAAYACAAAACEAxwERbyQCAAAlBAAADgAAAAAAAAAAAAAAAAAuAgAAZHJzL2Uyb0Rv&#10;Yy54bWxQSwECLQAUAAYACAAAACEAKMfUXeAAAAAMAQAADwAAAAAAAAAAAAAAAAB+BAAAZHJzL2Rv&#10;d25yZXYueG1sUEsFBgAAAAAEAAQA8wAAAIsFAAAAAA==&#10;" stroked="f">
                <v:textbox>
                  <w:txbxContent>
                    <w:p w14:paraId="472B5DD9" w14:textId="71738F35" w:rsidR="00BD7507" w:rsidRDefault="00BD7507">
                      <w:r w:rsidRPr="005E05DF">
                        <w:rPr>
                          <w:rFonts w:ascii="Calibri" w:eastAsia="Malgun Gothic" w:hAnsi="Calibri" w:cs="Times New Roman"/>
                          <w:noProof/>
                          <w:szCs w:val="22"/>
                          <w:lang w:val="en-AU" w:eastAsia="ko-KR"/>
                        </w:rPr>
                        <w:drawing>
                          <wp:inline distT="0" distB="0" distL="0" distR="0" wp14:anchorId="3FEF59E5" wp14:editId="2DFC268B">
                            <wp:extent cx="2381250" cy="2307265"/>
                            <wp:effectExtent l="0" t="0" r="0" b="17145"/>
                            <wp:docPr id="205" name="Chart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xbxContent>
                </v:textbox>
                <w10:wrap type="square" anchorx="margin" anchory="page"/>
              </v:shape>
            </w:pict>
          </mc:Fallback>
        </mc:AlternateContent>
      </w:r>
      <w:r w:rsidR="005E05DF" w:rsidRPr="005E05DF">
        <w:rPr>
          <w:rFonts w:ascii="Calibri Light" w:eastAsia="Malgun Gothic" w:hAnsi="Calibri Light" w:cs="Calibri Light"/>
          <w:b/>
          <w:color w:val="FFFFFF" w:themeColor="background1"/>
          <w:sz w:val="28"/>
          <w:szCs w:val="28"/>
          <w:lang w:val="en-AU" w:eastAsia="ko-KR"/>
        </w:rPr>
        <w:t>Gender diversity target results</w:t>
      </w:r>
      <w:r w:rsidR="001C1BBB">
        <w:rPr>
          <w:rFonts w:ascii="Calibri Light" w:eastAsia="Malgun Gothic" w:hAnsi="Calibri Light" w:cs="Calibri Light"/>
          <w:b/>
          <w:color w:val="FFFFFF" w:themeColor="background1"/>
          <w:sz w:val="28"/>
          <w:szCs w:val="28"/>
          <w:lang w:val="en-AU" w:eastAsia="ko-KR"/>
        </w:rPr>
        <w:t xml:space="preserve"> as at </w:t>
      </w:r>
      <w:r w:rsidR="00764D5B">
        <w:rPr>
          <w:rFonts w:ascii="Calibri Light" w:eastAsia="Malgun Gothic" w:hAnsi="Calibri Light" w:cs="Calibri Light"/>
          <w:b/>
          <w:color w:val="FFFFFF" w:themeColor="background1"/>
          <w:sz w:val="28"/>
          <w:szCs w:val="28"/>
          <w:lang w:val="en-AU" w:eastAsia="ko-KR"/>
        </w:rPr>
        <w:t>30 June</w:t>
      </w:r>
      <w:r w:rsidR="001C1BBB">
        <w:rPr>
          <w:rFonts w:ascii="Calibri Light" w:eastAsia="Malgun Gothic" w:hAnsi="Calibri Light" w:cs="Calibri Light"/>
          <w:b/>
          <w:color w:val="FFFFFF" w:themeColor="background1"/>
          <w:sz w:val="28"/>
          <w:szCs w:val="28"/>
          <w:lang w:val="en-AU" w:eastAsia="ko-KR"/>
        </w:rPr>
        <w:t xml:space="preserve"> 2018</w:t>
      </w:r>
    </w:p>
    <w:p w14:paraId="2D0C7137" w14:textId="77777777" w:rsidR="005E05DF" w:rsidRDefault="005E05DF" w:rsidP="005E05DF">
      <w:pPr>
        <w:spacing w:after="240" w:line="259" w:lineRule="auto"/>
        <w:jc w:val="left"/>
        <w:rPr>
          <w:rFonts w:ascii="Calibri" w:eastAsia="Malgun Gothic" w:hAnsi="Calibri" w:cs="Times New Roman"/>
          <w:szCs w:val="22"/>
          <w:lang w:val="en-AU" w:eastAsia="ko-KR"/>
        </w:rPr>
        <w:sectPr w:rsidR="005E05DF" w:rsidSect="00DB1ED6">
          <w:headerReference w:type="default" r:id="rId112"/>
          <w:footerReference w:type="even" r:id="rId113"/>
          <w:footerReference w:type="default" r:id="rId114"/>
          <w:headerReference w:type="first" r:id="rId115"/>
          <w:endnotePr>
            <w:numFmt w:val="decimal"/>
          </w:endnotePr>
          <w:pgSz w:w="11900" w:h="16840"/>
          <w:pgMar w:top="1440" w:right="1440" w:bottom="1440" w:left="1440" w:header="709" w:footer="709" w:gutter="0"/>
          <w:cols w:space="708"/>
          <w:titlePg/>
          <w:docGrid w:linePitch="360"/>
        </w:sectPr>
      </w:pPr>
    </w:p>
    <w:p w14:paraId="1B359FB5" w14:textId="1201C410" w:rsidR="005E05DF" w:rsidRPr="005E05DF" w:rsidRDefault="00DE008F" w:rsidP="005E05DF">
      <w:pPr>
        <w:spacing w:after="240" w:line="259" w:lineRule="auto"/>
        <w:jc w:val="left"/>
        <w:rPr>
          <w:rFonts w:ascii="Calibri" w:eastAsia="Malgun Gothic" w:hAnsi="Calibri" w:cs="Times New Roman"/>
          <w:szCs w:val="22"/>
          <w:lang w:val="en-AU" w:eastAsia="ko-KR"/>
        </w:rPr>
      </w:pPr>
      <w:r w:rsidRPr="004946D2">
        <w:rPr>
          <w:rFonts w:ascii="Calibri" w:eastAsia="Malgun Gothic" w:hAnsi="Calibri" w:cs="Times New Roman"/>
          <w:noProof/>
          <w:szCs w:val="22"/>
          <w:lang w:val="en-AU" w:eastAsia="ko-KR"/>
        </w:rPr>
        <mc:AlternateContent>
          <mc:Choice Requires="wps">
            <w:drawing>
              <wp:anchor distT="45720" distB="45720" distL="114300" distR="114300" simplePos="0" relativeHeight="251700224" behindDoc="0" locked="0" layoutInCell="1" allowOverlap="1" wp14:anchorId="1121CFD7" wp14:editId="176331DC">
                <wp:simplePos x="0" y="0"/>
                <wp:positionH relativeFrom="margin">
                  <wp:posOffset>0</wp:posOffset>
                </wp:positionH>
                <wp:positionV relativeFrom="page">
                  <wp:posOffset>6153150</wp:posOffset>
                </wp:positionV>
                <wp:extent cx="2543175" cy="2457450"/>
                <wp:effectExtent l="0" t="0" r="9525" b="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457450"/>
                        </a:xfrm>
                        <a:prstGeom prst="rect">
                          <a:avLst/>
                        </a:prstGeom>
                        <a:solidFill>
                          <a:srgbClr val="FFFFFF"/>
                        </a:solidFill>
                        <a:ln w="9525">
                          <a:noFill/>
                          <a:miter lim="800000"/>
                          <a:headEnd/>
                          <a:tailEnd/>
                        </a:ln>
                      </wps:spPr>
                      <wps:txbx>
                        <w:txbxContent>
                          <w:p w14:paraId="659ECEE4" w14:textId="208A11DF" w:rsidR="00BD7507" w:rsidRDefault="00BD7507">
                            <w:r w:rsidRPr="005E05DF">
                              <w:rPr>
                                <w:rFonts w:ascii="Calibri" w:eastAsia="Malgun Gothic" w:hAnsi="Calibri" w:cs="Times New Roman"/>
                                <w:noProof/>
                                <w:szCs w:val="22"/>
                                <w:lang w:val="en-AU" w:eastAsia="ko-KR"/>
                              </w:rPr>
                              <w:drawing>
                                <wp:inline distT="0" distB="0" distL="0" distR="0" wp14:anchorId="6BDC56CD" wp14:editId="47A8D7F5">
                                  <wp:extent cx="2333625" cy="2324100"/>
                                  <wp:effectExtent l="0" t="0" r="9525" b="0"/>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1CFD7" id="_x0000_s1033" type="#_x0000_t202" style="position:absolute;margin-left:0;margin-top:484.5pt;width:200.25pt;height:193.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3/lJAIAACUEAAAOAAAAZHJzL2Uyb0RvYy54bWysU9uO2yAQfa/Uf0C8N05cu9m14qy22aaq&#10;tL1Iu/0AjHGMCgwFEjv9+g44SaPtW1UeEMMMh5kzZ1Z3o1bkIJyXYGq6mM0pEYZDK82upt+ft29u&#10;KPGBmZYpMKKmR+Hp3fr1q9VgK5FDD6oVjiCI8dVga9qHYKss87wXmvkZWGHQ2YHTLKDpdlnr2IDo&#10;WmX5fP4uG8C11gEX3uPtw+Sk64TfdYKHr13nRSCqpphbSLtLexP3bL1i1c4x20t+SoP9QxaaSYOf&#10;XqAeWGBk7+RfUFpyBx66MOOgM+g6yUWqAatZzF9U89QzK1ItSI63F5r8/4PlXw7fHJFtTfOioMQw&#10;jU16FmMg72EkeeRnsL7CsCeLgWHEa+xzqtXbR+A/PDGw6ZnZiXvnYOgFazG/RXyZXT2dcHwEaYbP&#10;0OI3bB8gAY2d05E8pIMgOvbpeOlNTIXjZV4WbxfLkhKOvrwol0WZupex6vzcOh8+CtAkHmrqsPkJ&#10;nh0efYjpsOocEn/zoGS7lUolw+2ajXLkwFAo27RSBS/ClCFDTW/LvEzIBuL7pCEtAwpZSV3Tm3lc&#10;k7QiHR9Mm0ICk2o6YybKnPiJlEzkhLEZUyuWZ9obaI9ImINJtzhneOjB/aJkQM3W1P/cMycoUZ8M&#10;kn67KIoo8mQgRTka7trTXHuY4QhV00DJdNyENBiRDgP32JxOJtpiF6dMTimjFhObp7mJYr+2U9Sf&#10;6V7/BgAA//8DAFBLAwQUAAYACAAAACEAhx3FdN0AAAAJAQAADwAAAGRycy9kb3ducmV2LnhtbEyP&#10;wU7DMBBE70j8g7VIXBC1gSYlaZwKkEBcW/oBm9hNosbrKHab9O9ZTvS2oxnNvik2s+vF2Y6h86Th&#10;aaFAWKq96ajRsP/5fHwFESKSwd6T1XCxATbl7U2BufETbe15FxvBJRRy1NDGOORShrq1DsPCD5bY&#10;O/jRYWQ5NtKMOHG56+WzUql02BF/aHGwH62tj7uT03D4nh6SbKq+4n61Xabv2K0qf9H6/m5+W4OI&#10;do7/YfjDZ3QomanyJzJB9Bp4SNSQpRkfbC+VSkBUnHtJUgWyLOT1gvIXAAD//wMAUEsBAi0AFAAG&#10;AAgAAAAhALaDOJL+AAAA4QEAABMAAAAAAAAAAAAAAAAAAAAAAFtDb250ZW50X1R5cGVzXS54bWxQ&#10;SwECLQAUAAYACAAAACEAOP0h/9YAAACUAQAACwAAAAAAAAAAAAAAAAAvAQAAX3JlbHMvLnJlbHNQ&#10;SwECLQAUAAYACAAAACEAQhd/5SQCAAAlBAAADgAAAAAAAAAAAAAAAAAuAgAAZHJzL2Uyb0RvYy54&#10;bWxQSwECLQAUAAYACAAAACEAhx3FdN0AAAAJAQAADwAAAAAAAAAAAAAAAAB+BAAAZHJzL2Rvd25y&#10;ZXYueG1sUEsFBgAAAAAEAAQA8wAAAIgFAAAAAA==&#10;" stroked="f">
                <v:textbox>
                  <w:txbxContent>
                    <w:p w14:paraId="659ECEE4" w14:textId="208A11DF" w:rsidR="00BD7507" w:rsidRDefault="00BD7507">
                      <w:r w:rsidRPr="005E05DF">
                        <w:rPr>
                          <w:rFonts w:ascii="Calibri" w:eastAsia="Malgun Gothic" w:hAnsi="Calibri" w:cs="Times New Roman"/>
                          <w:noProof/>
                          <w:szCs w:val="22"/>
                          <w:lang w:val="en-AU" w:eastAsia="ko-KR"/>
                        </w:rPr>
                        <w:drawing>
                          <wp:inline distT="0" distB="0" distL="0" distR="0" wp14:anchorId="6BDC56CD" wp14:editId="47A8D7F5">
                            <wp:extent cx="2333625" cy="2324100"/>
                            <wp:effectExtent l="0" t="0" r="9525" b="0"/>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xbxContent>
                </v:textbox>
                <w10:wrap type="square" anchorx="margin" anchory="page"/>
              </v:shape>
            </w:pict>
          </mc:Fallback>
        </mc:AlternateContent>
      </w:r>
    </w:p>
    <w:p w14:paraId="733C94E1" w14:textId="004C381F" w:rsidR="005E05DF" w:rsidRPr="005E05DF" w:rsidRDefault="005E05DF" w:rsidP="00C01137">
      <w:pPr>
        <w:spacing w:before="240" w:after="240" w:line="259" w:lineRule="auto"/>
        <w:jc w:val="left"/>
        <w:rPr>
          <w:rFonts w:ascii="Calibri" w:eastAsia="Malgun Gothic" w:hAnsi="Calibri" w:cs="Times New Roman"/>
          <w:szCs w:val="22"/>
          <w:lang w:val="en-AU" w:eastAsia="ko-KR"/>
        </w:rPr>
      </w:pPr>
    </w:p>
    <w:p w14:paraId="7628696E" w14:textId="5236A39E" w:rsidR="005E05DF" w:rsidRDefault="005E05DF" w:rsidP="005E05DF">
      <w:pPr>
        <w:spacing w:before="240" w:after="240" w:line="259" w:lineRule="auto"/>
        <w:contextualSpacing/>
        <w:jc w:val="left"/>
        <w:rPr>
          <w:rFonts w:ascii="Calibri" w:eastAsia="Malgun Gothic" w:hAnsi="Calibri" w:cs="Times New Roman"/>
          <w:szCs w:val="22"/>
          <w:lang w:val="en-AU" w:eastAsia="ko-KR"/>
        </w:rPr>
      </w:pPr>
    </w:p>
    <w:p w14:paraId="0F54332C" w14:textId="5C0E33DF" w:rsidR="00C01137" w:rsidRPr="005E05DF" w:rsidRDefault="00C01137" w:rsidP="005E05DF">
      <w:pPr>
        <w:spacing w:before="240" w:after="240" w:line="259" w:lineRule="auto"/>
        <w:contextualSpacing/>
        <w:jc w:val="left"/>
        <w:rPr>
          <w:rFonts w:ascii="Calibri" w:eastAsia="Malgun Gothic" w:hAnsi="Calibri" w:cs="Times New Roman"/>
          <w:szCs w:val="22"/>
          <w:lang w:val="en-AU" w:eastAsia="ko-KR"/>
        </w:rPr>
      </w:pPr>
    </w:p>
    <w:p w14:paraId="707CDD71" w14:textId="5F054754" w:rsidR="005E05DF" w:rsidRDefault="005E05DF" w:rsidP="006A48DA">
      <w:pPr>
        <w:spacing w:after="0" w:line="240" w:lineRule="auto"/>
        <w:jc w:val="left"/>
        <w:rPr>
          <w:lang w:val="en-AU"/>
        </w:rPr>
      </w:pPr>
    </w:p>
    <w:p w14:paraId="44DBBB9A" w14:textId="2703F837" w:rsidR="005E05DF" w:rsidRDefault="00DE008F" w:rsidP="00851C13">
      <w:pPr>
        <w:spacing w:after="0" w:line="240" w:lineRule="auto"/>
        <w:jc w:val="center"/>
        <w:rPr>
          <w:lang w:val="en-AU"/>
        </w:rPr>
      </w:pPr>
      <w:r w:rsidRPr="004946D2">
        <w:rPr>
          <w:noProof/>
          <w:lang w:val="en-AU" w:eastAsia="ko-KR"/>
        </w:rPr>
        <mc:AlternateContent>
          <mc:Choice Requires="wps">
            <w:drawing>
              <wp:anchor distT="45720" distB="45720" distL="114300" distR="114300" simplePos="0" relativeHeight="251706368" behindDoc="0" locked="0" layoutInCell="1" allowOverlap="1" wp14:anchorId="3565B261" wp14:editId="06C008AD">
                <wp:simplePos x="0" y="0"/>
                <wp:positionH relativeFrom="margin">
                  <wp:posOffset>3136265</wp:posOffset>
                </wp:positionH>
                <wp:positionV relativeFrom="page">
                  <wp:posOffset>8654415</wp:posOffset>
                </wp:positionV>
                <wp:extent cx="2562225" cy="797560"/>
                <wp:effectExtent l="0" t="0" r="9525" b="254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797560"/>
                        </a:xfrm>
                        <a:prstGeom prst="rect">
                          <a:avLst/>
                        </a:prstGeom>
                        <a:solidFill>
                          <a:srgbClr val="FFFFFF"/>
                        </a:solidFill>
                        <a:ln w="9525">
                          <a:noFill/>
                          <a:miter lim="800000"/>
                          <a:headEnd/>
                          <a:tailEnd/>
                        </a:ln>
                      </wps:spPr>
                      <wps:txbx>
                        <w:txbxContent>
                          <w:p w14:paraId="6C56255E" w14:textId="69CEF038" w:rsidR="00BD7507" w:rsidRDefault="00BD7507" w:rsidP="00851C13">
                            <w:pPr>
                              <w:jc w:val="left"/>
                            </w:pPr>
                            <w:r w:rsidRPr="005E05DF">
                              <w:rPr>
                                <w:rFonts w:ascii="Calibri" w:eastAsia="Malgun Gothic" w:hAnsi="Calibri" w:cs="Times New Roman"/>
                                <w:szCs w:val="22"/>
                                <w:lang w:val="en-AU" w:eastAsia="ko-KR"/>
                              </w:rPr>
                              <w:t>Women comprised 49 per cent (or 1,</w:t>
                            </w:r>
                            <w:r w:rsidR="00764D5B">
                              <w:rPr>
                                <w:rFonts w:ascii="Calibri" w:eastAsia="Malgun Gothic" w:hAnsi="Calibri" w:cs="Times New Roman"/>
                                <w:szCs w:val="22"/>
                                <w:lang w:val="en-AU" w:eastAsia="ko-KR"/>
                              </w:rPr>
                              <w:t>141</w:t>
                            </w:r>
                            <w:r w:rsidRPr="005E05DF">
                              <w:rPr>
                                <w:rFonts w:ascii="Calibri" w:eastAsia="Malgun Gothic" w:hAnsi="Calibri" w:cs="Times New Roman"/>
                                <w:szCs w:val="22"/>
                                <w:lang w:val="en-AU" w:eastAsia="ko-KR"/>
                              </w:rPr>
                              <w:t xml:space="preserve">) of all appointees (including re-appointees) to Queensland Government bodies between July 2015 and </w:t>
                            </w:r>
                            <w:r>
                              <w:rPr>
                                <w:rFonts w:ascii="Calibri" w:eastAsia="Malgun Gothic" w:hAnsi="Calibri" w:cs="Times New Roman"/>
                                <w:szCs w:val="22"/>
                                <w:lang w:val="en-AU" w:eastAsia="ko-KR"/>
                              </w:rPr>
                              <w:t>June</w:t>
                            </w:r>
                            <w:r w:rsidRPr="005E05DF">
                              <w:rPr>
                                <w:rFonts w:ascii="Calibri" w:eastAsia="Malgun Gothic" w:hAnsi="Calibri" w:cs="Times New Roman"/>
                                <w:szCs w:val="22"/>
                                <w:lang w:val="en-AU" w:eastAsia="ko-KR"/>
                              </w:rPr>
                              <w:t xml:space="preserv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5B261" id="_x0000_s1034" type="#_x0000_t202" style="position:absolute;left:0;text-align:left;margin-left:246.95pt;margin-top:681.45pt;width:201.75pt;height:62.8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bpIgIAACQEAAAOAAAAZHJzL2Uyb0RvYy54bWysU9uO2yAQfa/Uf0C8N06sXK04q222qSpt&#10;L9JuPwBjHKMCQ4HETr++A07SaPdtVR4Qw8wczpwZ1ne9VuQonJdgSjoZjSkRhkMtzb6kP593H5aU&#10;+MBMzRQYUdKT8PRu8/7durOFyKEFVQtHEMT4orMlbUOwRZZ53grN/AisMOhswGkW0HT7rHasQ3St&#10;snw8nmcduNo64MJ7vH0YnHST8JtG8PC9abwIRJUUuYW0u7RXcc82a1bsHbOt5Gca7A0sNJMGH71C&#10;PbDAyMHJV1BacgcemjDioDNoGslFqgGrmYxfVPPUMitSLSiOt1eZ/P+D5d+OPxyRdUnz6YISwzQ2&#10;6Vn0gXyEnuRRn876AsOeLAaGHq+xz6lWbx+B//LEwLZlZi/unYOuFaxGfpOYmd2kDjg+glTdV6jx&#10;GXYIkID6xukoHspBEB37dLr2JlLheJnP5nmezyjh6FusFrN5al7Giku2dT58FqBJPJTUYe8TOjs+&#10;+hDZsOISEh/zoGS9k0olw+2rrXLkyHBOdmmlAl6EKUO6kq5myCNmGYj5aYS0DDjHSuqSLsdxDZMV&#10;1fhk6hQSmFTDGZkoc5YnKjJoE/qqT51YXlSvoD6hXg6GscVvhocW3B9KOhzZkvrfB+YEJeqLQc1X&#10;k+k0zngyprNFjoa79VS3HmY4QpU0UDIctyH9i6Gwe+xNI5NssYkDkzNlHMWk5vnbxFm/tVPUv8+9&#10;+QsAAP//AwBQSwMEFAAGAAgAAAAhAGUoKo/gAAAADQEAAA8AAABkcnMvZG93bnJldi54bWxMj81O&#10;wzAQhO9IvIO1SFwQdWjT/BGnAiQQ15Y+wCZ2k4h4HcVuk749ywluuzuj2W/K3WIHcTGT7x0peFpF&#10;IAw1TvfUKjh+vT9mIHxA0jg4MgquxsOuur0psdBupr25HEIrOIR8gQq6EMZCSt90xqJfudEQayc3&#10;WQy8Tq3UE84cbge5jqJEWuyJP3Q4mrfONN+Hs1Vw+pwftvlcf4Rjuo+TV+zT2l2Vur9bXp5BBLOE&#10;PzP84jM6VMxUuzNpLwYFcb7J2crCJlnzxJYsT2MQNZ/iLNuCrEr5v0X1AwAA//8DAFBLAQItABQA&#10;BgAIAAAAIQC2gziS/gAAAOEBAAATAAAAAAAAAAAAAAAAAAAAAABbQ29udGVudF9UeXBlc10ueG1s&#10;UEsBAi0AFAAGAAgAAAAhADj9If/WAAAAlAEAAAsAAAAAAAAAAAAAAAAALwEAAF9yZWxzLy5yZWxz&#10;UEsBAi0AFAAGAAgAAAAhACD+pukiAgAAJAQAAA4AAAAAAAAAAAAAAAAALgIAAGRycy9lMm9Eb2Mu&#10;eG1sUEsBAi0AFAAGAAgAAAAhAGUoKo/gAAAADQEAAA8AAAAAAAAAAAAAAAAAfAQAAGRycy9kb3du&#10;cmV2LnhtbFBLBQYAAAAABAAEAPMAAACJBQAAAAA=&#10;" stroked="f">
                <v:textbox>
                  <w:txbxContent>
                    <w:p w14:paraId="6C56255E" w14:textId="69CEF038" w:rsidR="00BD7507" w:rsidRDefault="00BD7507" w:rsidP="00851C13">
                      <w:pPr>
                        <w:jc w:val="left"/>
                      </w:pPr>
                      <w:r w:rsidRPr="005E05DF">
                        <w:rPr>
                          <w:rFonts w:ascii="Calibri" w:eastAsia="Malgun Gothic" w:hAnsi="Calibri" w:cs="Times New Roman"/>
                          <w:szCs w:val="22"/>
                          <w:lang w:val="en-AU" w:eastAsia="ko-KR"/>
                        </w:rPr>
                        <w:t>Women comprised 49 per cent (or 1,</w:t>
                      </w:r>
                      <w:r w:rsidR="00764D5B">
                        <w:rPr>
                          <w:rFonts w:ascii="Calibri" w:eastAsia="Malgun Gothic" w:hAnsi="Calibri" w:cs="Times New Roman"/>
                          <w:szCs w:val="22"/>
                          <w:lang w:val="en-AU" w:eastAsia="ko-KR"/>
                        </w:rPr>
                        <w:t>141</w:t>
                      </w:r>
                      <w:r w:rsidRPr="005E05DF">
                        <w:rPr>
                          <w:rFonts w:ascii="Calibri" w:eastAsia="Malgun Gothic" w:hAnsi="Calibri" w:cs="Times New Roman"/>
                          <w:szCs w:val="22"/>
                          <w:lang w:val="en-AU" w:eastAsia="ko-KR"/>
                        </w:rPr>
                        <w:t xml:space="preserve">) of all appointees (including re-appointees) to Queensland Government bodies between July 2015 and </w:t>
                      </w:r>
                      <w:r>
                        <w:rPr>
                          <w:rFonts w:ascii="Calibri" w:eastAsia="Malgun Gothic" w:hAnsi="Calibri" w:cs="Times New Roman"/>
                          <w:szCs w:val="22"/>
                          <w:lang w:val="en-AU" w:eastAsia="ko-KR"/>
                        </w:rPr>
                        <w:t>June</w:t>
                      </w:r>
                      <w:r w:rsidRPr="005E05DF">
                        <w:rPr>
                          <w:rFonts w:ascii="Calibri" w:eastAsia="Malgun Gothic" w:hAnsi="Calibri" w:cs="Times New Roman"/>
                          <w:szCs w:val="22"/>
                          <w:lang w:val="en-AU" w:eastAsia="ko-KR"/>
                        </w:rPr>
                        <w:t xml:space="preserve"> 2018.</w:t>
                      </w:r>
                    </w:p>
                  </w:txbxContent>
                </v:textbox>
                <w10:wrap type="square" anchorx="margin" anchory="page"/>
              </v:shape>
            </w:pict>
          </mc:Fallback>
        </mc:AlternateContent>
      </w:r>
      <w:r w:rsidR="00851C13" w:rsidRPr="004946D2">
        <w:rPr>
          <w:rFonts w:ascii="Calibri" w:eastAsia="Malgun Gothic" w:hAnsi="Calibri" w:cs="Times New Roman"/>
          <w:noProof/>
          <w:szCs w:val="22"/>
          <w:lang w:val="en-AU" w:eastAsia="ko-KR"/>
        </w:rPr>
        <mc:AlternateContent>
          <mc:Choice Requires="wps">
            <w:drawing>
              <wp:anchor distT="45720" distB="45720" distL="114300" distR="114300" simplePos="0" relativeHeight="251704320" behindDoc="0" locked="0" layoutInCell="1" allowOverlap="1" wp14:anchorId="5D17C6FF" wp14:editId="67EA60D2">
                <wp:simplePos x="0" y="0"/>
                <wp:positionH relativeFrom="margin">
                  <wp:posOffset>0</wp:posOffset>
                </wp:positionH>
                <wp:positionV relativeFrom="page">
                  <wp:posOffset>8658225</wp:posOffset>
                </wp:positionV>
                <wp:extent cx="2505075" cy="792480"/>
                <wp:effectExtent l="0" t="0" r="9525" b="762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792480"/>
                        </a:xfrm>
                        <a:prstGeom prst="rect">
                          <a:avLst/>
                        </a:prstGeom>
                        <a:solidFill>
                          <a:srgbClr val="FFFFFF"/>
                        </a:solidFill>
                        <a:ln w="9525">
                          <a:noFill/>
                          <a:miter lim="800000"/>
                          <a:headEnd/>
                          <a:tailEnd/>
                        </a:ln>
                      </wps:spPr>
                      <wps:txbx>
                        <w:txbxContent>
                          <w:p w14:paraId="19B9203B" w14:textId="643D48DB" w:rsidR="00BD7507" w:rsidRDefault="00BD7507" w:rsidP="00851C13">
                            <w:pPr>
                              <w:jc w:val="left"/>
                            </w:pPr>
                            <w:r w:rsidRPr="005E05DF">
                              <w:rPr>
                                <w:rFonts w:ascii="Calibri" w:eastAsia="Malgun Gothic" w:hAnsi="Calibri" w:cs="Times New Roman"/>
                                <w:szCs w:val="22"/>
                                <w:lang w:val="en-AU" w:eastAsia="ko-KR"/>
                              </w:rPr>
                              <w:t>Women’s representation on Queensland Government bodies increased from 31 per cent in July 2015 to 4</w:t>
                            </w:r>
                            <w:r w:rsidR="00DE435D">
                              <w:rPr>
                                <w:rFonts w:ascii="Calibri" w:eastAsia="Malgun Gothic" w:hAnsi="Calibri" w:cs="Times New Roman"/>
                                <w:szCs w:val="22"/>
                                <w:lang w:val="en-AU" w:eastAsia="ko-KR"/>
                              </w:rPr>
                              <w:t>6</w:t>
                            </w:r>
                            <w:r w:rsidRPr="005E05DF">
                              <w:rPr>
                                <w:rFonts w:ascii="Calibri" w:eastAsia="Malgun Gothic" w:hAnsi="Calibri" w:cs="Times New Roman"/>
                                <w:szCs w:val="22"/>
                                <w:lang w:val="en-AU" w:eastAsia="ko-KR"/>
                              </w:rPr>
                              <w:t xml:space="preserve"> per cent in </w:t>
                            </w:r>
                            <w:r w:rsidR="00DE435D">
                              <w:rPr>
                                <w:rFonts w:ascii="Calibri" w:eastAsia="Malgun Gothic" w:hAnsi="Calibri" w:cs="Times New Roman"/>
                                <w:szCs w:val="22"/>
                                <w:lang w:val="en-AU" w:eastAsia="ko-KR"/>
                              </w:rPr>
                              <w:t>June</w:t>
                            </w:r>
                            <w:r w:rsidRPr="005E05DF">
                              <w:rPr>
                                <w:rFonts w:ascii="Calibri" w:eastAsia="Malgun Gothic" w:hAnsi="Calibri" w:cs="Times New Roman"/>
                                <w:szCs w:val="22"/>
                                <w:lang w:val="en-AU" w:eastAsia="ko-KR"/>
                              </w:rPr>
                              <w:t xml:space="preserv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7C6FF" id="_x0000_s1035" type="#_x0000_t202" style="position:absolute;left:0;text-align:left;margin-left:0;margin-top:681.75pt;width:197.25pt;height:62.4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h7JAIAACQEAAAOAAAAZHJzL2Uyb0RvYy54bWysU9uO2yAQfa/Uf0C8N3asZJNYcVbbbFNV&#10;2l6k3X4AxjhGBYYCiZ1+fQecpNH2rSoPiGGGw8yZM+v7QStyFM5LMBWdTnJKhOHQSLOv6PeX3bsl&#10;JT4w0zAFRlT0JDy937x9s+5tKQroQDXCEQQxvuxtRbsQbJllnndCMz8BKww6W3CaBTTdPmsc6xFd&#10;q6zI87usB9dYB1x4j7ePo5NuEn7bCh6+tq0XgaiKYm4h7S7tddyzzZqVe8dsJ/k5DfYPWWgmDX56&#10;hXpkgZGDk39BackdeGjDhIPOoG0lF6kGrGaav6rmuWNWpFqQHG+vNPn/B8u/HL85IpuKFrM7SgzT&#10;2KQXMQTyHgZSRH5660sMe7YYGAa8xj6nWr19Av7DEwPbjpm9eHAO+k6wBvObxpfZzdMRx0eQuv8M&#10;DX7DDgES0NA6HclDOgiiY59O197EVDheFvN8ni/mlHD0LVbFbJmal7Hy8to6Hz4K0CQeKuqw9wmd&#10;HZ98iNmw8hISP/OgZLOTSiXD7eutcuTIUCe7tFIBr8KUIX1FV/NinpANxPdJQloG1LGSuqLLPK5R&#10;WZGND6ZJIYFJNZ4xE2XO9ERGRm7CUA+pE6sL6zU0J+TLwShbHDM8dOB+UdKjZCvqfx6YE5SoTwY5&#10;X01ns6jxZMzmiwINd+upbz3McISqaKBkPG5DmotIh4EH7E0rE22xiWMm55RRionN89hErd/aKerP&#10;cG9+AwAA//8DAFBLAwQUAAYACAAAACEA4+kLH94AAAAKAQAADwAAAGRycy9kb3ducmV2LnhtbEyP&#10;QU+DQBCF7yb+h8008WLsolBKkaVRE43X1v6AhZ0CKTtL2G2h/97xZG8z703efK/YzrYXFxx950jB&#10;8zICgVQ701Gj4PDz+ZSB8EGT0b0jVHBFD9vy/q7QuXET7fCyD43gEPK5VtCGMORS+rpFq/3SDUjs&#10;Hd1odeB1bKQZ9cThtpcvUZRKqzviD60e8KPF+rQ/WwXH7+lxtZmqr3BY75L0XXfryl2VeljMb68g&#10;As7h/xj+8BkdSmaq3JmMF70CLhJYjdN4BYL9eJPwULGUZFkMsizkbYXyFwAA//8DAFBLAQItABQA&#10;BgAIAAAAIQC2gziS/gAAAOEBAAATAAAAAAAAAAAAAAAAAAAAAABbQ29udGVudF9UeXBlc10ueG1s&#10;UEsBAi0AFAAGAAgAAAAhADj9If/WAAAAlAEAAAsAAAAAAAAAAAAAAAAALwEAAF9yZWxzLy5yZWxz&#10;UEsBAi0AFAAGAAgAAAAhALiliHskAgAAJAQAAA4AAAAAAAAAAAAAAAAALgIAAGRycy9lMm9Eb2Mu&#10;eG1sUEsBAi0AFAAGAAgAAAAhAOPpCx/eAAAACgEAAA8AAAAAAAAAAAAAAAAAfgQAAGRycy9kb3du&#10;cmV2LnhtbFBLBQYAAAAABAAEAPMAAACJBQAAAAA=&#10;" stroked="f">
                <v:textbox>
                  <w:txbxContent>
                    <w:p w14:paraId="19B9203B" w14:textId="643D48DB" w:rsidR="00BD7507" w:rsidRDefault="00BD7507" w:rsidP="00851C13">
                      <w:pPr>
                        <w:jc w:val="left"/>
                      </w:pPr>
                      <w:r w:rsidRPr="005E05DF">
                        <w:rPr>
                          <w:rFonts w:ascii="Calibri" w:eastAsia="Malgun Gothic" w:hAnsi="Calibri" w:cs="Times New Roman"/>
                          <w:szCs w:val="22"/>
                          <w:lang w:val="en-AU" w:eastAsia="ko-KR"/>
                        </w:rPr>
                        <w:t>Women’s representation on Queensland Government bodies increased from 31 per cent in July 2015 to 4</w:t>
                      </w:r>
                      <w:r w:rsidR="00DE435D">
                        <w:rPr>
                          <w:rFonts w:ascii="Calibri" w:eastAsia="Malgun Gothic" w:hAnsi="Calibri" w:cs="Times New Roman"/>
                          <w:szCs w:val="22"/>
                          <w:lang w:val="en-AU" w:eastAsia="ko-KR"/>
                        </w:rPr>
                        <w:t>6</w:t>
                      </w:r>
                      <w:r w:rsidRPr="005E05DF">
                        <w:rPr>
                          <w:rFonts w:ascii="Calibri" w:eastAsia="Malgun Gothic" w:hAnsi="Calibri" w:cs="Times New Roman"/>
                          <w:szCs w:val="22"/>
                          <w:lang w:val="en-AU" w:eastAsia="ko-KR"/>
                        </w:rPr>
                        <w:t xml:space="preserve"> per cent in </w:t>
                      </w:r>
                      <w:r w:rsidR="00DE435D">
                        <w:rPr>
                          <w:rFonts w:ascii="Calibri" w:eastAsia="Malgun Gothic" w:hAnsi="Calibri" w:cs="Times New Roman"/>
                          <w:szCs w:val="22"/>
                          <w:lang w:val="en-AU" w:eastAsia="ko-KR"/>
                        </w:rPr>
                        <w:t>June</w:t>
                      </w:r>
                      <w:r w:rsidRPr="005E05DF">
                        <w:rPr>
                          <w:rFonts w:ascii="Calibri" w:eastAsia="Malgun Gothic" w:hAnsi="Calibri" w:cs="Times New Roman"/>
                          <w:szCs w:val="22"/>
                          <w:lang w:val="en-AU" w:eastAsia="ko-KR"/>
                        </w:rPr>
                        <w:t xml:space="preserve"> 2018.</w:t>
                      </w:r>
                    </w:p>
                  </w:txbxContent>
                </v:textbox>
                <w10:wrap type="square" anchorx="margin" anchory="page"/>
              </v:shape>
            </w:pict>
          </mc:Fallback>
        </mc:AlternateContent>
      </w:r>
      <w:r w:rsidR="005E05DF">
        <w:rPr>
          <w:lang w:val="en-AU"/>
        </w:rPr>
        <w:br w:type="page"/>
      </w:r>
    </w:p>
    <w:p w14:paraId="491CE4F0" w14:textId="77777777" w:rsidR="00214B0D" w:rsidRPr="006A48DA" w:rsidRDefault="00214B0D" w:rsidP="006A48DA">
      <w:pPr>
        <w:spacing w:after="0" w:line="240" w:lineRule="auto"/>
        <w:jc w:val="left"/>
        <w:rPr>
          <w:rFonts w:ascii="Calibri" w:eastAsia="Malgun Gothic" w:hAnsi="Calibri" w:cs="Times New Roman"/>
          <w:szCs w:val="22"/>
          <w:lang w:val="en-AU" w:eastAsia="ko-KR"/>
        </w:rPr>
      </w:pPr>
    </w:p>
    <w:p w14:paraId="3CB8DDAF" w14:textId="2AEB32E3" w:rsidR="00214B0D" w:rsidRDefault="00B85DDB" w:rsidP="00D629DB">
      <w:pPr>
        <w:jc w:val="left"/>
        <w:rPr>
          <w:b/>
          <w:color w:val="660066"/>
          <w:sz w:val="36"/>
          <w:szCs w:val="36"/>
        </w:rPr>
      </w:pPr>
      <w:r>
        <w:rPr>
          <w:b/>
          <w:noProof/>
          <w:color w:val="660066"/>
          <w:sz w:val="36"/>
          <w:szCs w:val="36"/>
          <w:lang w:val="en-AU" w:eastAsia="ko-KR"/>
        </w:rPr>
        <w:drawing>
          <wp:anchor distT="0" distB="0" distL="114300" distR="114300" simplePos="0" relativeHeight="251710464" behindDoc="1" locked="1" layoutInCell="1" allowOverlap="1" wp14:anchorId="0FEB11BD" wp14:editId="14AE25DA">
            <wp:simplePos x="0" y="0"/>
            <wp:positionH relativeFrom="page">
              <wp:align>right</wp:align>
            </wp:positionH>
            <wp:positionV relativeFrom="page">
              <wp:align>top</wp:align>
            </wp:positionV>
            <wp:extent cx="7573010" cy="10711815"/>
            <wp:effectExtent l="0" t="0" r="889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8 GenericToolkit_6-2.jpg"/>
                    <pic:cNvPicPr/>
                  </pic:nvPicPr>
                  <pic:blipFill>
                    <a:blip r:embed="rId118">
                      <a:extLst>
                        <a:ext uri="{28A0092B-C50C-407E-A947-70E740481C1C}">
                          <a14:useLocalDpi xmlns:a14="http://schemas.microsoft.com/office/drawing/2010/main" val="0"/>
                        </a:ext>
                      </a:extLst>
                    </a:blip>
                    <a:stretch>
                      <a:fillRect/>
                    </a:stretch>
                  </pic:blipFill>
                  <pic:spPr>
                    <a:xfrm>
                      <a:off x="0" y="0"/>
                      <a:ext cx="7573010" cy="1071181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B1D5B24" w14:textId="77777777" w:rsidR="00D629DB" w:rsidRDefault="00D629DB" w:rsidP="00D629DB">
      <w:pPr>
        <w:jc w:val="right"/>
        <w:rPr>
          <w:b/>
          <w:color w:val="660066"/>
          <w:sz w:val="36"/>
          <w:szCs w:val="36"/>
        </w:rPr>
      </w:pPr>
    </w:p>
    <w:p w14:paraId="503E4261" w14:textId="77777777" w:rsidR="00D629DB" w:rsidRDefault="00D629DB" w:rsidP="00D629DB">
      <w:pPr>
        <w:jc w:val="right"/>
        <w:rPr>
          <w:b/>
          <w:color w:val="660066"/>
          <w:sz w:val="36"/>
          <w:szCs w:val="36"/>
        </w:rPr>
      </w:pPr>
    </w:p>
    <w:p w14:paraId="7F8555F5" w14:textId="77777777" w:rsidR="00D629DB" w:rsidRDefault="00D629DB" w:rsidP="00D629DB">
      <w:pPr>
        <w:jc w:val="right"/>
        <w:rPr>
          <w:b/>
          <w:color w:val="660066"/>
          <w:sz w:val="36"/>
          <w:szCs w:val="36"/>
        </w:rPr>
      </w:pPr>
    </w:p>
    <w:p w14:paraId="393F8639" w14:textId="77777777" w:rsidR="00D629DB" w:rsidRDefault="00D629DB" w:rsidP="00D629DB">
      <w:pPr>
        <w:jc w:val="right"/>
        <w:rPr>
          <w:b/>
          <w:color w:val="660066"/>
          <w:sz w:val="36"/>
          <w:szCs w:val="36"/>
        </w:rPr>
      </w:pPr>
    </w:p>
    <w:p w14:paraId="550D1A0A" w14:textId="77777777" w:rsidR="00D629DB" w:rsidRDefault="00D629DB" w:rsidP="00D629DB">
      <w:pPr>
        <w:jc w:val="right"/>
        <w:rPr>
          <w:b/>
          <w:color w:val="660066"/>
          <w:sz w:val="36"/>
          <w:szCs w:val="36"/>
        </w:rPr>
      </w:pPr>
    </w:p>
    <w:p w14:paraId="72ACC999" w14:textId="77777777" w:rsidR="00D629DB" w:rsidRDefault="00D629DB" w:rsidP="00D629DB">
      <w:pPr>
        <w:jc w:val="right"/>
        <w:rPr>
          <w:b/>
          <w:color w:val="660066"/>
          <w:sz w:val="36"/>
          <w:szCs w:val="36"/>
        </w:rPr>
      </w:pPr>
    </w:p>
    <w:p w14:paraId="69BED5DC" w14:textId="77777777" w:rsidR="00D629DB" w:rsidRDefault="00D629DB" w:rsidP="00D629DB">
      <w:pPr>
        <w:jc w:val="right"/>
        <w:rPr>
          <w:b/>
          <w:color w:val="660066"/>
          <w:sz w:val="36"/>
          <w:szCs w:val="36"/>
        </w:rPr>
      </w:pPr>
    </w:p>
    <w:p w14:paraId="591F4CAF" w14:textId="77777777" w:rsidR="00D629DB" w:rsidRDefault="00D629DB" w:rsidP="00D629DB">
      <w:pPr>
        <w:jc w:val="right"/>
        <w:rPr>
          <w:b/>
          <w:color w:val="660066"/>
          <w:sz w:val="36"/>
          <w:szCs w:val="36"/>
        </w:rPr>
      </w:pPr>
    </w:p>
    <w:p w14:paraId="20CDC7C4" w14:textId="77777777" w:rsidR="00D629DB" w:rsidRDefault="00D629DB" w:rsidP="00D629DB">
      <w:pPr>
        <w:jc w:val="right"/>
        <w:rPr>
          <w:b/>
          <w:color w:val="660066"/>
          <w:sz w:val="36"/>
          <w:szCs w:val="36"/>
        </w:rPr>
      </w:pPr>
    </w:p>
    <w:p w14:paraId="11757D27" w14:textId="77777777" w:rsidR="00D629DB" w:rsidRDefault="00D629DB" w:rsidP="00D629DB">
      <w:pPr>
        <w:jc w:val="right"/>
        <w:rPr>
          <w:b/>
          <w:color w:val="660066"/>
          <w:sz w:val="36"/>
          <w:szCs w:val="36"/>
        </w:rPr>
      </w:pPr>
    </w:p>
    <w:p w14:paraId="634EF790" w14:textId="77777777" w:rsidR="00D629DB" w:rsidRDefault="00D629DB" w:rsidP="00D629DB">
      <w:pPr>
        <w:jc w:val="right"/>
        <w:rPr>
          <w:b/>
          <w:color w:val="660066"/>
          <w:sz w:val="36"/>
          <w:szCs w:val="36"/>
        </w:rPr>
      </w:pPr>
    </w:p>
    <w:p w14:paraId="677C4A91" w14:textId="77777777" w:rsidR="00D629DB" w:rsidRDefault="00D629DB" w:rsidP="00D629DB">
      <w:pPr>
        <w:jc w:val="right"/>
        <w:rPr>
          <w:b/>
          <w:color w:val="660066"/>
          <w:sz w:val="36"/>
          <w:szCs w:val="36"/>
        </w:rPr>
      </w:pPr>
    </w:p>
    <w:p w14:paraId="2645952A" w14:textId="77777777" w:rsidR="00D629DB" w:rsidRDefault="00D629DB" w:rsidP="00D629DB">
      <w:pPr>
        <w:jc w:val="right"/>
        <w:rPr>
          <w:b/>
          <w:color w:val="660066"/>
          <w:sz w:val="36"/>
          <w:szCs w:val="36"/>
        </w:rPr>
      </w:pPr>
    </w:p>
    <w:p w14:paraId="567822BB" w14:textId="77777777" w:rsidR="00D629DB" w:rsidRDefault="00D629DB" w:rsidP="00D629DB">
      <w:pPr>
        <w:jc w:val="right"/>
        <w:rPr>
          <w:b/>
          <w:color w:val="660066"/>
          <w:sz w:val="36"/>
          <w:szCs w:val="36"/>
        </w:rPr>
      </w:pPr>
    </w:p>
    <w:p w14:paraId="59D93BCB" w14:textId="77777777" w:rsidR="00D629DB" w:rsidRDefault="00D629DB" w:rsidP="00D629DB">
      <w:pPr>
        <w:jc w:val="right"/>
        <w:rPr>
          <w:b/>
          <w:color w:val="660066"/>
          <w:sz w:val="36"/>
          <w:szCs w:val="36"/>
        </w:rPr>
      </w:pPr>
    </w:p>
    <w:p w14:paraId="7DD7CF1B" w14:textId="77777777" w:rsidR="00214B0D" w:rsidRDefault="00214B0D" w:rsidP="00214B0D">
      <w:pPr>
        <w:jc w:val="right"/>
        <w:rPr>
          <w:b/>
          <w:color w:val="660066"/>
          <w:sz w:val="36"/>
          <w:szCs w:val="36"/>
        </w:rPr>
      </w:pPr>
      <w:r>
        <w:rPr>
          <w:noProof/>
          <w:lang w:val="en-AU" w:eastAsia="ko-KR"/>
        </w:rPr>
        <mc:AlternateContent>
          <mc:Choice Requires="wps">
            <w:drawing>
              <wp:anchor distT="0" distB="0" distL="114300" distR="114300" simplePos="0" relativeHeight="251671552" behindDoc="0" locked="0" layoutInCell="1" allowOverlap="1" wp14:anchorId="7947873D" wp14:editId="481C1CEE">
                <wp:simplePos x="0" y="0"/>
                <wp:positionH relativeFrom="column">
                  <wp:posOffset>1600200</wp:posOffset>
                </wp:positionH>
                <wp:positionV relativeFrom="paragraph">
                  <wp:posOffset>163830</wp:posOffset>
                </wp:positionV>
                <wp:extent cx="5829300" cy="571500"/>
                <wp:effectExtent l="0" t="0" r="38100" b="38100"/>
                <wp:wrapNone/>
                <wp:docPr id="11" name="Text Box 11"/>
                <wp:cNvGraphicFramePr/>
                <a:graphic xmlns:a="http://schemas.openxmlformats.org/drawingml/2006/main">
                  <a:graphicData uri="http://schemas.microsoft.com/office/word/2010/wordprocessingShape">
                    <wps:wsp>
                      <wps:cNvSpPr txBox="1"/>
                      <wps:spPr>
                        <a:xfrm>
                          <a:off x="0" y="0"/>
                          <a:ext cx="5829300" cy="571500"/>
                        </a:xfrm>
                        <a:prstGeom prst="rect">
                          <a:avLst/>
                        </a:prstGeom>
                        <a:noFill/>
                        <a:ln w="6350" cap="rnd">
                          <a:solidFill>
                            <a:srgbClr val="660066"/>
                          </a:solidFill>
                          <a:roun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95F283" w14:textId="77777777" w:rsidR="00BD7507" w:rsidRPr="009A05A1" w:rsidRDefault="00BD7507" w:rsidP="00214B0D">
                            <w:pPr>
                              <w:pStyle w:val="Title"/>
                              <w:jc w:val="left"/>
                              <w:rPr>
                                <w:sz w:val="44"/>
                                <w:szCs w:val="44"/>
                              </w:rPr>
                            </w:pPr>
                            <w:r w:rsidRPr="009A05A1">
                              <w:rPr>
                                <w:sz w:val="44"/>
                                <w:szCs w:val="44"/>
                              </w:rPr>
                              <w:t>GENDER ANALYSIS TOOLKIT</w:t>
                            </w:r>
                          </w:p>
                          <w:p w14:paraId="718591DC" w14:textId="77777777" w:rsidR="00BD7507" w:rsidRDefault="00BD7507" w:rsidP="00214B0D"/>
                        </w:txbxContent>
                      </wps:txbx>
                      <wps:bodyPr rot="0" spcFirstLastPara="0" vertOverflow="overflow" horzOverflow="overflow" vert="horz" wrap="square" lIns="180000" tIns="108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47873D" id="Text Box 11" o:spid="_x0000_s1036" type="#_x0000_t202" style="position:absolute;left:0;text-align:left;margin-left:126pt;margin-top:12.9pt;width:459pt;height: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8w1wIAAPUFAAAOAAAAZHJzL2Uyb0RvYy54bWysVFtv2jAUfp+0/2D5nSahQAE1VCkV06Sq&#10;rUanPhvHgWiOndkGwqb99312Ar1sL53GQzjn+Dv3y+VVU0myE8aWWqU0OYspEYrrvFTrlH59XPTG&#10;lFjHVM6kViKlB2Hp1ezjh8t9PRV9vdEyF4bAiLLTfZ3SjXP1NIos34iK2TNdC4XHQpuKObBmHeWG&#10;7WG9klE/jkfRXpu8NpoLayG9aR/pLNgvCsHdfVFY4YhMKWJz4WvCd+W/0eySTdeG1ZuSd2Gwf4ii&#10;YqWC05OpG+YY2ZryD1NVyY22unBnXFeRLoqSi5ADskniN9ksN6wWIRcUx9anMtn/Z5bf7R4MKXP0&#10;LqFEsQo9ehSNI9e6IRChPvvaTgFb1gC6BnJgj3ILoU+7KUzl/5EQwTsqfThV11vjEA7H/cl5jCeO&#10;t+FFMgQN89Gzdm2s+yR0RTyRUoPuhaKy3a11LfQI8c6UXpRShg5KRfYpHZ0PvXmGOTIqD6pWyzL3&#10;MK9gzXo1l4bsGKZhNML4jLoIXsGM3qq8dSeV1xNhkNoYwDUOZJAjs9Dkn/PhRT+7GE56o2yY9AZJ&#10;PO5lWdzv3SyyOIsHi/lkcP2r83XUj3xh2wIGyh2k8Fal+iIKtCTUMYTtl0GcAmecC+VCC1C7gPao&#10;Akm+R7HDhzxCfu9RbisCjeBZK3dSrkqlTVv612Hn344hFy0erX+Rtydds2raWQyT4UUrnR8wd0a3&#10;m2trvigxHLfMugdmsKpoOM6Pu8enkBpDoDuKko02P/4m93hsEF4p2WP1U2q/b5kRlMjPCruVjGP8&#10;cCxaLvYsJSZwk2QwALMKzABdB6O21VxjorBAiC+QHu/kkSyMrp5wpzLvF09McXhPqTuSc9eeJNw5&#10;LrIsgHAfauZu1bLm3rQvtB/+x+aJmbrbEIdZutPHM8GmbxalxXpNpbOt00UZtui5rl0LcFvCHnZ3&#10;0B+vl3xAPV/r2W8AAAD//wMAUEsDBBQABgAIAAAAIQB86bPL3QAAAAsBAAAPAAAAZHJzL2Rvd25y&#10;ZXYueG1sTE/LTsMwELwj8Q/WInGjTiPxUIhToUpwqFqhFhAcnXhxIuJ1ZLtN+Hs2J3qbnRnNzpSr&#10;yfXihCF2nhQsFxkIpMabjqyC97fnmwcQMWkyuveECn4xwqq6vCh1YfxIezwdkhUcQrHQCtqUhkLK&#10;2LTodFz4AYm1bx+cTnwGK03QI4e7XuZZdied7og/tHrAdYvNz+HoFIT95+uHr3fjZlt39mVrd5v1&#10;l1Hq+mp6egSRcEr/Zpjrc3WouFPtj2Si6BXktzlvSTPgCbNheZ8xU8+IKVmV8nxD9QcAAP//AwBQ&#10;SwECLQAUAAYACAAAACEAtoM4kv4AAADhAQAAEwAAAAAAAAAAAAAAAAAAAAAAW0NvbnRlbnRfVHlw&#10;ZXNdLnhtbFBLAQItABQABgAIAAAAIQA4/SH/1gAAAJQBAAALAAAAAAAAAAAAAAAAAC8BAABfcmVs&#10;cy8ucmVsc1BLAQItABQABgAIAAAAIQDVFg8w1wIAAPUFAAAOAAAAAAAAAAAAAAAAAC4CAABkcnMv&#10;ZTJvRG9jLnhtbFBLAQItABQABgAIAAAAIQB86bPL3QAAAAsBAAAPAAAAAAAAAAAAAAAAADEFAABk&#10;cnMvZG93bnJldi54bWxQSwUGAAAAAAQABADzAAAAOwYAAAAA&#10;" filled="f" strokecolor="#606" strokeweight=".5pt">
                <v:stroke joinstyle="round" endcap="round"/>
                <v:textbox inset="5mm,3mm">
                  <w:txbxContent>
                    <w:p w14:paraId="7695F283" w14:textId="77777777" w:rsidR="00BD7507" w:rsidRPr="009A05A1" w:rsidRDefault="00BD7507" w:rsidP="00214B0D">
                      <w:pPr>
                        <w:pStyle w:val="Title"/>
                        <w:jc w:val="left"/>
                        <w:rPr>
                          <w:sz w:val="44"/>
                          <w:szCs w:val="44"/>
                        </w:rPr>
                      </w:pPr>
                      <w:r w:rsidRPr="009A05A1">
                        <w:rPr>
                          <w:sz w:val="44"/>
                          <w:szCs w:val="44"/>
                        </w:rPr>
                        <w:t>GENDER ANALYSIS TOOLKIT</w:t>
                      </w:r>
                    </w:p>
                    <w:p w14:paraId="718591DC" w14:textId="77777777" w:rsidR="00BD7507" w:rsidRDefault="00BD7507" w:rsidP="00214B0D"/>
                  </w:txbxContent>
                </v:textbox>
              </v:shape>
            </w:pict>
          </mc:Fallback>
        </mc:AlternateContent>
      </w:r>
    </w:p>
    <w:p w14:paraId="5B314262" w14:textId="77777777" w:rsidR="00214B0D" w:rsidRDefault="00214B0D" w:rsidP="00214B0D">
      <w:pPr>
        <w:jc w:val="right"/>
        <w:rPr>
          <w:b/>
          <w:color w:val="660066"/>
          <w:sz w:val="36"/>
          <w:szCs w:val="36"/>
        </w:rPr>
      </w:pPr>
    </w:p>
    <w:p w14:paraId="0BCC81F2" w14:textId="77777777" w:rsidR="00214B0D" w:rsidRDefault="00214B0D" w:rsidP="00214B0D">
      <w:pPr>
        <w:jc w:val="right"/>
        <w:rPr>
          <w:b/>
          <w:color w:val="660066"/>
          <w:sz w:val="36"/>
          <w:szCs w:val="36"/>
        </w:rPr>
      </w:pPr>
    </w:p>
    <w:p w14:paraId="3FA1DA4F" w14:textId="77777777" w:rsidR="00214B0D" w:rsidRDefault="00214B0D" w:rsidP="00214B0D">
      <w:pPr>
        <w:spacing w:after="0" w:line="240" w:lineRule="auto"/>
        <w:jc w:val="right"/>
        <w:rPr>
          <w:b/>
          <w:color w:val="660066"/>
          <w:sz w:val="36"/>
          <w:szCs w:val="36"/>
        </w:rPr>
      </w:pPr>
      <w:r w:rsidRPr="000B22AB">
        <w:rPr>
          <w:b/>
          <w:color w:val="660066"/>
          <w:sz w:val="36"/>
          <w:szCs w:val="36"/>
        </w:rPr>
        <w:t xml:space="preserve">Section </w:t>
      </w:r>
      <w:r>
        <w:rPr>
          <w:b/>
          <w:color w:val="660066"/>
          <w:sz w:val="36"/>
          <w:szCs w:val="36"/>
        </w:rPr>
        <w:t>5</w:t>
      </w:r>
      <w:r w:rsidRPr="00250BFF">
        <w:rPr>
          <w:b/>
          <w:color w:val="FFFFFF" w:themeColor="background1"/>
          <w:sz w:val="36"/>
          <w:szCs w:val="36"/>
        </w:rPr>
        <w:t>1</w:t>
      </w:r>
    </w:p>
    <w:p w14:paraId="3F40E7C9" w14:textId="77777777" w:rsidR="00214B0D" w:rsidRPr="000B22AB" w:rsidRDefault="00214B0D" w:rsidP="00214B0D">
      <w:pPr>
        <w:spacing w:after="0" w:line="240" w:lineRule="auto"/>
        <w:jc w:val="right"/>
        <w:rPr>
          <w:b/>
          <w:color w:val="660066"/>
          <w:sz w:val="36"/>
          <w:szCs w:val="36"/>
        </w:rPr>
      </w:pPr>
      <w:r>
        <w:rPr>
          <w:b/>
          <w:color w:val="660066"/>
          <w:sz w:val="36"/>
          <w:szCs w:val="36"/>
        </w:rPr>
        <w:t xml:space="preserve"> </w:t>
      </w:r>
    </w:p>
    <w:p w14:paraId="3808D0C1" w14:textId="77777777" w:rsidR="00D629DB" w:rsidRDefault="00214B0D" w:rsidP="00214B0D">
      <w:pPr>
        <w:pStyle w:val="Title"/>
        <w:rPr>
          <w:lang w:val="en-AU"/>
        </w:rPr>
      </w:pPr>
      <w:r w:rsidRPr="00214B0D">
        <w:rPr>
          <w:lang w:val="en-AU"/>
        </w:rPr>
        <w:t>Gender analysis template</w:t>
      </w:r>
    </w:p>
    <w:p w14:paraId="453D4192" w14:textId="77777777" w:rsidR="00D629DB" w:rsidRDefault="00D629DB">
      <w:pPr>
        <w:spacing w:after="0" w:line="240" w:lineRule="auto"/>
        <w:jc w:val="left"/>
        <w:rPr>
          <w:color w:val="660066"/>
          <w:sz w:val="56"/>
          <w:szCs w:val="56"/>
          <w:lang w:val="en-AU"/>
        </w:rPr>
      </w:pPr>
      <w:r>
        <w:rPr>
          <w:lang w:val="en-AU"/>
        </w:rPr>
        <w:br w:type="page"/>
      </w:r>
    </w:p>
    <w:p w14:paraId="6CCE647E" w14:textId="6333C972" w:rsidR="000B6BAE" w:rsidRPr="00A33FFF" w:rsidRDefault="000B6BAE" w:rsidP="000B6BAE">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240" w:line="240" w:lineRule="auto"/>
        <w:jc w:val="left"/>
        <w:rPr>
          <w:rFonts w:eastAsia="Malgun Gothic" w:cs="Arial"/>
          <w:color w:val="385623"/>
          <w:szCs w:val="22"/>
          <w:lang w:val="en-AU" w:eastAsia="ko-KR"/>
        </w:rPr>
      </w:pPr>
      <w:r>
        <w:rPr>
          <w:rFonts w:ascii="Calibri" w:eastAsia="Malgun Gothic" w:hAnsi="Calibri" w:cs="Times New Roman"/>
          <w:b/>
          <w:color w:val="385623"/>
          <w:sz w:val="36"/>
          <w:szCs w:val="36"/>
          <w:lang w:val="en-AU" w:eastAsia="ko-KR"/>
        </w:rPr>
        <w:lastRenderedPageBreak/>
        <w:t xml:space="preserve">The gender analysis framework              </w:t>
      </w:r>
      <w:r>
        <w:rPr>
          <w:rFonts w:ascii="Calibri" w:eastAsia="Malgun Gothic" w:hAnsi="Calibri" w:cs="Times New Roman"/>
          <w:b/>
          <w:noProof/>
          <w:color w:val="385623"/>
          <w:sz w:val="40"/>
          <w:szCs w:val="40"/>
          <w:lang w:val="en-AU" w:eastAsia="ko-KR"/>
        </w:rPr>
        <w:drawing>
          <wp:inline distT="0" distB="0" distL="0" distR="0" wp14:anchorId="44F239A6" wp14:editId="1B9A6328">
            <wp:extent cx="871855" cy="871855"/>
            <wp:effectExtent l="0" t="0" r="4445" b="444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pic:spPr>
                </pic:pic>
              </a:graphicData>
            </a:graphic>
          </wp:inline>
        </w:drawing>
      </w:r>
    </w:p>
    <w:p w14:paraId="69F7E93F" w14:textId="77777777" w:rsidR="000B6BAE" w:rsidRPr="000B6BAE" w:rsidRDefault="000B6BAE" w:rsidP="000B6BAE">
      <w:pPr>
        <w:spacing w:before="100" w:beforeAutospacing="1" w:after="100" w:afterAutospacing="1" w:line="240" w:lineRule="auto"/>
        <w:jc w:val="left"/>
        <w:rPr>
          <w:rFonts w:ascii="Calibri" w:eastAsia="Malgun Gothic" w:hAnsi="Calibri" w:cs="Times New Roman"/>
          <w:szCs w:val="22"/>
          <w:lang w:val="en-AU" w:eastAsia="ko-KR"/>
        </w:rPr>
      </w:pPr>
      <w:r w:rsidRPr="000B6BAE">
        <w:rPr>
          <w:rFonts w:ascii="Calibri" w:eastAsia="Malgun Gothic" w:hAnsi="Calibri" w:cs="Times New Roman"/>
          <w:szCs w:val="22"/>
          <w:lang w:val="en-AU" w:eastAsia="ko-KR"/>
        </w:rPr>
        <w:t>This template has been designed as a step-by-step guide to carrying out a gender analysis on a policy, program or service project. It will help you identify and assess the different impacts of your work on people of all genders and redress gender inequalities and inequities.</w:t>
      </w:r>
    </w:p>
    <w:p w14:paraId="66BC000F" w14:textId="6604C9A8" w:rsidR="000B6BAE" w:rsidRPr="000B6BAE" w:rsidRDefault="000B6BAE" w:rsidP="000B6BAE">
      <w:pPr>
        <w:spacing w:before="100" w:beforeAutospacing="1" w:after="100" w:afterAutospacing="1" w:line="240" w:lineRule="auto"/>
        <w:jc w:val="left"/>
        <w:rPr>
          <w:rFonts w:ascii="Calibri" w:eastAsia="Malgun Gothic" w:hAnsi="Calibri" w:cs="Times New Roman"/>
          <w:szCs w:val="22"/>
          <w:lang w:val="en-AU" w:eastAsia="ko-KR"/>
        </w:rPr>
      </w:pPr>
      <w:r w:rsidRPr="000B6BAE">
        <w:rPr>
          <w:rFonts w:ascii="Calibri" w:eastAsia="Malgun Gothic" w:hAnsi="Calibri" w:cs="Times New Roman"/>
          <w:szCs w:val="22"/>
          <w:lang w:val="en-AU" w:eastAsia="ko-KR"/>
        </w:rPr>
        <w:t>The template’s tasks align with the questions in the eight-stage gender analysis process in Section 3 of this Toolkit ‘How do I carry out a gender analysis?’ Please also note:</w:t>
      </w:r>
    </w:p>
    <w:p w14:paraId="555B280C" w14:textId="77777777" w:rsidR="000B6BAE" w:rsidRPr="000B6BAE" w:rsidRDefault="000B6BAE" w:rsidP="00F116AB">
      <w:pPr>
        <w:numPr>
          <w:ilvl w:val="0"/>
          <w:numId w:val="40"/>
        </w:numPr>
        <w:spacing w:before="120" w:line="240" w:lineRule="auto"/>
        <w:ind w:left="714" w:hanging="357"/>
        <w:jc w:val="left"/>
        <w:rPr>
          <w:rFonts w:ascii="Calibri" w:eastAsia="Malgun Gothic" w:hAnsi="Calibri" w:cs="Times New Roman"/>
          <w:szCs w:val="22"/>
          <w:lang w:val="en-AU" w:eastAsia="ko-KR"/>
        </w:rPr>
      </w:pPr>
      <w:r w:rsidRPr="000B6BAE">
        <w:rPr>
          <w:rFonts w:ascii="Calibri" w:eastAsia="Malgun Gothic" w:hAnsi="Calibri" w:cs="Times New Roman"/>
          <w:szCs w:val="22"/>
          <w:lang w:val="en-AU" w:eastAsia="ko-KR"/>
        </w:rPr>
        <w:t>This template is intended to complement other policy and program development tools. It does not address all issues to be considered in the formulation of policy, programs or service delivery.</w:t>
      </w:r>
    </w:p>
    <w:p w14:paraId="5E1E7D4E" w14:textId="77777777" w:rsidR="000B6BAE" w:rsidRPr="000B6BAE" w:rsidRDefault="000B6BAE" w:rsidP="00F116AB">
      <w:pPr>
        <w:numPr>
          <w:ilvl w:val="0"/>
          <w:numId w:val="40"/>
        </w:numPr>
        <w:spacing w:before="120" w:line="240" w:lineRule="auto"/>
        <w:ind w:left="714" w:hanging="357"/>
        <w:jc w:val="left"/>
        <w:rPr>
          <w:rFonts w:ascii="Times New Roman" w:hAnsi="Times New Roman"/>
          <w:lang w:val="en-AU"/>
        </w:rPr>
      </w:pPr>
      <w:r w:rsidRPr="000B6BAE">
        <w:rPr>
          <w:rFonts w:ascii="Calibri" w:eastAsia="Malgun Gothic" w:hAnsi="Calibri" w:cs="Times New Roman"/>
          <w:szCs w:val="22"/>
          <w:lang w:val="en-AU" w:eastAsia="ko-KR"/>
        </w:rPr>
        <w:t>Depending on the situation, you may not need to start from stage 1. Your work may not involve all stages. Some stages may take longer than others.</w:t>
      </w:r>
    </w:p>
    <w:p w14:paraId="59EF4139" w14:textId="77777777" w:rsidR="00D74FFE" w:rsidRPr="00D74FFE" w:rsidRDefault="000B6BAE" w:rsidP="00F116AB">
      <w:pPr>
        <w:numPr>
          <w:ilvl w:val="0"/>
          <w:numId w:val="40"/>
        </w:numPr>
        <w:spacing w:before="120" w:line="240" w:lineRule="auto"/>
        <w:ind w:left="714" w:hanging="357"/>
        <w:jc w:val="left"/>
        <w:rPr>
          <w:rFonts w:ascii="Times New Roman" w:hAnsi="Times New Roman"/>
          <w:lang w:val="en-AU"/>
        </w:rPr>
      </w:pPr>
      <w:r w:rsidRPr="000B6BAE">
        <w:rPr>
          <w:rFonts w:ascii="Calibri" w:eastAsia="Malgun Gothic" w:hAnsi="Calibri" w:cs="Times New Roman"/>
          <w:szCs w:val="22"/>
          <w:lang w:val="en-AU" w:eastAsia="ko-KR"/>
        </w:rPr>
        <w:t>The template can be modified to better suit your needs.</w:t>
      </w:r>
    </w:p>
    <w:p w14:paraId="1B08508F" w14:textId="3B8BC450" w:rsidR="00D74FFE" w:rsidRDefault="00D74FFE" w:rsidP="00D74FFE">
      <w:pPr>
        <w:spacing w:before="120" w:line="240" w:lineRule="auto"/>
        <w:jc w:val="center"/>
        <w:rPr>
          <w:lang w:val="en-AU"/>
        </w:rPr>
      </w:pPr>
      <w:r w:rsidRPr="00D74FFE">
        <w:rPr>
          <w:rFonts w:ascii="Calibri" w:eastAsia="Malgun Gothic" w:hAnsi="Calibri" w:cs="Times New Roman"/>
          <w:noProof/>
          <w:szCs w:val="22"/>
          <w:lang w:val="en-AU" w:eastAsia="ko-KR"/>
        </w:rPr>
        <w:drawing>
          <wp:anchor distT="0" distB="0" distL="114300" distR="114300" simplePos="0" relativeHeight="251708416" behindDoc="0" locked="0" layoutInCell="1" allowOverlap="1" wp14:anchorId="359F5C0F" wp14:editId="68C1D656">
            <wp:simplePos x="0" y="0"/>
            <wp:positionH relativeFrom="margin">
              <wp:posOffset>520700</wp:posOffset>
            </wp:positionH>
            <wp:positionV relativeFrom="paragraph">
              <wp:posOffset>221615</wp:posOffset>
            </wp:positionV>
            <wp:extent cx="4643120" cy="3719830"/>
            <wp:effectExtent l="0" t="0" r="5080" b="0"/>
            <wp:wrapTopAndBottom/>
            <wp:docPr id="249" name="Picture 249" descr="Policy Cycle Stages - Revised 2 -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icy Cycle Stages - Revised 2 - new"/>
                    <pic:cNvPicPr>
                      <a:picLocks noChangeAspect="1" noChangeArrowheads="1"/>
                    </pic:cNvPicPr>
                  </pic:nvPicPr>
                  <pic:blipFill>
                    <a:blip r:embed="rId4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643120" cy="3719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BB800" w14:textId="77777777" w:rsidR="00D74FFE" w:rsidRDefault="00D74FFE">
      <w:pPr>
        <w:spacing w:after="0" w:line="240" w:lineRule="auto"/>
        <w:jc w:val="left"/>
        <w:rPr>
          <w:lang w:val="en-AU"/>
        </w:rPr>
      </w:pPr>
      <w:r>
        <w:rPr>
          <w:lang w:val="en-AU"/>
        </w:rPr>
        <w:br w:type="page"/>
      </w:r>
    </w:p>
    <w:p w14:paraId="438E6C91" w14:textId="77777777" w:rsidR="00D74FFE" w:rsidRPr="00D74FFE" w:rsidRDefault="00D74FFE" w:rsidP="00D74FFE">
      <w:pPr>
        <w:spacing w:before="100" w:beforeAutospacing="1" w:after="100" w:afterAutospacing="1" w:line="240" w:lineRule="auto"/>
        <w:jc w:val="left"/>
        <w:rPr>
          <w:rFonts w:ascii="Calibri Light" w:eastAsia="Malgun Gothic" w:hAnsi="Calibri Light" w:cs="Times New Roman"/>
          <w:b/>
          <w:color w:val="385623"/>
          <w:sz w:val="40"/>
          <w:szCs w:val="40"/>
          <w:lang w:val="en-AU" w:eastAsia="ko-KR"/>
        </w:rPr>
      </w:pPr>
      <w:r w:rsidRPr="00D74FFE">
        <w:rPr>
          <w:rFonts w:ascii="Calibri Light" w:eastAsia="Malgun Gothic" w:hAnsi="Calibri Light" w:cs="Times New Roman"/>
          <w:b/>
          <w:color w:val="385623"/>
          <w:sz w:val="40"/>
          <w:szCs w:val="40"/>
          <w:lang w:val="en-AU" w:eastAsia="ko-KR"/>
        </w:rPr>
        <w:lastRenderedPageBreak/>
        <w:t>TEMPLATE: GENDER ANALYSIS FRAMEWORK</w:t>
      </w:r>
    </w:p>
    <w:tbl>
      <w:tblPr>
        <w:tblStyle w:val="TableGrid3"/>
        <w:tblW w:w="0" w:type="auto"/>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ook w:val="04A0" w:firstRow="1" w:lastRow="0" w:firstColumn="1" w:lastColumn="0" w:noHBand="0" w:noVBand="1"/>
      </w:tblPr>
      <w:tblGrid>
        <w:gridCol w:w="2696"/>
        <w:gridCol w:w="1516"/>
        <w:gridCol w:w="1053"/>
        <w:gridCol w:w="1282"/>
        <w:gridCol w:w="1022"/>
        <w:gridCol w:w="1445"/>
      </w:tblGrid>
      <w:tr w:rsidR="00D74FFE" w:rsidRPr="00D74FFE" w14:paraId="0E56AFD3" w14:textId="77777777" w:rsidTr="009C696B">
        <w:tc>
          <w:tcPr>
            <w:tcW w:w="2696" w:type="dxa"/>
            <w:tcBorders>
              <w:top w:val="single" w:sz="2" w:space="0" w:color="385623"/>
              <w:left w:val="single" w:sz="2" w:space="0" w:color="385623"/>
              <w:bottom w:val="single" w:sz="2" w:space="0" w:color="385623"/>
              <w:right w:val="single" w:sz="2" w:space="0" w:color="385623"/>
            </w:tcBorders>
          </w:tcPr>
          <w:p w14:paraId="49E7D709" w14:textId="77777777" w:rsidR="00D74FFE" w:rsidRPr="00DC03F5" w:rsidRDefault="00D74FFE" w:rsidP="00D74FFE">
            <w:pPr>
              <w:spacing w:after="0" w:line="240" w:lineRule="auto"/>
              <w:jc w:val="left"/>
              <w:rPr>
                <w:rFonts w:ascii="Calibri Light" w:eastAsia="Malgun Gothic" w:hAnsi="Calibri Light" w:cs="Times New Roman"/>
                <w:sz w:val="28"/>
                <w:szCs w:val="28"/>
              </w:rPr>
            </w:pPr>
            <w:r w:rsidRPr="00D74FFE">
              <w:rPr>
                <w:rFonts w:ascii="Calibri Light" w:eastAsia="Malgun Gothic" w:hAnsi="Calibri Light" w:cs="Times New Roman"/>
                <w:b/>
                <w:sz w:val="28"/>
                <w:szCs w:val="28"/>
              </w:rPr>
              <w:t>Project title</w:t>
            </w:r>
          </w:p>
          <w:p w14:paraId="5E313E5F" w14:textId="77777777" w:rsidR="00D74FFE" w:rsidRPr="00DC03F5" w:rsidRDefault="00D74FFE" w:rsidP="00D74FFE">
            <w:pPr>
              <w:spacing w:after="0" w:line="240" w:lineRule="auto"/>
              <w:jc w:val="left"/>
              <w:rPr>
                <w:rFonts w:ascii="Calibri" w:eastAsia="Malgun Gothic" w:hAnsi="Calibri" w:cs="Times New Roman"/>
              </w:rPr>
            </w:pPr>
          </w:p>
        </w:tc>
        <w:tc>
          <w:tcPr>
            <w:tcW w:w="6318" w:type="dxa"/>
            <w:gridSpan w:val="5"/>
            <w:tcBorders>
              <w:top w:val="single" w:sz="2" w:space="0" w:color="385623"/>
              <w:left w:val="single" w:sz="2" w:space="0" w:color="385623"/>
              <w:bottom w:val="single" w:sz="2" w:space="0" w:color="385623"/>
              <w:right w:val="single" w:sz="2" w:space="0" w:color="385623"/>
            </w:tcBorders>
          </w:tcPr>
          <w:p w14:paraId="2232B501" w14:textId="77777777" w:rsidR="00D74FFE" w:rsidRPr="00D74FFE" w:rsidRDefault="00D74FFE" w:rsidP="00D74FFE">
            <w:pPr>
              <w:spacing w:after="0" w:line="240" w:lineRule="auto"/>
              <w:jc w:val="left"/>
              <w:rPr>
                <w:rFonts w:ascii="Calibri" w:eastAsia="Malgun Gothic" w:hAnsi="Calibri" w:cs="Times New Roman"/>
              </w:rPr>
            </w:pPr>
          </w:p>
        </w:tc>
      </w:tr>
      <w:tr w:rsidR="00D74FFE" w:rsidRPr="00D74FFE" w14:paraId="73F43BBD" w14:textId="77777777" w:rsidTr="009C696B">
        <w:tc>
          <w:tcPr>
            <w:tcW w:w="2696" w:type="dxa"/>
            <w:tcBorders>
              <w:top w:val="single" w:sz="2" w:space="0" w:color="385623"/>
              <w:left w:val="single" w:sz="2" w:space="0" w:color="385623"/>
              <w:bottom w:val="single" w:sz="2" w:space="0" w:color="385623"/>
              <w:right w:val="single" w:sz="2" w:space="0" w:color="385623"/>
            </w:tcBorders>
          </w:tcPr>
          <w:p w14:paraId="2EA3D791" w14:textId="77777777" w:rsidR="00D74FFE" w:rsidRPr="00DC03F5" w:rsidRDefault="00D74FFE" w:rsidP="00D74FFE">
            <w:pPr>
              <w:spacing w:after="0" w:line="240" w:lineRule="auto"/>
              <w:jc w:val="left"/>
              <w:rPr>
                <w:rFonts w:ascii="Calibri Light" w:eastAsia="Malgun Gothic" w:hAnsi="Calibri Light" w:cs="Times New Roman"/>
                <w:sz w:val="28"/>
                <w:szCs w:val="28"/>
              </w:rPr>
            </w:pPr>
            <w:r w:rsidRPr="00D74FFE">
              <w:rPr>
                <w:rFonts w:ascii="Calibri Light" w:eastAsia="Malgun Gothic" w:hAnsi="Calibri Light" w:cs="Times New Roman"/>
                <w:b/>
                <w:sz w:val="28"/>
                <w:szCs w:val="28"/>
              </w:rPr>
              <w:t>Project overview</w:t>
            </w:r>
          </w:p>
          <w:p w14:paraId="5E91AC11" w14:textId="77777777" w:rsidR="00D74FFE" w:rsidRPr="00DC03F5" w:rsidRDefault="00D74FFE" w:rsidP="00D74FFE">
            <w:pPr>
              <w:spacing w:after="0" w:line="240" w:lineRule="auto"/>
              <w:jc w:val="left"/>
              <w:rPr>
                <w:rFonts w:ascii="Calibri" w:eastAsia="Malgun Gothic" w:hAnsi="Calibri" w:cs="Times New Roman"/>
              </w:rPr>
            </w:pPr>
          </w:p>
          <w:p w14:paraId="1582F294" w14:textId="77777777" w:rsidR="00D74FFE" w:rsidRPr="00DC03F5" w:rsidRDefault="00D74FFE" w:rsidP="00D74FFE">
            <w:pPr>
              <w:spacing w:after="0" w:line="240" w:lineRule="auto"/>
              <w:jc w:val="left"/>
              <w:rPr>
                <w:rFonts w:ascii="Calibri" w:eastAsia="Malgun Gothic" w:hAnsi="Calibri" w:cs="Times New Roman"/>
              </w:rPr>
            </w:pPr>
          </w:p>
          <w:p w14:paraId="5BA0C88B" w14:textId="77777777" w:rsidR="00D74FFE" w:rsidRPr="00D74FFE" w:rsidRDefault="00D74FFE" w:rsidP="00D74FFE">
            <w:pPr>
              <w:spacing w:after="0" w:line="240" w:lineRule="auto"/>
              <w:jc w:val="left"/>
              <w:rPr>
                <w:rFonts w:ascii="Calibri" w:eastAsia="Malgun Gothic" w:hAnsi="Calibri" w:cs="Times New Roman"/>
                <w:b/>
              </w:rPr>
            </w:pPr>
          </w:p>
        </w:tc>
        <w:tc>
          <w:tcPr>
            <w:tcW w:w="6318" w:type="dxa"/>
            <w:gridSpan w:val="5"/>
            <w:tcBorders>
              <w:top w:val="single" w:sz="2" w:space="0" w:color="385623"/>
              <w:left w:val="single" w:sz="2" w:space="0" w:color="385623"/>
              <w:bottom w:val="single" w:sz="2" w:space="0" w:color="385623"/>
              <w:right w:val="single" w:sz="2" w:space="0" w:color="385623"/>
            </w:tcBorders>
          </w:tcPr>
          <w:p w14:paraId="423A5FDA" w14:textId="77777777" w:rsidR="00D74FFE" w:rsidRPr="00D74FFE" w:rsidRDefault="00D74FFE" w:rsidP="00D74FFE">
            <w:pPr>
              <w:spacing w:after="0" w:line="240" w:lineRule="auto"/>
              <w:jc w:val="left"/>
              <w:rPr>
                <w:rFonts w:ascii="Calibri" w:eastAsia="Malgun Gothic" w:hAnsi="Calibri" w:cs="Times New Roman"/>
              </w:rPr>
            </w:pPr>
          </w:p>
          <w:p w14:paraId="547C027D" w14:textId="77777777" w:rsidR="00D74FFE" w:rsidRPr="00D74FFE" w:rsidRDefault="00D74FFE" w:rsidP="00D74FFE">
            <w:pPr>
              <w:spacing w:after="0" w:line="240" w:lineRule="auto"/>
              <w:jc w:val="left"/>
              <w:rPr>
                <w:rFonts w:ascii="Calibri" w:eastAsia="Malgun Gothic" w:hAnsi="Calibri" w:cs="Times New Roman"/>
              </w:rPr>
            </w:pPr>
          </w:p>
          <w:p w14:paraId="34785C83" w14:textId="77777777" w:rsidR="00D74FFE" w:rsidRPr="00D74FFE" w:rsidRDefault="00D74FFE" w:rsidP="00D74FFE">
            <w:pPr>
              <w:spacing w:after="0" w:line="240" w:lineRule="auto"/>
              <w:jc w:val="left"/>
              <w:rPr>
                <w:rFonts w:ascii="Calibri" w:eastAsia="Malgun Gothic" w:hAnsi="Calibri" w:cs="Times New Roman"/>
              </w:rPr>
            </w:pPr>
          </w:p>
          <w:p w14:paraId="0881E509" w14:textId="77777777" w:rsidR="00D74FFE" w:rsidRDefault="00D74FFE" w:rsidP="00D74FFE">
            <w:pPr>
              <w:spacing w:after="0" w:line="240" w:lineRule="auto"/>
              <w:jc w:val="left"/>
              <w:rPr>
                <w:rFonts w:ascii="Calibri" w:eastAsia="Malgun Gothic" w:hAnsi="Calibri" w:cs="Times New Roman"/>
              </w:rPr>
            </w:pPr>
          </w:p>
          <w:p w14:paraId="0BCA3164" w14:textId="77777777" w:rsidR="00D7570E" w:rsidRDefault="00D7570E" w:rsidP="00D74FFE">
            <w:pPr>
              <w:spacing w:after="0" w:line="240" w:lineRule="auto"/>
              <w:jc w:val="left"/>
              <w:rPr>
                <w:rFonts w:ascii="Calibri" w:eastAsia="Malgun Gothic" w:hAnsi="Calibri" w:cs="Times New Roman"/>
              </w:rPr>
            </w:pPr>
          </w:p>
          <w:p w14:paraId="4CC4F510" w14:textId="77777777" w:rsidR="000C2B65" w:rsidRDefault="000C2B65" w:rsidP="00D74FFE">
            <w:pPr>
              <w:spacing w:after="0" w:line="240" w:lineRule="auto"/>
              <w:jc w:val="left"/>
              <w:rPr>
                <w:rFonts w:ascii="Calibri" w:eastAsia="Malgun Gothic" w:hAnsi="Calibri" w:cs="Times New Roman"/>
              </w:rPr>
            </w:pPr>
          </w:p>
          <w:p w14:paraId="045739E6" w14:textId="77777777" w:rsidR="005E28AA" w:rsidRDefault="005E28AA" w:rsidP="00D74FFE">
            <w:pPr>
              <w:spacing w:after="0" w:line="240" w:lineRule="auto"/>
              <w:jc w:val="left"/>
              <w:rPr>
                <w:rFonts w:ascii="Calibri" w:eastAsia="Malgun Gothic" w:hAnsi="Calibri" w:cs="Times New Roman"/>
              </w:rPr>
            </w:pPr>
          </w:p>
          <w:p w14:paraId="32251C51" w14:textId="77777777" w:rsidR="009C696B" w:rsidRPr="00D74FFE" w:rsidRDefault="009C696B" w:rsidP="00D74FFE">
            <w:pPr>
              <w:spacing w:after="0" w:line="240" w:lineRule="auto"/>
              <w:jc w:val="left"/>
              <w:rPr>
                <w:rFonts w:ascii="Calibri" w:eastAsia="Malgun Gothic" w:hAnsi="Calibri" w:cs="Times New Roman"/>
              </w:rPr>
            </w:pPr>
          </w:p>
          <w:p w14:paraId="7A3C3CC5" w14:textId="77777777" w:rsidR="00D74FFE" w:rsidRPr="00D74FFE" w:rsidRDefault="00D74FFE" w:rsidP="00D74FFE">
            <w:pPr>
              <w:spacing w:after="0" w:line="240" w:lineRule="auto"/>
              <w:jc w:val="left"/>
              <w:rPr>
                <w:rFonts w:ascii="Calibri" w:eastAsia="Malgun Gothic" w:hAnsi="Calibri" w:cs="Times New Roman"/>
              </w:rPr>
            </w:pPr>
          </w:p>
        </w:tc>
      </w:tr>
      <w:tr w:rsidR="00D74FFE" w:rsidRPr="00D74FFE" w14:paraId="772775A3"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4" w:type="dxa"/>
            <w:gridSpan w:val="6"/>
            <w:tcBorders>
              <w:top w:val="single" w:sz="2" w:space="0" w:color="385623"/>
              <w:bottom w:val="single" w:sz="4" w:space="0" w:color="auto"/>
            </w:tcBorders>
            <w:shd w:val="clear" w:color="auto" w:fill="385623"/>
          </w:tcPr>
          <w:p w14:paraId="7BA4AA55" w14:textId="77777777" w:rsidR="00D74FFE" w:rsidRPr="00D74FFE" w:rsidRDefault="00D74FFE" w:rsidP="00D74FFE">
            <w:pPr>
              <w:spacing w:before="120" w:line="240" w:lineRule="auto"/>
              <w:jc w:val="center"/>
              <w:rPr>
                <w:rFonts w:ascii="Calibri Light" w:eastAsia="Malgun Gothic" w:hAnsi="Calibri Light" w:cs="Times New Roman"/>
                <w:b/>
                <w:color w:val="FFFFFF"/>
                <w:sz w:val="28"/>
                <w:szCs w:val="28"/>
              </w:rPr>
            </w:pPr>
            <w:r w:rsidRPr="00D74FFE">
              <w:rPr>
                <w:rFonts w:ascii="Calibri Light" w:eastAsia="Malgun Gothic" w:hAnsi="Calibri Light" w:cs="Times New Roman"/>
                <w:b/>
                <w:color w:val="FFFFFF"/>
                <w:sz w:val="28"/>
                <w:szCs w:val="28"/>
              </w:rPr>
              <w:t>STAGE 1: IDENTIFYING ISSUES</w:t>
            </w:r>
          </w:p>
        </w:tc>
      </w:tr>
      <w:tr w:rsidR="00D74FFE" w:rsidRPr="00D74FFE" w14:paraId="0E43EF3A"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4" w:type="dxa"/>
            <w:gridSpan w:val="6"/>
          </w:tcPr>
          <w:p w14:paraId="3FD8EAAC" w14:textId="77777777" w:rsidR="00D74FFE" w:rsidRPr="00D74FFE" w:rsidRDefault="00D74FFE" w:rsidP="00D74FFE">
            <w:pPr>
              <w:spacing w:before="120" w:line="240" w:lineRule="auto"/>
              <w:jc w:val="left"/>
              <w:rPr>
                <w:rFonts w:ascii="Calibri" w:eastAsia="Malgun Gothic" w:hAnsi="Calibri" w:cs="Times New Roman"/>
              </w:rPr>
            </w:pPr>
            <w:r w:rsidRPr="00D74FFE">
              <w:rPr>
                <w:rFonts w:ascii="Calibri" w:eastAsia="Malgun Gothic" w:hAnsi="Calibri" w:cs="Times New Roman"/>
              </w:rPr>
              <w:t xml:space="preserve">This stage provides an opportunity to explore the issues and impacts associated with the development of your project. The nature and scope of the project should be fully considered. </w:t>
            </w:r>
          </w:p>
          <w:p w14:paraId="7FAF9715" w14:textId="77777777" w:rsidR="00D74FFE" w:rsidRPr="00D74FFE" w:rsidRDefault="00D74FFE" w:rsidP="00D7570E">
            <w:pPr>
              <w:shd w:val="clear" w:color="auto" w:fill="EFF6EA"/>
              <w:spacing w:after="100" w:line="240" w:lineRule="auto"/>
              <w:ind w:left="1003" w:right="283" w:hanging="720"/>
              <w:jc w:val="left"/>
              <w:rPr>
                <w:rFonts w:ascii="Calibri" w:eastAsia="Malgun Gothic" w:hAnsi="Calibri" w:cs="Times New Roman"/>
              </w:rPr>
            </w:pPr>
            <w:r w:rsidRPr="00D74FFE">
              <w:rPr>
                <w:rFonts w:ascii="Calibri" w:eastAsia="Malgun Gothic" w:hAnsi="Calibri" w:cs="Times New Roman"/>
                <w:b/>
              </w:rPr>
              <w:t>Note</w:t>
            </w:r>
            <w:r w:rsidRPr="00D74FFE">
              <w:rPr>
                <w:rFonts w:ascii="Calibri" w:eastAsia="Malgun Gothic" w:hAnsi="Calibri" w:cs="Times New Roman"/>
              </w:rPr>
              <w:t>:    Gender issues may be central to the project in question, or less clear. During the definition stage, don’t assume any project is gender neutral.</w:t>
            </w:r>
          </w:p>
        </w:tc>
      </w:tr>
      <w:tr w:rsidR="00D7570E" w:rsidRPr="00D74FFE" w14:paraId="09A8FBE2"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Borders>
              <w:bottom w:val="single" w:sz="4" w:space="0" w:color="auto"/>
            </w:tcBorders>
            <w:shd w:val="clear" w:color="auto" w:fill="F2F2F2"/>
          </w:tcPr>
          <w:p w14:paraId="5F3D3B71" w14:textId="77777777" w:rsidR="00D74FFE" w:rsidRPr="00D74FFE" w:rsidRDefault="00D74FFE" w:rsidP="00D74FFE">
            <w:pPr>
              <w:spacing w:after="100" w:line="240" w:lineRule="auto"/>
              <w:jc w:val="center"/>
              <w:rPr>
                <w:rFonts w:ascii="Calibri" w:eastAsia="Malgun Gothic" w:hAnsi="Calibri" w:cs="Times New Roman"/>
              </w:rPr>
            </w:pPr>
            <w:r w:rsidRPr="00D74FFE">
              <w:rPr>
                <w:rFonts w:ascii="Calibri" w:eastAsia="Malgun Gothic" w:hAnsi="Calibri" w:cs="Times New Roman"/>
              </w:rPr>
              <w:t>ISSUES/QUESTIONS TO CONSIDER</w:t>
            </w:r>
          </w:p>
        </w:tc>
        <w:tc>
          <w:tcPr>
            <w:tcW w:w="3357" w:type="dxa"/>
            <w:gridSpan w:val="3"/>
            <w:tcBorders>
              <w:bottom w:val="single" w:sz="4" w:space="0" w:color="auto"/>
            </w:tcBorders>
            <w:shd w:val="clear" w:color="auto" w:fill="F2F2F2"/>
          </w:tcPr>
          <w:p w14:paraId="4B1E40CE" w14:textId="77777777" w:rsidR="00D74FFE" w:rsidRPr="00D74FFE" w:rsidRDefault="00D74FFE" w:rsidP="00D74FFE">
            <w:pPr>
              <w:spacing w:after="100" w:line="240" w:lineRule="auto"/>
              <w:jc w:val="center"/>
              <w:rPr>
                <w:rFonts w:ascii="Calibri" w:eastAsia="Malgun Gothic" w:hAnsi="Calibri" w:cs="Times New Roman"/>
              </w:rPr>
            </w:pPr>
            <w:r w:rsidRPr="00D74FFE">
              <w:rPr>
                <w:rFonts w:ascii="Calibri" w:eastAsia="Malgun Gothic" w:hAnsi="Calibri" w:cs="Times New Roman"/>
              </w:rPr>
              <w:t>ACTIONS</w:t>
            </w:r>
          </w:p>
        </w:tc>
        <w:tc>
          <w:tcPr>
            <w:tcW w:w="1445" w:type="dxa"/>
            <w:tcBorders>
              <w:bottom w:val="single" w:sz="4" w:space="0" w:color="auto"/>
            </w:tcBorders>
            <w:shd w:val="clear" w:color="auto" w:fill="F2F2F2"/>
          </w:tcPr>
          <w:p w14:paraId="62A9081C" w14:textId="77777777" w:rsidR="00D74FFE" w:rsidRPr="00D74FFE" w:rsidRDefault="00D74FFE" w:rsidP="00D74FFE">
            <w:pPr>
              <w:spacing w:after="100" w:line="240" w:lineRule="auto"/>
              <w:jc w:val="center"/>
              <w:rPr>
                <w:rFonts w:ascii="Calibri" w:eastAsia="Malgun Gothic" w:hAnsi="Calibri" w:cs="Times New Roman"/>
              </w:rPr>
            </w:pPr>
            <w:r w:rsidRPr="00D74FFE">
              <w:rPr>
                <w:rFonts w:ascii="Calibri" w:eastAsia="Malgun Gothic" w:hAnsi="Calibri" w:cs="Times New Roman"/>
              </w:rPr>
              <w:t>COMPLETION</w:t>
            </w:r>
          </w:p>
        </w:tc>
      </w:tr>
      <w:tr w:rsidR="00D74FFE" w:rsidRPr="00D74FFE" w14:paraId="30F660D5"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Borders>
              <w:left w:val="single" w:sz="4" w:space="0" w:color="auto"/>
              <w:right w:val="single" w:sz="4" w:space="0" w:color="5A5098"/>
            </w:tcBorders>
          </w:tcPr>
          <w:p w14:paraId="32D3BB2F" w14:textId="77777777" w:rsidR="00D74FFE" w:rsidRPr="00D74FFE" w:rsidRDefault="00D74FFE" w:rsidP="00D74FFE">
            <w:pPr>
              <w:spacing w:line="240" w:lineRule="auto"/>
              <w:ind w:left="680" w:hanging="680"/>
              <w:jc w:val="left"/>
              <w:rPr>
                <w:rFonts w:ascii="Calibri" w:eastAsia="Malgun Gothic" w:hAnsi="Calibri" w:cs="Times New Roman"/>
                <w:b/>
                <w:i/>
              </w:rPr>
            </w:pPr>
            <w:r w:rsidRPr="00D74FFE">
              <w:rPr>
                <w:rFonts w:ascii="Calibri" w:eastAsia="Malgun Gothic" w:hAnsi="Calibri" w:cs="Times New Roman"/>
                <w:b/>
                <w:i/>
              </w:rPr>
              <w:t>Task 1</w:t>
            </w:r>
            <w:r w:rsidRPr="00D74FFE">
              <w:rPr>
                <w:rFonts w:ascii="Calibri" w:eastAsia="Malgun Gothic" w:hAnsi="Calibri" w:cs="Times New Roman"/>
              </w:rPr>
              <w:t>: Will the policy, program or service affect women, men or gender diverse people in different ways? If yes, how might sub-groups of these populations be affected, such as the elderly or those with a disability?</w:t>
            </w:r>
          </w:p>
        </w:tc>
        <w:tc>
          <w:tcPr>
            <w:tcW w:w="3357" w:type="dxa"/>
            <w:gridSpan w:val="3"/>
          </w:tcPr>
          <w:p w14:paraId="7FC0C8BF" w14:textId="77777777" w:rsidR="00D74FFE" w:rsidRPr="00D74FFE" w:rsidRDefault="00D74FFE" w:rsidP="00F116AB">
            <w:pPr>
              <w:numPr>
                <w:ilvl w:val="0"/>
                <w:numId w:val="41"/>
              </w:numPr>
              <w:spacing w:after="0" w:line="240" w:lineRule="auto"/>
              <w:contextualSpacing/>
              <w:jc w:val="left"/>
              <w:rPr>
                <w:rFonts w:ascii="Calibri" w:eastAsia="Malgun Gothic" w:hAnsi="Calibri" w:cs="Times New Roman"/>
              </w:rPr>
            </w:pPr>
          </w:p>
          <w:p w14:paraId="7A15AF0D" w14:textId="77777777" w:rsidR="00751629" w:rsidRPr="00751629" w:rsidRDefault="00751629" w:rsidP="00F116AB">
            <w:pPr>
              <w:numPr>
                <w:ilvl w:val="0"/>
                <w:numId w:val="41"/>
              </w:numPr>
              <w:spacing w:after="0" w:line="240" w:lineRule="auto"/>
              <w:contextualSpacing/>
              <w:jc w:val="left"/>
              <w:rPr>
                <w:rFonts w:ascii="Calibri" w:eastAsia="Malgun Gothic" w:hAnsi="Calibri" w:cs="Times New Roman"/>
              </w:rPr>
            </w:pPr>
          </w:p>
          <w:p w14:paraId="2CE982DB" w14:textId="77777777" w:rsidR="00751629" w:rsidRPr="00751629" w:rsidRDefault="00751629" w:rsidP="00F116AB">
            <w:pPr>
              <w:numPr>
                <w:ilvl w:val="0"/>
                <w:numId w:val="41"/>
              </w:numPr>
              <w:spacing w:after="0" w:line="240" w:lineRule="auto"/>
              <w:contextualSpacing/>
              <w:jc w:val="left"/>
              <w:rPr>
                <w:rFonts w:ascii="Calibri" w:eastAsia="Malgun Gothic" w:hAnsi="Calibri" w:cs="Times New Roman"/>
              </w:rPr>
            </w:pPr>
          </w:p>
          <w:p w14:paraId="4C2D7547" w14:textId="77777777" w:rsidR="00751629" w:rsidRPr="00751629" w:rsidRDefault="00751629" w:rsidP="00F116AB">
            <w:pPr>
              <w:numPr>
                <w:ilvl w:val="0"/>
                <w:numId w:val="41"/>
              </w:numPr>
              <w:spacing w:after="0" w:line="240" w:lineRule="auto"/>
              <w:contextualSpacing/>
              <w:jc w:val="left"/>
              <w:rPr>
                <w:rFonts w:ascii="Calibri" w:eastAsia="Malgun Gothic" w:hAnsi="Calibri" w:cs="Times New Roman"/>
              </w:rPr>
            </w:pPr>
          </w:p>
          <w:p w14:paraId="06F90F92" w14:textId="77777777" w:rsidR="00751629" w:rsidRPr="00751629" w:rsidRDefault="00751629" w:rsidP="00F116AB">
            <w:pPr>
              <w:numPr>
                <w:ilvl w:val="0"/>
                <w:numId w:val="41"/>
              </w:numPr>
              <w:spacing w:after="0" w:line="240" w:lineRule="auto"/>
              <w:contextualSpacing/>
              <w:jc w:val="left"/>
              <w:rPr>
                <w:rFonts w:ascii="Calibri" w:eastAsia="Malgun Gothic" w:hAnsi="Calibri" w:cs="Times New Roman"/>
              </w:rPr>
            </w:pPr>
          </w:p>
          <w:p w14:paraId="57E065B4" w14:textId="77777777" w:rsidR="009C696B" w:rsidRPr="00751629" w:rsidRDefault="009C696B" w:rsidP="009C696B">
            <w:pPr>
              <w:numPr>
                <w:ilvl w:val="0"/>
                <w:numId w:val="41"/>
              </w:numPr>
              <w:spacing w:after="0" w:line="240" w:lineRule="auto"/>
              <w:contextualSpacing/>
              <w:jc w:val="left"/>
              <w:rPr>
                <w:rFonts w:ascii="Calibri" w:eastAsia="Malgun Gothic" w:hAnsi="Calibri" w:cs="Times New Roman"/>
              </w:rPr>
            </w:pPr>
          </w:p>
          <w:p w14:paraId="3CAD85D4" w14:textId="77777777" w:rsidR="009C696B" w:rsidRPr="00751629" w:rsidRDefault="009C696B" w:rsidP="009C696B">
            <w:pPr>
              <w:numPr>
                <w:ilvl w:val="0"/>
                <w:numId w:val="41"/>
              </w:numPr>
              <w:spacing w:after="0" w:line="240" w:lineRule="auto"/>
              <w:contextualSpacing/>
              <w:jc w:val="left"/>
              <w:rPr>
                <w:rFonts w:ascii="Calibri" w:eastAsia="Malgun Gothic" w:hAnsi="Calibri" w:cs="Times New Roman"/>
              </w:rPr>
            </w:pPr>
          </w:p>
          <w:p w14:paraId="338328F9" w14:textId="77777777" w:rsidR="00D74FFE" w:rsidRPr="009C696B" w:rsidRDefault="00D74FFE" w:rsidP="009C696B">
            <w:pPr>
              <w:numPr>
                <w:ilvl w:val="0"/>
                <w:numId w:val="41"/>
              </w:numPr>
              <w:spacing w:after="0" w:line="240" w:lineRule="auto"/>
              <w:contextualSpacing/>
              <w:jc w:val="left"/>
              <w:rPr>
                <w:rFonts w:ascii="Calibri" w:eastAsia="Malgun Gothic" w:hAnsi="Calibri" w:cs="Times New Roman"/>
              </w:rPr>
            </w:pPr>
          </w:p>
          <w:p w14:paraId="21E23CF4" w14:textId="77777777" w:rsidR="00751629" w:rsidRPr="00D74FFE" w:rsidRDefault="00751629" w:rsidP="00751629">
            <w:pPr>
              <w:spacing w:after="0" w:line="240" w:lineRule="auto"/>
              <w:contextualSpacing/>
              <w:jc w:val="left"/>
              <w:rPr>
                <w:rFonts w:ascii="Calibri" w:eastAsia="Malgun Gothic" w:hAnsi="Calibri" w:cs="Times New Roman"/>
              </w:rPr>
            </w:pPr>
          </w:p>
        </w:tc>
        <w:tc>
          <w:tcPr>
            <w:tcW w:w="1445" w:type="dxa"/>
          </w:tcPr>
          <w:p w14:paraId="7F490FF7"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25074EA6"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Borders>
              <w:left w:val="single" w:sz="4" w:space="0" w:color="auto"/>
              <w:right w:val="single" w:sz="4" w:space="0" w:color="5A5098"/>
            </w:tcBorders>
          </w:tcPr>
          <w:p w14:paraId="76ED86A5" w14:textId="77777777" w:rsidR="00D74FFE" w:rsidRPr="00D74FFE" w:rsidRDefault="00D74FFE" w:rsidP="00D74FFE">
            <w:pPr>
              <w:spacing w:line="240" w:lineRule="auto"/>
              <w:ind w:left="680" w:hanging="680"/>
              <w:jc w:val="left"/>
              <w:rPr>
                <w:rFonts w:ascii="Calibri" w:eastAsia="Malgun Gothic" w:hAnsi="Calibri" w:cs="Times New Roman"/>
              </w:rPr>
            </w:pPr>
            <w:r w:rsidRPr="00D74FFE">
              <w:rPr>
                <w:rFonts w:ascii="Calibri" w:eastAsia="Malgun Gothic" w:hAnsi="Calibri" w:cs="Times New Roman"/>
                <w:b/>
                <w:i/>
              </w:rPr>
              <w:t>Task 2</w:t>
            </w:r>
            <w:r w:rsidRPr="00D74FFE">
              <w:rPr>
                <w:rFonts w:ascii="Calibri" w:eastAsia="Malgun Gothic" w:hAnsi="Calibri" w:cs="Times New Roman"/>
              </w:rPr>
              <w:t>: Might certain genders be unintentionally excluded from this policy, program or service?</w:t>
            </w:r>
          </w:p>
        </w:tc>
        <w:tc>
          <w:tcPr>
            <w:tcW w:w="3357" w:type="dxa"/>
            <w:gridSpan w:val="3"/>
          </w:tcPr>
          <w:p w14:paraId="365233CF" w14:textId="77777777" w:rsidR="00D7570E" w:rsidRPr="00D74FFE" w:rsidRDefault="00D7570E" w:rsidP="00F116AB">
            <w:pPr>
              <w:numPr>
                <w:ilvl w:val="0"/>
                <w:numId w:val="41"/>
              </w:numPr>
              <w:spacing w:after="0" w:line="240" w:lineRule="auto"/>
              <w:contextualSpacing/>
              <w:jc w:val="left"/>
              <w:rPr>
                <w:rFonts w:ascii="Calibri" w:eastAsia="Malgun Gothic" w:hAnsi="Calibri" w:cs="Times New Roman"/>
              </w:rPr>
            </w:pPr>
          </w:p>
          <w:p w14:paraId="54BC1DBA" w14:textId="77777777" w:rsidR="009C696B" w:rsidRPr="00751629" w:rsidRDefault="009C696B" w:rsidP="009C696B">
            <w:pPr>
              <w:numPr>
                <w:ilvl w:val="0"/>
                <w:numId w:val="41"/>
              </w:numPr>
              <w:spacing w:after="0" w:line="240" w:lineRule="auto"/>
              <w:contextualSpacing/>
              <w:jc w:val="left"/>
              <w:rPr>
                <w:rFonts w:ascii="Calibri" w:eastAsia="Malgun Gothic" w:hAnsi="Calibri" w:cs="Times New Roman"/>
              </w:rPr>
            </w:pPr>
          </w:p>
          <w:p w14:paraId="4FCD3B4A" w14:textId="77777777" w:rsidR="009C696B" w:rsidRPr="00751629" w:rsidRDefault="009C696B" w:rsidP="009C696B">
            <w:pPr>
              <w:numPr>
                <w:ilvl w:val="0"/>
                <w:numId w:val="41"/>
              </w:numPr>
              <w:spacing w:after="0" w:line="240" w:lineRule="auto"/>
              <w:contextualSpacing/>
              <w:jc w:val="left"/>
              <w:rPr>
                <w:rFonts w:ascii="Calibri" w:eastAsia="Malgun Gothic" w:hAnsi="Calibri" w:cs="Times New Roman"/>
              </w:rPr>
            </w:pPr>
          </w:p>
          <w:p w14:paraId="45F4DA9A" w14:textId="77777777" w:rsidR="00D74FFE" w:rsidRPr="009C696B" w:rsidRDefault="00D74FFE" w:rsidP="00D7570E">
            <w:pPr>
              <w:numPr>
                <w:ilvl w:val="0"/>
                <w:numId w:val="41"/>
              </w:numPr>
              <w:spacing w:after="100" w:line="240" w:lineRule="auto"/>
              <w:jc w:val="left"/>
              <w:rPr>
                <w:rFonts w:ascii="Calibri" w:eastAsia="Malgun Gothic" w:hAnsi="Calibri" w:cs="Times New Roman"/>
              </w:rPr>
            </w:pPr>
          </w:p>
        </w:tc>
        <w:tc>
          <w:tcPr>
            <w:tcW w:w="1445" w:type="dxa"/>
          </w:tcPr>
          <w:p w14:paraId="5D7322B4"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101707C5"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Borders>
              <w:left w:val="single" w:sz="4" w:space="0" w:color="auto"/>
              <w:right w:val="single" w:sz="4" w:space="0" w:color="5A5098"/>
            </w:tcBorders>
          </w:tcPr>
          <w:p w14:paraId="2461086E" w14:textId="77777777" w:rsidR="00D74FFE" w:rsidRPr="00D74FFE" w:rsidRDefault="00D74FFE" w:rsidP="00D74FFE">
            <w:pPr>
              <w:spacing w:line="240" w:lineRule="auto"/>
              <w:ind w:left="680" w:hanging="680"/>
              <w:jc w:val="left"/>
              <w:rPr>
                <w:rFonts w:ascii="Calibri" w:eastAsia="Malgun Gothic" w:hAnsi="Calibri" w:cs="Times New Roman"/>
              </w:rPr>
            </w:pPr>
            <w:r w:rsidRPr="00D74FFE">
              <w:rPr>
                <w:rFonts w:ascii="Calibri" w:eastAsia="Malgun Gothic" w:hAnsi="Calibri" w:cs="Times New Roman"/>
                <w:b/>
                <w:i/>
              </w:rPr>
              <w:t>Task 3</w:t>
            </w:r>
            <w:r w:rsidRPr="00D74FFE">
              <w:rPr>
                <w:rFonts w:ascii="Calibri" w:eastAsia="Malgun Gothic" w:hAnsi="Calibri" w:cs="Times New Roman"/>
              </w:rPr>
              <w:t>: What don’t we know about the issues and impacts on women, men or people who are gender diverse?</w:t>
            </w:r>
          </w:p>
        </w:tc>
        <w:tc>
          <w:tcPr>
            <w:tcW w:w="3357" w:type="dxa"/>
            <w:gridSpan w:val="3"/>
          </w:tcPr>
          <w:p w14:paraId="398D1A6F" w14:textId="77777777" w:rsidR="00D74FFE" w:rsidRPr="00D74FFE" w:rsidRDefault="00D74FFE" w:rsidP="00F116AB">
            <w:pPr>
              <w:numPr>
                <w:ilvl w:val="0"/>
                <w:numId w:val="41"/>
              </w:numPr>
              <w:spacing w:after="0" w:line="240" w:lineRule="auto"/>
              <w:contextualSpacing/>
              <w:jc w:val="left"/>
              <w:rPr>
                <w:rFonts w:ascii="Calibri" w:eastAsia="Malgun Gothic" w:hAnsi="Calibri" w:cs="Times New Roman"/>
              </w:rPr>
            </w:pPr>
          </w:p>
          <w:p w14:paraId="6067FEA5" w14:textId="77777777" w:rsidR="00A11162" w:rsidRPr="00D74FFE" w:rsidRDefault="00A11162" w:rsidP="00A11162">
            <w:pPr>
              <w:numPr>
                <w:ilvl w:val="0"/>
                <w:numId w:val="41"/>
              </w:numPr>
              <w:spacing w:after="0" w:line="240" w:lineRule="auto"/>
              <w:contextualSpacing/>
              <w:jc w:val="left"/>
              <w:rPr>
                <w:rFonts w:ascii="Calibri" w:eastAsia="Malgun Gothic" w:hAnsi="Calibri" w:cs="Times New Roman"/>
              </w:rPr>
            </w:pPr>
          </w:p>
          <w:p w14:paraId="672D85DE" w14:textId="77777777" w:rsidR="009C696B" w:rsidRPr="00751629" w:rsidRDefault="009C696B" w:rsidP="009C696B">
            <w:pPr>
              <w:numPr>
                <w:ilvl w:val="0"/>
                <w:numId w:val="41"/>
              </w:numPr>
              <w:spacing w:after="0" w:line="240" w:lineRule="auto"/>
              <w:contextualSpacing/>
              <w:jc w:val="left"/>
              <w:rPr>
                <w:rFonts w:ascii="Calibri" w:eastAsia="Malgun Gothic" w:hAnsi="Calibri" w:cs="Times New Roman"/>
              </w:rPr>
            </w:pPr>
          </w:p>
          <w:p w14:paraId="587596C0" w14:textId="77777777" w:rsidR="009C696B" w:rsidRPr="00751629" w:rsidRDefault="009C696B" w:rsidP="009C696B">
            <w:pPr>
              <w:numPr>
                <w:ilvl w:val="0"/>
                <w:numId w:val="41"/>
              </w:numPr>
              <w:spacing w:after="0" w:line="240" w:lineRule="auto"/>
              <w:contextualSpacing/>
              <w:jc w:val="left"/>
              <w:rPr>
                <w:rFonts w:ascii="Calibri" w:eastAsia="Malgun Gothic" w:hAnsi="Calibri" w:cs="Times New Roman"/>
              </w:rPr>
            </w:pPr>
          </w:p>
          <w:p w14:paraId="10A0DA02" w14:textId="77777777" w:rsidR="00A11162" w:rsidRPr="00D74FFE" w:rsidRDefault="00A11162" w:rsidP="00A11162">
            <w:pPr>
              <w:numPr>
                <w:ilvl w:val="0"/>
                <w:numId w:val="41"/>
              </w:numPr>
              <w:spacing w:after="0" w:line="240" w:lineRule="auto"/>
              <w:contextualSpacing/>
              <w:jc w:val="left"/>
              <w:rPr>
                <w:rFonts w:ascii="Calibri" w:eastAsia="Malgun Gothic" w:hAnsi="Calibri" w:cs="Times New Roman"/>
              </w:rPr>
            </w:pPr>
          </w:p>
          <w:p w14:paraId="177A2F71" w14:textId="77777777" w:rsidR="00751629" w:rsidRPr="00D74FFE" w:rsidRDefault="00751629" w:rsidP="00A11162">
            <w:pPr>
              <w:spacing w:after="0" w:line="240" w:lineRule="auto"/>
              <w:contextualSpacing/>
              <w:jc w:val="left"/>
              <w:rPr>
                <w:rFonts w:ascii="Calibri" w:eastAsia="Malgun Gothic" w:hAnsi="Calibri" w:cs="Times New Roman"/>
              </w:rPr>
            </w:pPr>
          </w:p>
        </w:tc>
        <w:tc>
          <w:tcPr>
            <w:tcW w:w="1445" w:type="dxa"/>
          </w:tcPr>
          <w:p w14:paraId="457AB8F9"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195FA891"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4" w:type="dxa"/>
            <w:gridSpan w:val="6"/>
            <w:tcBorders>
              <w:bottom w:val="single" w:sz="4" w:space="0" w:color="auto"/>
            </w:tcBorders>
            <w:shd w:val="clear" w:color="auto" w:fill="5A5098"/>
          </w:tcPr>
          <w:p w14:paraId="5E91C5D7" w14:textId="77777777" w:rsidR="00D74FFE" w:rsidRPr="00D74FFE" w:rsidRDefault="00D74FFE" w:rsidP="00D74FFE">
            <w:pPr>
              <w:spacing w:before="120" w:line="240" w:lineRule="auto"/>
              <w:jc w:val="center"/>
              <w:rPr>
                <w:rFonts w:ascii="Calibri" w:eastAsia="Malgun Gothic" w:hAnsi="Calibri" w:cs="Times New Roman"/>
                <w:sz w:val="28"/>
                <w:szCs w:val="28"/>
              </w:rPr>
            </w:pPr>
            <w:r w:rsidRPr="00D74FFE">
              <w:rPr>
                <w:rFonts w:ascii="Calibri Light" w:eastAsia="Malgun Gothic" w:hAnsi="Calibri Light" w:cs="Times New Roman"/>
                <w:b/>
                <w:color w:val="FFFFFF"/>
                <w:sz w:val="28"/>
                <w:szCs w:val="28"/>
              </w:rPr>
              <w:lastRenderedPageBreak/>
              <w:t>STAGE 2: GATHERING EVIDENCE</w:t>
            </w:r>
          </w:p>
        </w:tc>
      </w:tr>
      <w:tr w:rsidR="00D74FFE" w:rsidRPr="00D74FFE" w14:paraId="2929F989"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4" w:type="dxa"/>
            <w:gridSpan w:val="6"/>
          </w:tcPr>
          <w:p w14:paraId="05D285E4" w14:textId="77777777" w:rsidR="00D74FFE" w:rsidRPr="00D74FFE" w:rsidRDefault="00D74FFE" w:rsidP="00D74FFE">
            <w:pPr>
              <w:spacing w:before="120" w:line="240" w:lineRule="auto"/>
              <w:jc w:val="left"/>
              <w:rPr>
                <w:rFonts w:ascii="Calibri" w:eastAsia="Malgun Gothic" w:hAnsi="Calibri" w:cs="Times New Roman"/>
              </w:rPr>
            </w:pPr>
            <w:r w:rsidRPr="00D74FFE">
              <w:rPr>
                <w:rFonts w:ascii="Calibri" w:eastAsia="Malgun Gothic" w:hAnsi="Calibri" w:cs="Times New Roman"/>
              </w:rPr>
              <w:t>This stage identifies what is known or unknown about the gendered nature of the issues above and identify available and relevant data and data sources.</w:t>
            </w:r>
          </w:p>
          <w:p w14:paraId="78672CAE" w14:textId="77777777" w:rsidR="00D74FFE" w:rsidRPr="00D74FFE" w:rsidRDefault="00D74FFE" w:rsidP="00D7570E">
            <w:pPr>
              <w:shd w:val="clear" w:color="auto" w:fill="E6E7F2"/>
              <w:spacing w:after="100" w:line="240" w:lineRule="auto"/>
              <w:ind w:left="1003" w:right="283" w:hanging="720"/>
              <w:jc w:val="left"/>
              <w:rPr>
                <w:rFonts w:ascii="Calibri" w:eastAsia="Malgun Gothic" w:hAnsi="Calibri" w:cs="Times New Roman"/>
              </w:rPr>
            </w:pPr>
            <w:r w:rsidRPr="00D74FFE">
              <w:rPr>
                <w:rFonts w:ascii="Calibri" w:eastAsia="Malgun Gothic" w:hAnsi="Calibri" w:cs="Times New Roman"/>
                <w:b/>
              </w:rPr>
              <w:t>Note</w:t>
            </w:r>
            <w:r w:rsidRPr="00D74FFE">
              <w:rPr>
                <w:rFonts w:ascii="Calibri" w:eastAsia="Malgun Gothic" w:hAnsi="Calibri" w:cs="Times New Roman"/>
              </w:rPr>
              <w:t>:    Your own values and experiences may affect your perception and/or willingness to investigate the issues. The established priorities and processes of your organisation may also affect your ability to ask new questions and hear unexpected answers.</w:t>
            </w:r>
          </w:p>
        </w:tc>
      </w:tr>
      <w:tr w:rsidR="00D7570E" w:rsidRPr="00D74FFE" w14:paraId="2DF532C5"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Borders>
              <w:bottom w:val="single" w:sz="4" w:space="0" w:color="auto"/>
            </w:tcBorders>
            <w:shd w:val="clear" w:color="auto" w:fill="F2F2F2"/>
          </w:tcPr>
          <w:p w14:paraId="4A56CD04" w14:textId="77777777" w:rsidR="00D74FFE" w:rsidRPr="00D74FFE" w:rsidRDefault="00D74FFE" w:rsidP="00D74FFE">
            <w:pPr>
              <w:spacing w:after="100" w:line="240" w:lineRule="auto"/>
              <w:jc w:val="center"/>
              <w:rPr>
                <w:rFonts w:ascii="Calibri" w:eastAsia="Malgun Gothic" w:hAnsi="Calibri" w:cs="Times New Roman"/>
              </w:rPr>
            </w:pPr>
            <w:r w:rsidRPr="00D74FFE">
              <w:rPr>
                <w:rFonts w:ascii="Calibri" w:eastAsia="Malgun Gothic" w:hAnsi="Calibri" w:cs="Times New Roman"/>
              </w:rPr>
              <w:t>ISSUES/QUESTIONS TO CONSIDER</w:t>
            </w:r>
          </w:p>
        </w:tc>
        <w:tc>
          <w:tcPr>
            <w:tcW w:w="3357" w:type="dxa"/>
            <w:gridSpan w:val="3"/>
            <w:shd w:val="clear" w:color="auto" w:fill="F2F2F2"/>
          </w:tcPr>
          <w:p w14:paraId="7F0400E5" w14:textId="77777777" w:rsidR="00D74FFE" w:rsidRPr="00D74FFE" w:rsidRDefault="00D74FFE" w:rsidP="00D74FFE">
            <w:pPr>
              <w:spacing w:after="100" w:line="240" w:lineRule="auto"/>
              <w:jc w:val="center"/>
              <w:rPr>
                <w:rFonts w:ascii="Calibri" w:eastAsia="Malgun Gothic" w:hAnsi="Calibri" w:cs="Times New Roman"/>
              </w:rPr>
            </w:pPr>
            <w:r w:rsidRPr="00D74FFE">
              <w:rPr>
                <w:rFonts w:ascii="Calibri" w:eastAsia="Malgun Gothic" w:hAnsi="Calibri" w:cs="Times New Roman"/>
              </w:rPr>
              <w:t>ACTIONS</w:t>
            </w:r>
          </w:p>
        </w:tc>
        <w:tc>
          <w:tcPr>
            <w:tcW w:w="1445" w:type="dxa"/>
            <w:shd w:val="clear" w:color="auto" w:fill="F2F2F2"/>
          </w:tcPr>
          <w:p w14:paraId="57A3475A" w14:textId="77777777" w:rsidR="00D74FFE" w:rsidRPr="00D74FFE" w:rsidRDefault="00D74FFE" w:rsidP="00D74FFE">
            <w:pPr>
              <w:spacing w:after="100" w:line="240" w:lineRule="auto"/>
              <w:jc w:val="center"/>
              <w:rPr>
                <w:rFonts w:ascii="Calibri" w:eastAsia="Malgun Gothic" w:hAnsi="Calibri" w:cs="Times New Roman"/>
              </w:rPr>
            </w:pPr>
            <w:r w:rsidRPr="00D74FFE">
              <w:rPr>
                <w:rFonts w:ascii="Calibri" w:eastAsia="Malgun Gothic" w:hAnsi="Calibri" w:cs="Times New Roman"/>
              </w:rPr>
              <w:t>COMPLETION</w:t>
            </w:r>
          </w:p>
        </w:tc>
      </w:tr>
      <w:tr w:rsidR="00D74FFE" w:rsidRPr="00D74FFE" w14:paraId="08144D6B"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32A978B3" w14:textId="77777777" w:rsidR="00D74FFE" w:rsidRPr="00D74FFE" w:rsidRDefault="00D74FFE" w:rsidP="00D74FFE">
            <w:pPr>
              <w:spacing w:line="240" w:lineRule="auto"/>
              <w:ind w:left="680" w:hanging="680"/>
              <w:jc w:val="left"/>
              <w:rPr>
                <w:rFonts w:ascii="Calibri" w:eastAsia="Malgun Gothic" w:hAnsi="Calibri" w:cs="Times New Roman"/>
              </w:rPr>
            </w:pPr>
            <w:r w:rsidRPr="00D74FFE">
              <w:rPr>
                <w:rFonts w:ascii="Calibri" w:eastAsia="Malgun Gothic" w:hAnsi="Calibri" w:cs="Times New Roman"/>
                <w:b/>
                <w:i/>
              </w:rPr>
              <w:t>Task 1</w:t>
            </w:r>
            <w:r w:rsidRPr="00D74FFE">
              <w:rPr>
                <w:rFonts w:ascii="Calibri" w:eastAsia="Malgun Gothic" w:hAnsi="Calibri" w:cs="Times New Roman"/>
              </w:rPr>
              <w:t>: Evaluate the information and data you have on the project and issues, using the following checklist:</w:t>
            </w:r>
          </w:p>
        </w:tc>
        <w:tc>
          <w:tcPr>
            <w:tcW w:w="3357" w:type="dxa"/>
            <w:gridSpan w:val="3"/>
          </w:tcPr>
          <w:p w14:paraId="2A88294B" w14:textId="77777777" w:rsidR="00D74FFE" w:rsidRPr="00D74FFE" w:rsidRDefault="00D74FFE" w:rsidP="00D74FFE">
            <w:pPr>
              <w:spacing w:after="0" w:line="240" w:lineRule="auto"/>
              <w:ind w:left="360"/>
              <w:contextualSpacing/>
              <w:jc w:val="left"/>
              <w:rPr>
                <w:rFonts w:ascii="Calibri" w:eastAsia="Malgun Gothic" w:hAnsi="Calibri" w:cs="Times New Roman"/>
              </w:rPr>
            </w:pPr>
          </w:p>
        </w:tc>
        <w:tc>
          <w:tcPr>
            <w:tcW w:w="1445" w:type="dxa"/>
          </w:tcPr>
          <w:p w14:paraId="44A4F9EA"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4C97E916"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0DEAB952" w14:textId="77777777" w:rsidR="00D74FFE" w:rsidRPr="00D74FFE" w:rsidRDefault="00D74FFE" w:rsidP="00F116AB">
            <w:pPr>
              <w:numPr>
                <w:ilvl w:val="0"/>
                <w:numId w:val="58"/>
              </w:numPr>
              <w:spacing w:after="0" w:line="240" w:lineRule="auto"/>
              <w:contextualSpacing/>
              <w:jc w:val="left"/>
              <w:rPr>
                <w:rFonts w:ascii="Calibri" w:eastAsia="Malgun Gothic" w:hAnsi="Calibri" w:cs="Times New Roman"/>
              </w:rPr>
            </w:pPr>
            <w:r w:rsidRPr="00D74FFE">
              <w:rPr>
                <w:rFonts w:ascii="Calibri" w:eastAsia="Malgun Gothic" w:hAnsi="Calibri" w:cs="Times New Roman"/>
              </w:rPr>
              <w:t>Is it disaggregated by sex?</w:t>
            </w:r>
          </w:p>
        </w:tc>
        <w:tc>
          <w:tcPr>
            <w:tcW w:w="3357" w:type="dxa"/>
            <w:gridSpan w:val="3"/>
          </w:tcPr>
          <w:p w14:paraId="00D44227"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c>
          <w:tcPr>
            <w:tcW w:w="1445" w:type="dxa"/>
          </w:tcPr>
          <w:p w14:paraId="69FA90F5"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0BFA1403"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7AD5CD60" w14:textId="77777777" w:rsidR="00D74FFE" w:rsidRPr="00D74FFE" w:rsidRDefault="00D74FFE" w:rsidP="00F116AB">
            <w:pPr>
              <w:numPr>
                <w:ilvl w:val="0"/>
                <w:numId w:val="58"/>
              </w:numPr>
              <w:spacing w:after="0" w:line="240" w:lineRule="auto"/>
              <w:contextualSpacing/>
              <w:jc w:val="left"/>
              <w:rPr>
                <w:rFonts w:ascii="Calibri" w:eastAsia="Malgun Gothic" w:hAnsi="Calibri" w:cs="Times New Roman"/>
              </w:rPr>
            </w:pPr>
            <w:r w:rsidRPr="00D74FFE">
              <w:rPr>
                <w:rFonts w:ascii="Calibri" w:eastAsia="Malgun Gothic" w:hAnsi="Calibri" w:cs="Times New Roman"/>
              </w:rPr>
              <w:t>Is it disaggregated by age, race, ethnicity, socio-economic background or region?</w:t>
            </w:r>
          </w:p>
        </w:tc>
        <w:tc>
          <w:tcPr>
            <w:tcW w:w="3357" w:type="dxa"/>
            <w:gridSpan w:val="3"/>
          </w:tcPr>
          <w:p w14:paraId="7734DAA7"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 (specify)</w:t>
            </w:r>
            <w:r w:rsidRPr="00D74FFE">
              <w:rPr>
                <w:rFonts w:ascii="Calibri" w:eastAsia="Malgun Gothic" w:hAnsi="Calibri" w:cs="Times New Roman"/>
              </w:rPr>
              <w:tab/>
            </w:r>
          </w:p>
          <w:p w14:paraId="41B51F65"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No: (specify) </w:t>
            </w:r>
          </w:p>
        </w:tc>
        <w:tc>
          <w:tcPr>
            <w:tcW w:w="1445" w:type="dxa"/>
          </w:tcPr>
          <w:p w14:paraId="5C8240BA"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656CD469"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13DE74E9" w14:textId="77777777" w:rsidR="00D74FFE" w:rsidRPr="00D74FFE" w:rsidRDefault="00D74FFE" w:rsidP="00F116AB">
            <w:pPr>
              <w:numPr>
                <w:ilvl w:val="0"/>
                <w:numId w:val="58"/>
              </w:numPr>
              <w:spacing w:after="0" w:line="240" w:lineRule="auto"/>
              <w:contextualSpacing/>
              <w:jc w:val="left"/>
              <w:rPr>
                <w:rFonts w:ascii="Calibri" w:eastAsia="Malgun Gothic" w:hAnsi="Calibri" w:cs="Times New Roman"/>
              </w:rPr>
            </w:pPr>
            <w:r w:rsidRPr="00D74FFE">
              <w:rPr>
                <w:rFonts w:ascii="Calibri" w:eastAsia="Malgun Gothic" w:hAnsi="Calibri" w:cs="Times New Roman"/>
              </w:rPr>
              <w:t>Is there both quantitative and qualitative data available?</w:t>
            </w:r>
          </w:p>
        </w:tc>
        <w:tc>
          <w:tcPr>
            <w:tcW w:w="3357" w:type="dxa"/>
            <w:gridSpan w:val="3"/>
          </w:tcPr>
          <w:p w14:paraId="5837BC80"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c>
          <w:tcPr>
            <w:tcW w:w="1445" w:type="dxa"/>
          </w:tcPr>
          <w:p w14:paraId="6D475AA1"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1C9D8219"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1B1DBF27" w14:textId="77777777" w:rsidR="00D74FFE" w:rsidRPr="00D74FFE" w:rsidRDefault="00D74FFE" w:rsidP="00F116AB">
            <w:pPr>
              <w:numPr>
                <w:ilvl w:val="0"/>
                <w:numId w:val="58"/>
              </w:numPr>
              <w:spacing w:after="0" w:line="240" w:lineRule="auto"/>
              <w:contextualSpacing/>
              <w:jc w:val="left"/>
              <w:rPr>
                <w:rFonts w:ascii="Calibri" w:eastAsia="Malgun Gothic" w:hAnsi="Calibri" w:cs="Times New Roman"/>
              </w:rPr>
            </w:pPr>
            <w:r w:rsidRPr="00D74FFE">
              <w:rPr>
                <w:rFonts w:ascii="Calibri" w:eastAsia="Malgun Gothic" w:hAnsi="Calibri" w:cs="Times New Roman"/>
              </w:rPr>
              <w:t>Is national or international research available regarding the gender components of the issues?</w:t>
            </w:r>
          </w:p>
        </w:tc>
        <w:tc>
          <w:tcPr>
            <w:tcW w:w="3357" w:type="dxa"/>
            <w:gridSpan w:val="3"/>
          </w:tcPr>
          <w:p w14:paraId="5F3AEA12"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Don’t know</w:t>
            </w:r>
          </w:p>
        </w:tc>
        <w:tc>
          <w:tcPr>
            <w:tcW w:w="1445" w:type="dxa"/>
          </w:tcPr>
          <w:p w14:paraId="7232A980"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362E77A2"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6194B074" w14:textId="77777777" w:rsidR="00D74FFE" w:rsidRPr="00D74FFE" w:rsidRDefault="00D74FFE" w:rsidP="00F116AB">
            <w:pPr>
              <w:numPr>
                <w:ilvl w:val="0"/>
                <w:numId w:val="58"/>
              </w:numPr>
              <w:spacing w:after="0" w:line="240" w:lineRule="auto"/>
              <w:contextualSpacing/>
              <w:jc w:val="left"/>
              <w:rPr>
                <w:rFonts w:ascii="Calibri" w:eastAsia="Malgun Gothic" w:hAnsi="Calibri" w:cs="Times New Roman"/>
              </w:rPr>
            </w:pPr>
            <w:r w:rsidRPr="00D74FFE">
              <w:rPr>
                <w:rFonts w:ascii="Calibri" w:eastAsia="Malgun Gothic" w:hAnsi="Calibri" w:cs="Times New Roman"/>
              </w:rPr>
              <w:t>Are there identified gender gaps relating to the issues?</w:t>
            </w:r>
          </w:p>
        </w:tc>
        <w:tc>
          <w:tcPr>
            <w:tcW w:w="3357" w:type="dxa"/>
            <w:gridSpan w:val="3"/>
          </w:tcPr>
          <w:p w14:paraId="204234E6"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 (specify)</w:t>
            </w:r>
            <w:r w:rsidRPr="00D74FFE">
              <w:rPr>
                <w:rFonts w:ascii="Calibri" w:eastAsia="Malgun Gothic" w:hAnsi="Calibri" w:cs="Times New Roman"/>
              </w:rPr>
              <w:tab/>
            </w:r>
            <w:r w:rsidRPr="00D74FFE">
              <w:rPr>
                <w:rFonts w:ascii="Calibri" w:eastAsia="Malgun Gothic" w:hAnsi="Calibri" w:cs="Times New Roman"/>
              </w:rPr>
              <w:tab/>
            </w:r>
          </w:p>
          <w:p w14:paraId="26F41E78" w14:textId="77777777" w:rsidR="00D74FFE" w:rsidRPr="00D74FFE" w:rsidRDefault="00D74FFE" w:rsidP="00D74FFE">
            <w:pPr>
              <w:spacing w:after="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Don’t know</w:t>
            </w:r>
          </w:p>
        </w:tc>
        <w:tc>
          <w:tcPr>
            <w:tcW w:w="1445" w:type="dxa"/>
          </w:tcPr>
          <w:p w14:paraId="7E419CEF" w14:textId="77777777" w:rsidR="00D74FFE" w:rsidRPr="00D74FFE" w:rsidRDefault="00D74FFE" w:rsidP="00D74FFE">
            <w:pPr>
              <w:spacing w:after="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15D6DE98"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2FB0509A" w14:textId="77777777" w:rsidR="00D74FFE" w:rsidRPr="00D74FFE" w:rsidRDefault="00D74FFE" w:rsidP="00F116AB">
            <w:pPr>
              <w:numPr>
                <w:ilvl w:val="0"/>
                <w:numId w:val="58"/>
              </w:numPr>
              <w:spacing w:after="0" w:line="240" w:lineRule="auto"/>
              <w:contextualSpacing/>
              <w:jc w:val="left"/>
              <w:rPr>
                <w:rFonts w:ascii="Calibri" w:eastAsia="Malgun Gothic" w:hAnsi="Calibri" w:cs="Times New Roman"/>
              </w:rPr>
            </w:pPr>
            <w:r w:rsidRPr="00D74FFE">
              <w:rPr>
                <w:rFonts w:ascii="Calibri" w:eastAsia="Malgun Gothic" w:hAnsi="Calibri" w:cs="Times New Roman"/>
              </w:rPr>
              <w:t>Are other models available for addressing the issues?</w:t>
            </w:r>
          </w:p>
        </w:tc>
        <w:tc>
          <w:tcPr>
            <w:tcW w:w="3357" w:type="dxa"/>
            <w:gridSpan w:val="3"/>
          </w:tcPr>
          <w:p w14:paraId="1A10FA1E"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 (specify)</w:t>
            </w:r>
            <w:r w:rsidRPr="00D74FFE">
              <w:rPr>
                <w:rFonts w:ascii="Calibri" w:eastAsia="Malgun Gothic" w:hAnsi="Calibri" w:cs="Times New Roman"/>
              </w:rPr>
              <w:tab/>
            </w:r>
            <w:r w:rsidRPr="00D74FFE">
              <w:rPr>
                <w:rFonts w:ascii="Calibri" w:eastAsia="Malgun Gothic" w:hAnsi="Calibri" w:cs="Times New Roman"/>
              </w:rPr>
              <w:tab/>
            </w:r>
          </w:p>
          <w:p w14:paraId="18580008" w14:textId="77777777" w:rsidR="00D74FFE" w:rsidRPr="00D74FFE" w:rsidRDefault="00D74FFE" w:rsidP="00D74FFE">
            <w:pPr>
              <w:spacing w:after="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Don’t know</w:t>
            </w:r>
          </w:p>
        </w:tc>
        <w:tc>
          <w:tcPr>
            <w:tcW w:w="1445" w:type="dxa"/>
          </w:tcPr>
          <w:p w14:paraId="0305F00D" w14:textId="77777777" w:rsidR="00D74FFE" w:rsidRPr="00D74FFE" w:rsidRDefault="00D74FFE" w:rsidP="00D74FFE">
            <w:pPr>
              <w:spacing w:after="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05792A25"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6F2625B7" w14:textId="77777777" w:rsidR="00D74FFE" w:rsidRPr="00D74FFE" w:rsidRDefault="00D74FFE" w:rsidP="00F116AB">
            <w:pPr>
              <w:numPr>
                <w:ilvl w:val="0"/>
                <w:numId w:val="58"/>
              </w:numPr>
              <w:spacing w:after="0" w:line="240" w:lineRule="auto"/>
              <w:contextualSpacing/>
              <w:jc w:val="left"/>
              <w:rPr>
                <w:rFonts w:ascii="Calibri" w:eastAsia="Malgun Gothic" w:hAnsi="Calibri" w:cs="Times New Roman"/>
              </w:rPr>
            </w:pPr>
            <w:r w:rsidRPr="00D74FFE">
              <w:rPr>
                <w:rFonts w:ascii="Calibri" w:eastAsia="Malgun Gothic" w:hAnsi="Calibri" w:cs="Times New Roman"/>
              </w:rPr>
              <w:t>Who else is addressing these issues? Are other organisations, government and non-government, involved or potentially involved as stakeholders?</w:t>
            </w:r>
          </w:p>
        </w:tc>
        <w:tc>
          <w:tcPr>
            <w:tcW w:w="3357" w:type="dxa"/>
            <w:gridSpan w:val="3"/>
          </w:tcPr>
          <w:p w14:paraId="2581CCAD"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 (specify)</w:t>
            </w:r>
            <w:r w:rsidRPr="00D74FFE">
              <w:rPr>
                <w:rFonts w:ascii="Calibri" w:eastAsia="Malgun Gothic" w:hAnsi="Calibri" w:cs="Times New Roman"/>
              </w:rPr>
              <w:tab/>
            </w:r>
            <w:r w:rsidRPr="00D74FFE">
              <w:rPr>
                <w:rFonts w:ascii="Calibri" w:eastAsia="Malgun Gothic" w:hAnsi="Calibri" w:cs="Times New Roman"/>
              </w:rPr>
              <w:tab/>
            </w:r>
          </w:p>
          <w:p w14:paraId="7F95D199"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Don’t know</w:t>
            </w:r>
          </w:p>
        </w:tc>
        <w:tc>
          <w:tcPr>
            <w:tcW w:w="1445" w:type="dxa"/>
          </w:tcPr>
          <w:p w14:paraId="3196E919"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052FAB85"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14527A8D" w14:textId="77777777" w:rsidR="00D74FFE" w:rsidRPr="00D74FFE" w:rsidRDefault="00D74FFE" w:rsidP="00D74FFE">
            <w:pPr>
              <w:spacing w:line="240" w:lineRule="auto"/>
              <w:ind w:left="680" w:hanging="680"/>
              <w:jc w:val="left"/>
              <w:rPr>
                <w:rFonts w:ascii="Calibri" w:eastAsia="Malgun Gothic" w:hAnsi="Calibri" w:cs="Times New Roman"/>
              </w:rPr>
            </w:pPr>
            <w:r w:rsidRPr="00D74FFE">
              <w:rPr>
                <w:rFonts w:ascii="Calibri" w:eastAsia="Malgun Gothic" w:hAnsi="Calibri" w:cs="Times New Roman"/>
                <w:b/>
                <w:i/>
              </w:rPr>
              <w:t>Task 2</w:t>
            </w:r>
            <w:r w:rsidRPr="00D74FFE">
              <w:rPr>
                <w:rFonts w:ascii="Calibri" w:eastAsia="Malgun Gothic" w:hAnsi="Calibri" w:cs="Times New Roman"/>
              </w:rPr>
              <w:t>: What is your plan/strategy for those issues you answered ‘No’ or ‘Don’t know’ in Task 1?</w:t>
            </w:r>
          </w:p>
        </w:tc>
        <w:tc>
          <w:tcPr>
            <w:tcW w:w="3357" w:type="dxa"/>
            <w:gridSpan w:val="3"/>
          </w:tcPr>
          <w:p w14:paraId="3B343409"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t>Specify:</w:t>
            </w:r>
          </w:p>
          <w:p w14:paraId="5DDBB6F4" w14:textId="77777777" w:rsidR="00D74FFE" w:rsidRPr="00D74FFE" w:rsidRDefault="00D74FFE" w:rsidP="00D74FFE">
            <w:pPr>
              <w:spacing w:after="100" w:line="240" w:lineRule="auto"/>
              <w:jc w:val="left"/>
              <w:rPr>
                <w:rFonts w:ascii="Calibri" w:eastAsia="Malgun Gothic" w:hAnsi="Calibri" w:cs="Times New Roman"/>
              </w:rPr>
            </w:pPr>
          </w:p>
        </w:tc>
        <w:tc>
          <w:tcPr>
            <w:tcW w:w="1445" w:type="dxa"/>
          </w:tcPr>
          <w:p w14:paraId="51069930"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26C8DB39"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4" w:type="dxa"/>
            <w:gridSpan w:val="6"/>
            <w:shd w:val="clear" w:color="auto" w:fill="385623"/>
          </w:tcPr>
          <w:p w14:paraId="10D3C212" w14:textId="77777777" w:rsidR="00D74FFE" w:rsidRPr="00D74FFE" w:rsidRDefault="00D74FFE" w:rsidP="00D74FFE">
            <w:pPr>
              <w:spacing w:before="120" w:line="240" w:lineRule="auto"/>
              <w:jc w:val="center"/>
              <w:rPr>
                <w:rFonts w:ascii="Calibri Light" w:eastAsia="Malgun Gothic" w:hAnsi="Calibri Light" w:cs="Times New Roman"/>
                <w:b/>
                <w:color w:val="FFFFFF"/>
                <w:sz w:val="28"/>
                <w:szCs w:val="28"/>
              </w:rPr>
            </w:pPr>
            <w:r w:rsidRPr="00D74FFE">
              <w:rPr>
                <w:rFonts w:ascii="Calibri Light" w:eastAsia="Malgun Gothic" w:hAnsi="Calibri Light" w:cs="Times New Roman"/>
                <w:b/>
                <w:color w:val="FFFFFF"/>
                <w:sz w:val="28"/>
                <w:szCs w:val="28"/>
              </w:rPr>
              <w:t>STAGE 3: IDENTIFYING AND DEFINING OUTCOMES</w:t>
            </w:r>
          </w:p>
        </w:tc>
      </w:tr>
      <w:tr w:rsidR="00D74FFE" w:rsidRPr="00D74FFE" w14:paraId="0754AEB5"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4" w:type="dxa"/>
            <w:gridSpan w:val="6"/>
          </w:tcPr>
          <w:p w14:paraId="028ED368" w14:textId="77777777" w:rsidR="00D74FFE" w:rsidRPr="00D74FFE" w:rsidRDefault="00D74FFE" w:rsidP="00D74FFE">
            <w:pPr>
              <w:spacing w:before="120" w:line="240" w:lineRule="auto"/>
              <w:jc w:val="left"/>
              <w:rPr>
                <w:rFonts w:ascii="Calibri" w:eastAsia="Malgun Gothic" w:hAnsi="Calibri" w:cs="Times New Roman"/>
              </w:rPr>
            </w:pPr>
            <w:r w:rsidRPr="00D74FFE">
              <w:rPr>
                <w:rFonts w:ascii="Calibri" w:eastAsia="Malgun Gothic" w:hAnsi="Calibri" w:cs="Times New Roman"/>
              </w:rPr>
              <w:t>Use this stage to identify desired goals and expected outcomes for your project to ensure equitable outcomes for people of all genders.</w:t>
            </w:r>
          </w:p>
          <w:p w14:paraId="3C50EB03" w14:textId="77777777" w:rsidR="00D74FFE" w:rsidRPr="00D74FFE" w:rsidRDefault="00D74FFE" w:rsidP="00D7570E">
            <w:pPr>
              <w:shd w:val="clear" w:color="auto" w:fill="EFF6EA"/>
              <w:spacing w:after="100" w:line="240" w:lineRule="auto"/>
              <w:ind w:left="1003" w:right="283" w:hanging="720"/>
              <w:jc w:val="left"/>
              <w:rPr>
                <w:rFonts w:ascii="Calibri" w:eastAsia="Malgun Gothic" w:hAnsi="Calibri" w:cs="Times New Roman"/>
              </w:rPr>
            </w:pPr>
            <w:r w:rsidRPr="00D74FFE">
              <w:rPr>
                <w:rFonts w:ascii="Calibri" w:eastAsia="Malgun Gothic" w:hAnsi="Calibri" w:cs="Times New Roman"/>
                <w:b/>
              </w:rPr>
              <w:t>Note</w:t>
            </w:r>
            <w:r w:rsidRPr="00D74FFE">
              <w:rPr>
                <w:rFonts w:ascii="Calibri" w:eastAsia="Malgun Gothic" w:hAnsi="Calibri" w:cs="Times New Roman"/>
              </w:rPr>
              <w:t>:    Beware of unintended and undesirable outcomes, especially for specific groups of women, men and gender diverse people. Different measures may be required for outcomes to be equitable for people of all genders.</w:t>
            </w:r>
          </w:p>
        </w:tc>
      </w:tr>
      <w:tr w:rsidR="00D7570E" w:rsidRPr="00D74FFE" w14:paraId="5C24BCE7"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Borders>
              <w:bottom w:val="single" w:sz="4" w:space="0" w:color="auto"/>
            </w:tcBorders>
            <w:shd w:val="clear" w:color="auto" w:fill="F2F2F2"/>
          </w:tcPr>
          <w:p w14:paraId="56BF0D5A" w14:textId="77777777" w:rsidR="00D74FFE" w:rsidRPr="00D74FFE" w:rsidRDefault="00D74FFE" w:rsidP="00D74FFE">
            <w:pPr>
              <w:spacing w:after="100" w:line="240" w:lineRule="auto"/>
              <w:jc w:val="center"/>
              <w:rPr>
                <w:rFonts w:ascii="Calibri" w:eastAsia="Malgun Gothic" w:hAnsi="Calibri" w:cs="Times New Roman"/>
              </w:rPr>
            </w:pPr>
            <w:r w:rsidRPr="00D74FFE">
              <w:rPr>
                <w:rFonts w:ascii="Calibri" w:eastAsia="Malgun Gothic" w:hAnsi="Calibri" w:cs="Times New Roman"/>
              </w:rPr>
              <w:t>ISSUES/QUESTIONS TO CONSIDER</w:t>
            </w:r>
          </w:p>
        </w:tc>
        <w:tc>
          <w:tcPr>
            <w:tcW w:w="3357" w:type="dxa"/>
            <w:gridSpan w:val="3"/>
            <w:shd w:val="clear" w:color="auto" w:fill="F2F2F2"/>
          </w:tcPr>
          <w:p w14:paraId="7A7006FD" w14:textId="77777777" w:rsidR="00D74FFE" w:rsidRPr="00D74FFE" w:rsidRDefault="00D74FFE" w:rsidP="00D74FFE">
            <w:pPr>
              <w:spacing w:after="100" w:line="240" w:lineRule="auto"/>
              <w:jc w:val="center"/>
              <w:rPr>
                <w:rFonts w:ascii="Calibri" w:eastAsia="Malgun Gothic" w:hAnsi="Calibri" w:cs="Times New Roman"/>
              </w:rPr>
            </w:pPr>
            <w:r w:rsidRPr="00D74FFE">
              <w:rPr>
                <w:rFonts w:ascii="Calibri" w:eastAsia="Malgun Gothic" w:hAnsi="Calibri" w:cs="Times New Roman"/>
              </w:rPr>
              <w:t>ACTIONS</w:t>
            </w:r>
          </w:p>
        </w:tc>
        <w:tc>
          <w:tcPr>
            <w:tcW w:w="1445" w:type="dxa"/>
            <w:shd w:val="clear" w:color="auto" w:fill="F2F2F2"/>
          </w:tcPr>
          <w:p w14:paraId="36C91B2F" w14:textId="77777777" w:rsidR="00D74FFE" w:rsidRPr="00D74FFE" w:rsidRDefault="00D74FFE" w:rsidP="00D74FFE">
            <w:pPr>
              <w:spacing w:after="100" w:line="240" w:lineRule="auto"/>
              <w:jc w:val="center"/>
              <w:rPr>
                <w:rFonts w:ascii="Calibri" w:eastAsia="Malgun Gothic" w:hAnsi="Calibri" w:cs="Times New Roman"/>
              </w:rPr>
            </w:pPr>
            <w:r w:rsidRPr="00D74FFE">
              <w:rPr>
                <w:rFonts w:ascii="Calibri" w:eastAsia="Malgun Gothic" w:hAnsi="Calibri" w:cs="Times New Roman"/>
              </w:rPr>
              <w:t>COMPLETION</w:t>
            </w:r>
          </w:p>
        </w:tc>
      </w:tr>
      <w:tr w:rsidR="00D74FFE" w:rsidRPr="00D74FFE" w14:paraId="4271B969"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086FDA2A" w14:textId="77777777" w:rsidR="00D74FFE" w:rsidRPr="00D74FFE" w:rsidRDefault="00D74FFE" w:rsidP="00D74FFE">
            <w:pPr>
              <w:spacing w:line="240" w:lineRule="auto"/>
              <w:ind w:left="680" w:hanging="680"/>
              <w:jc w:val="left"/>
              <w:rPr>
                <w:rFonts w:ascii="Calibri" w:eastAsia="Malgun Gothic" w:hAnsi="Calibri" w:cs="Times New Roman"/>
              </w:rPr>
            </w:pPr>
            <w:r w:rsidRPr="00D74FFE">
              <w:rPr>
                <w:rFonts w:ascii="Calibri" w:eastAsia="Malgun Gothic" w:hAnsi="Calibri" w:cs="Times New Roman"/>
                <w:b/>
                <w:i/>
              </w:rPr>
              <w:t>Task 1</w:t>
            </w:r>
            <w:r w:rsidRPr="00D74FFE">
              <w:rPr>
                <w:rFonts w:ascii="Calibri" w:eastAsia="Malgun Gothic" w:hAnsi="Calibri" w:cs="Times New Roman"/>
              </w:rPr>
              <w:t>: What are the desired outcomes of the policy, program or service?</w:t>
            </w:r>
          </w:p>
        </w:tc>
        <w:tc>
          <w:tcPr>
            <w:tcW w:w="3357" w:type="dxa"/>
            <w:gridSpan w:val="3"/>
          </w:tcPr>
          <w:p w14:paraId="4611347B" w14:textId="77777777" w:rsidR="00D74FFE" w:rsidRPr="00D74FFE" w:rsidRDefault="00D74FFE" w:rsidP="004C5DE9">
            <w:pPr>
              <w:numPr>
                <w:ilvl w:val="0"/>
                <w:numId w:val="42"/>
              </w:numPr>
              <w:spacing w:after="0" w:line="240" w:lineRule="auto"/>
              <w:contextualSpacing/>
              <w:jc w:val="left"/>
              <w:rPr>
                <w:rFonts w:ascii="Calibri" w:eastAsia="Malgun Gothic" w:hAnsi="Calibri" w:cs="Times New Roman"/>
              </w:rPr>
            </w:pPr>
          </w:p>
          <w:p w14:paraId="4407E4EC" w14:textId="77777777" w:rsidR="004C5DE9" w:rsidRPr="00751629" w:rsidRDefault="004C5DE9" w:rsidP="004C5DE9">
            <w:pPr>
              <w:numPr>
                <w:ilvl w:val="0"/>
                <w:numId w:val="42"/>
              </w:numPr>
              <w:spacing w:after="0" w:line="240" w:lineRule="auto"/>
              <w:contextualSpacing/>
              <w:jc w:val="left"/>
              <w:rPr>
                <w:rFonts w:ascii="Calibri" w:eastAsia="Malgun Gothic" w:hAnsi="Calibri" w:cs="Times New Roman"/>
              </w:rPr>
            </w:pPr>
          </w:p>
          <w:p w14:paraId="7DE5FCBC" w14:textId="77777777" w:rsidR="004C5DE9" w:rsidRPr="00D74FFE" w:rsidRDefault="004C5DE9" w:rsidP="004C5DE9">
            <w:pPr>
              <w:numPr>
                <w:ilvl w:val="0"/>
                <w:numId w:val="42"/>
              </w:numPr>
              <w:spacing w:after="0" w:line="240" w:lineRule="auto"/>
              <w:contextualSpacing/>
              <w:jc w:val="left"/>
              <w:rPr>
                <w:rFonts w:ascii="Calibri" w:eastAsia="Malgun Gothic" w:hAnsi="Calibri" w:cs="Times New Roman"/>
              </w:rPr>
            </w:pPr>
          </w:p>
          <w:p w14:paraId="1D172781" w14:textId="77777777" w:rsidR="00D74FFE" w:rsidRPr="00D74FFE" w:rsidRDefault="00D74FFE" w:rsidP="004C5DE9">
            <w:pPr>
              <w:numPr>
                <w:ilvl w:val="0"/>
                <w:numId w:val="42"/>
              </w:numPr>
              <w:spacing w:after="0" w:line="240" w:lineRule="auto"/>
              <w:contextualSpacing/>
              <w:jc w:val="left"/>
              <w:rPr>
                <w:rFonts w:ascii="Calibri" w:eastAsia="Malgun Gothic" w:hAnsi="Calibri" w:cs="Times New Roman"/>
              </w:rPr>
            </w:pPr>
          </w:p>
        </w:tc>
        <w:tc>
          <w:tcPr>
            <w:tcW w:w="1445" w:type="dxa"/>
          </w:tcPr>
          <w:p w14:paraId="1C534B05"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7779EC8C"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1FE2CCA2" w14:textId="77777777" w:rsidR="00D74FFE" w:rsidRPr="00D74FFE" w:rsidRDefault="00D74FFE" w:rsidP="00D74FFE">
            <w:pPr>
              <w:spacing w:line="240" w:lineRule="auto"/>
              <w:ind w:left="680" w:hanging="680"/>
              <w:jc w:val="left"/>
              <w:rPr>
                <w:rFonts w:ascii="Calibri" w:eastAsia="Malgun Gothic" w:hAnsi="Calibri" w:cs="Times New Roman"/>
              </w:rPr>
            </w:pPr>
            <w:r w:rsidRPr="00D74FFE">
              <w:rPr>
                <w:rFonts w:ascii="Calibri" w:eastAsia="Malgun Gothic" w:hAnsi="Calibri" w:cs="Times New Roman"/>
                <w:b/>
                <w:i/>
              </w:rPr>
              <w:t>Task 2</w:t>
            </w:r>
            <w:r w:rsidRPr="00D74FFE">
              <w:rPr>
                <w:rFonts w:ascii="Calibri" w:eastAsia="Malgun Gothic" w:hAnsi="Calibri" w:cs="Times New Roman"/>
              </w:rPr>
              <w:t>: What are the gender-specific factors that could affect achievement of the outcomes (e.g. pregnancy, workplace sexual harassment, childcare/family responsibilities)?</w:t>
            </w:r>
          </w:p>
        </w:tc>
        <w:tc>
          <w:tcPr>
            <w:tcW w:w="3357" w:type="dxa"/>
            <w:gridSpan w:val="3"/>
          </w:tcPr>
          <w:p w14:paraId="5AD1345F" w14:textId="77777777" w:rsidR="00D74FFE" w:rsidRPr="00D74FFE" w:rsidRDefault="00D74FFE" w:rsidP="004C5DE9">
            <w:pPr>
              <w:numPr>
                <w:ilvl w:val="0"/>
                <w:numId w:val="42"/>
              </w:numPr>
              <w:spacing w:after="100" w:line="240" w:lineRule="auto"/>
              <w:jc w:val="left"/>
              <w:rPr>
                <w:rFonts w:ascii="Calibri" w:eastAsia="Malgun Gothic" w:hAnsi="Calibri" w:cs="Times New Roman"/>
              </w:rPr>
            </w:pPr>
          </w:p>
          <w:p w14:paraId="65D94565" w14:textId="77777777" w:rsidR="004C5DE9" w:rsidRPr="00751629" w:rsidRDefault="004C5DE9" w:rsidP="004C5DE9">
            <w:pPr>
              <w:numPr>
                <w:ilvl w:val="0"/>
                <w:numId w:val="42"/>
              </w:numPr>
              <w:spacing w:after="0" w:line="240" w:lineRule="auto"/>
              <w:contextualSpacing/>
              <w:jc w:val="left"/>
              <w:rPr>
                <w:rFonts w:ascii="Calibri" w:eastAsia="Malgun Gothic" w:hAnsi="Calibri" w:cs="Times New Roman"/>
              </w:rPr>
            </w:pPr>
          </w:p>
          <w:p w14:paraId="7BED4A82" w14:textId="77777777" w:rsidR="004C5DE9" w:rsidRPr="00751629" w:rsidRDefault="004C5DE9" w:rsidP="004C5DE9">
            <w:pPr>
              <w:numPr>
                <w:ilvl w:val="0"/>
                <w:numId w:val="42"/>
              </w:numPr>
              <w:spacing w:after="0" w:line="240" w:lineRule="auto"/>
              <w:contextualSpacing/>
              <w:jc w:val="left"/>
              <w:rPr>
                <w:rFonts w:ascii="Calibri" w:eastAsia="Malgun Gothic" w:hAnsi="Calibri" w:cs="Times New Roman"/>
              </w:rPr>
            </w:pPr>
          </w:p>
          <w:p w14:paraId="59504B38" w14:textId="77777777" w:rsidR="004C5DE9" w:rsidRPr="00D74FFE" w:rsidRDefault="004C5DE9" w:rsidP="004C5DE9">
            <w:pPr>
              <w:numPr>
                <w:ilvl w:val="0"/>
                <w:numId w:val="42"/>
              </w:numPr>
              <w:spacing w:after="0" w:line="240" w:lineRule="auto"/>
              <w:contextualSpacing/>
              <w:jc w:val="left"/>
              <w:rPr>
                <w:rFonts w:ascii="Calibri" w:eastAsia="Malgun Gothic" w:hAnsi="Calibri" w:cs="Times New Roman"/>
              </w:rPr>
            </w:pPr>
          </w:p>
          <w:p w14:paraId="26D31254" w14:textId="77777777" w:rsidR="00D74FFE" w:rsidRPr="004C5DE9" w:rsidRDefault="00D74FFE" w:rsidP="004C5DE9">
            <w:pPr>
              <w:numPr>
                <w:ilvl w:val="0"/>
                <w:numId w:val="42"/>
              </w:numPr>
              <w:spacing w:after="0" w:line="240" w:lineRule="auto"/>
              <w:contextualSpacing/>
              <w:jc w:val="left"/>
              <w:rPr>
                <w:rFonts w:ascii="Calibri" w:eastAsia="Malgun Gothic" w:hAnsi="Calibri" w:cs="Times New Roman"/>
              </w:rPr>
            </w:pPr>
          </w:p>
        </w:tc>
        <w:tc>
          <w:tcPr>
            <w:tcW w:w="1445" w:type="dxa"/>
          </w:tcPr>
          <w:p w14:paraId="0A72F6FD"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0488CC77"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1B74B03F" w14:textId="77777777" w:rsidR="00D74FFE" w:rsidRPr="00D74FFE" w:rsidRDefault="00D74FFE" w:rsidP="00D74FFE">
            <w:pPr>
              <w:spacing w:line="240" w:lineRule="auto"/>
              <w:ind w:left="680" w:hanging="680"/>
              <w:jc w:val="left"/>
              <w:rPr>
                <w:rFonts w:ascii="Calibri" w:eastAsia="Malgun Gothic" w:hAnsi="Calibri" w:cs="Times New Roman"/>
              </w:rPr>
            </w:pPr>
            <w:r w:rsidRPr="00D74FFE">
              <w:rPr>
                <w:rFonts w:ascii="Calibri" w:eastAsia="Malgun Gothic" w:hAnsi="Calibri" w:cs="Times New Roman"/>
                <w:b/>
                <w:i/>
              </w:rPr>
              <w:t>Task 3</w:t>
            </w:r>
            <w:r w:rsidRPr="00D74FFE">
              <w:rPr>
                <w:rFonts w:ascii="Calibri" w:eastAsia="Malgun Gothic" w:hAnsi="Calibri" w:cs="Times New Roman"/>
              </w:rPr>
              <w:t>: Are there negative outcomes for women, men or gender diverse people?</w:t>
            </w:r>
          </w:p>
        </w:tc>
        <w:tc>
          <w:tcPr>
            <w:tcW w:w="3357" w:type="dxa"/>
            <w:gridSpan w:val="3"/>
          </w:tcPr>
          <w:p w14:paraId="621B4194" w14:textId="50772293" w:rsidR="00D74FFE" w:rsidRDefault="00D74FFE" w:rsidP="00F116AB">
            <w:pPr>
              <w:numPr>
                <w:ilvl w:val="0"/>
                <w:numId w:val="42"/>
              </w:numPr>
              <w:spacing w:after="0" w:line="240" w:lineRule="auto"/>
              <w:jc w:val="left"/>
              <w:rPr>
                <w:rFonts w:ascii="Calibri" w:eastAsia="Malgun Gothic" w:hAnsi="Calibri" w:cs="Times New Roman"/>
              </w:rPr>
            </w:pPr>
          </w:p>
          <w:p w14:paraId="669A1E40" w14:textId="77777777" w:rsidR="009A5C68" w:rsidRPr="005E28AA" w:rsidRDefault="009A5C68" w:rsidP="00F116AB">
            <w:pPr>
              <w:numPr>
                <w:ilvl w:val="0"/>
                <w:numId w:val="42"/>
              </w:numPr>
              <w:spacing w:after="0" w:line="240" w:lineRule="auto"/>
              <w:jc w:val="left"/>
              <w:rPr>
                <w:rFonts w:ascii="Calibri" w:eastAsia="Malgun Gothic" w:hAnsi="Calibri" w:cs="Times New Roman"/>
              </w:rPr>
            </w:pPr>
          </w:p>
        </w:tc>
        <w:tc>
          <w:tcPr>
            <w:tcW w:w="1445" w:type="dxa"/>
          </w:tcPr>
          <w:p w14:paraId="41877463" w14:textId="77777777" w:rsidR="00D74FFE" w:rsidRPr="00D74FFE" w:rsidRDefault="00D74FFE" w:rsidP="00D74FFE">
            <w:pPr>
              <w:spacing w:after="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1871B5E3"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0F18A42F" w14:textId="63025B3B" w:rsidR="00D74FFE" w:rsidRPr="00D74FFE" w:rsidRDefault="00D74FFE" w:rsidP="00D74FFE">
            <w:pPr>
              <w:spacing w:line="240" w:lineRule="auto"/>
              <w:ind w:left="680" w:hanging="680"/>
              <w:jc w:val="left"/>
              <w:rPr>
                <w:rFonts w:ascii="Calibri" w:eastAsia="Malgun Gothic" w:hAnsi="Calibri" w:cs="Times New Roman"/>
                <w:b/>
                <w:i/>
              </w:rPr>
            </w:pPr>
            <w:r w:rsidRPr="00D74FFE">
              <w:rPr>
                <w:rFonts w:ascii="Calibri" w:eastAsia="Malgun Gothic" w:hAnsi="Calibri" w:cs="Times New Roman"/>
                <w:b/>
                <w:i/>
              </w:rPr>
              <w:t>Task 4</w:t>
            </w:r>
            <w:r w:rsidRPr="00D74FFE">
              <w:rPr>
                <w:rFonts w:ascii="Calibri" w:eastAsia="Malgun Gothic" w:hAnsi="Calibri" w:cs="Times New Roman"/>
              </w:rPr>
              <w:t>:</w:t>
            </w:r>
            <w:r w:rsidRPr="00D74FFE">
              <w:rPr>
                <w:rFonts w:ascii="Calibri" w:eastAsia="Malgun Gothic" w:hAnsi="Calibri" w:cs="Times New Roman"/>
                <w:b/>
                <w:i/>
              </w:rPr>
              <w:t xml:space="preserve"> </w:t>
            </w:r>
            <w:r w:rsidRPr="00D74FFE">
              <w:rPr>
                <w:rFonts w:ascii="Calibri" w:eastAsia="Malgun Gothic" w:hAnsi="Calibri" w:cs="Times New Roman"/>
              </w:rPr>
              <w:t>What are our legal obligations regarding gender equity and equality? Will they be breached or supported by the proposed options?</w:t>
            </w:r>
          </w:p>
        </w:tc>
        <w:tc>
          <w:tcPr>
            <w:tcW w:w="3357" w:type="dxa"/>
            <w:gridSpan w:val="3"/>
          </w:tcPr>
          <w:p w14:paraId="3F5F6655" w14:textId="77777777" w:rsidR="00D74FFE" w:rsidRPr="00D74FFE" w:rsidRDefault="00D74FFE" w:rsidP="00F116AB">
            <w:pPr>
              <w:numPr>
                <w:ilvl w:val="0"/>
                <w:numId w:val="42"/>
              </w:numPr>
              <w:spacing w:after="100" w:line="240" w:lineRule="auto"/>
              <w:jc w:val="left"/>
              <w:rPr>
                <w:rFonts w:ascii="Calibri" w:eastAsia="Malgun Gothic" w:hAnsi="Calibri" w:cs="Times New Roman"/>
              </w:rPr>
            </w:pPr>
          </w:p>
          <w:p w14:paraId="4922AA8A" w14:textId="5EACC078" w:rsidR="00D74FFE" w:rsidRDefault="00D74FFE" w:rsidP="00F116AB">
            <w:pPr>
              <w:numPr>
                <w:ilvl w:val="0"/>
                <w:numId w:val="42"/>
              </w:numPr>
              <w:spacing w:after="100" w:line="240" w:lineRule="auto"/>
              <w:jc w:val="left"/>
              <w:rPr>
                <w:rFonts w:ascii="Calibri" w:eastAsia="Malgun Gothic" w:hAnsi="Calibri" w:cs="Times New Roman"/>
              </w:rPr>
            </w:pPr>
          </w:p>
          <w:p w14:paraId="2AD7D50A" w14:textId="6DEBD899" w:rsidR="009A5C68" w:rsidRDefault="009A5C68" w:rsidP="00F116AB">
            <w:pPr>
              <w:numPr>
                <w:ilvl w:val="0"/>
                <w:numId w:val="42"/>
              </w:numPr>
              <w:spacing w:after="100" w:line="240" w:lineRule="auto"/>
              <w:jc w:val="left"/>
              <w:rPr>
                <w:rFonts w:ascii="Calibri" w:eastAsia="Malgun Gothic" w:hAnsi="Calibri" w:cs="Times New Roman"/>
              </w:rPr>
            </w:pPr>
          </w:p>
          <w:p w14:paraId="65B9AF56" w14:textId="5A627E74" w:rsidR="009A5C68" w:rsidRDefault="009A5C68" w:rsidP="00F116AB">
            <w:pPr>
              <w:numPr>
                <w:ilvl w:val="0"/>
                <w:numId w:val="42"/>
              </w:numPr>
              <w:spacing w:after="100" w:line="240" w:lineRule="auto"/>
              <w:jc w:val="left"/>
              <w:rPr>
                <w:rFonts w:ascii="Calibri" w:eastAsia="Malgun Gothic" w:hAnsi="Calibri" w:cs="Times New Roman"/>
              </w:rPr>
            </w:pPr>
          </w:p>
          <w:p w14:paraId="49E59AC1" w14:textId="77777777" w:rsidR="009A5C68" w:rsidRPr="00D74FFE" w:rsidRDefault="009A5C68" w:rsidP="00F116AB">
            <w:pPr>
              <w:numPr>
                <w:ilvl w:val="0"/>
                <w:numId w:val="42"/>
              </w:numPr>
              <w:spacing w:after="100" w:line="240" w:lineRule="auto"/>
              <w:jc w:val="left"/>
              <w:rPr>
                <w:rFonts w:ascii="Calibri" w:eastAsia="Malgun Gothic" w:hAnsi="Calibri" w:cs="Times New Roman"/>
              </w:rPr>
            </w:pPr>
          </w:p>
        </w:tc>
        <w:tc>
          <w:tcPr>
            <w:tcW w:w="1445" w:type="dxa"/>
          </w:tcPr>
          <w:p w14:paraId="086EA9B8"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1C76A1BB"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5D5B8839" w14:textId="1F8863A4" w:rsidR="00D74FFE" w:rsidRPr="00D74FFE" w:rsidRDefault="00D74FFE" w:rsidP="00D74FFE">
            <w:pPr>
              <w:spacing w:line="240" w:lineRule="auto"/>
              <w:ind w:left="680" w:hanging="680"/>
              <w:jc w:val="left"/>
              <w:rPr>
                <w:rFonts w:ascii="Calibri" w:eastAsia="Malgun Gothic" w:hAnsi="Calibri" w:cs="Times New Roman"/>
              </w:rPr>
            </w:pPr>
            <w:r w:rsidRPr="00D74FFE">
              <w:rPr>
                <w:rFonts w:ascii="Calibri" w:eastAsia="Malgun Gothic" w:hAnsi="Calibri" w:cs="Times New Roman"/>
                <w:b/>
                <w:i/>
              </w:rPr>
              <w:t>Task 5</w:t>
            </w:r>
            <w:r w:rsidRPr="00D74FFE">
              <w:rPr>
                <w:rFonts w:ascii="Calibri" w:eastAsia="Malgun Gothic" w:hAnsi="Calibri" w:cs="Times New Roman"/>
              </w:rPr>
              <w:t>: What are our measures (performance indicators) to evaluate the outcomes?</w:t>
            </w:r>
          </w:p>
        </w:tc>
        <w:tc>
          <w:tcPr>
            <w:tcW w:w="3357" w:type="dxa"/>
            <w:gridSpan w:val="3"/>
          </w:tcPr>
          <w:p w14:paraId="1B85ECD8" w14:textId="77777777" w:rsidR="00D74FFE" w:rsidRPr="00D74FFE" w:rsidRDefault="00D74FFE" w:rsidP="00F116AB">
            <w:pPr>
              <w:numPr>
                <w:ilvl w:val="0"/>
                <w:numId w:val="42"/>
              </w:numPr>
              <w:spacing w:after="0" w:line="240" w:lineRule="auto"/>
              <w:contextualSpacing/>
              <w:jc w:val="left"/>
              <w:rPr>
                <w:rFonts w:ascii="Calibri" w:eastAsia="Malgun Gothic" w:hAnsi="Calibri" w:cs="Times New Roman"/>
              </w:rPr>
            </w:pPr>
          </w:p>
          <w:p w14:paraId="39016E0E" w14:textId="07083DBC" w:rsidR="00D74FFE" w:rsidRDefault="00D74FFE" w:rsidP="00F116AB">
            <w:pPr>
              <w:numPr>
                <w:ilvl w:val="0"/>
                <w:numId w:val="42"/>
              </w:numPr>
              <w:spacing w:after="0" w:line="240" w:lineRule="auto"/>
              <w:contextualSpacing/>
              <w:jc w:val="left"/>
              <w:rPr>
                <w:rFonts w:ascii="Calibri" w:eastAsia="Malgun Gothic" w:hAnsi="Calibri" w:cs="Times New Roman"/>
              </w:rPr>
            </w:pPr>
          </w:p>
          <w:p w14:paraId="21ECFF8C" w14:textId="0CCAA431" w:rsidR="009A5C68" w:rsidRDefault="009A5C68" w:rsidP="00F116AB">
            <w:pPr>
              <w:numPr>
                <w:ilvl w:val="0"/>
                <w:numId w:val="42"/>
              </w:numPr>
              <w:spacing w:after="0" w:line="240" w:lineRule="auto"/>
              <w:contextualSpacing/>
              <w:jc w:val="left"/>
              <w:rPr>
                <w:rFonts w:ascii="Calibri" w:eastAsia="Malgun Gothic" w:hAnsi="Calibri" w:cs="Times New Roman"/>
              </w:rPr>
            </w:pPr>
          </w:p>
          <w:p w14:paraId="7BDBD0CA" w14:textId="77777777" w:rsidR="009A5C68" w:rsidRPr="00D74FFE" w:rsidRDefault="009A5C68" w:rsidP="00751629">
            <w:pPr>
              <w:spacing w:after="0" w:line="240" w:lineRule="auto"/>
              <w:ind w:left="360"/>
              <w:contextualSpacing/>
              <w:jc w:val="left"/>
              <w:rPr>
                <w:rFonts w:ascii="Calibri" w:eastAsia="Malgun Gothic" w:hAnsi="Calibri" w:cs="Times New Roman"/>
              </w:rPr>
            </w:pPr>
          </w:p>
        </w:tc>
        <w:tc>
          <w:tcPr>
            <w:tcW w:w="1445" w:type="dxa"/>
          </w:tcPr>
          <w:p w14:paraId="3AE5C9AC"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11C3C74B"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4" w:type="dxa"/>
            <w:gridSpan w:val="6"/>
            <w:shd w:val="clear" w:color="auto" w:fill="5A5098"/>
          </w:tcPr>
          <w:p w14:paraId="0E273909" w14:textId="1C14748E" w:rsidR="00D74FFE" w:rsidRPr="00D74FFE" w:rsidRDefault="00D74FFE" w:rsidP="00D74FFE">
            <w:pPr>
              <w:spacing w:before="120" w:line="240" w:lineRule="auto"/>
              <w:jc w:val="center"/>
              <w:rPr>
                <w:rFonts w:ascii="Calibri Light" w:eastAsia="Malgun Gothic" w:hAnsi="Calibri Light" w:cs="Times New Roman"/>
                <w:b/>
                <w:color w:val="FFFFFF"/>
                <w:sz w:val="28"/>
                <w:szCs w:val="28"/>
              </w:rPr>
            </w:pPr>
            <w:r w:rsidRPr="00D74FFE">
              <w:rPr>
                <w:rFonts w:ascii="Calibri Light" w:eastAsia="Malgun Gothic" w:hAnsi="Calibri Light" w:cs="Times New Roman"/>
                <w:b/>
                <w:color w:val="FFFFFF"/>
                <w:sz w:val="28"/>
                <w:szCs w:val="28"/>
              </w:rPr>
              <w:t>STAGE 4: PLANNING</w:t>
            </w:r>
          </w:p>
        </w:tc>
      </w:tr>
      <w:tr w:rsidR="00D74FFE" w:rsidRPr="00D74FFE" w14:paraId="36D96B56"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4" w:type="dxa"/>
            <w:gridSpan w:val="6"/>
          </w:tcPr>
          <w:p w14:paraId="1EC1447E" w14:textId="77777777" w:rsidR="00D74FFE" w:rsidRPr="00D74FFE" w:rsidRDefault="00D74FFE" w:rsidP="00D74FFE">
            <w:pPr>
              <w:spacing w:before="120" w:line="240" w:lineRule="auto"/>
              <w:jc w:val="left"/>
              <w:rPr>
                <w:rFonts w:ascii="Calibri" w:eastAsia="Malgun Gothic" w:hAnsi="Calibri" w:cs="Times New Roman"/>
              </w:rPr>
            </w:pPr>
            <w:r w:rsidRPr="00D74FFE">
              <w:rPr>
                <w:rFonts w:ascii="Calibri" w:eastAsia="Malgun Gothic" w:hAnsi="Calibri" w:cs="Times New Roman"/>
              </w:rPr>
              <w:t>This stage develops and refines engagement processes and options suggested by the previous stages.</w:t>
            </w:r>
          </w:p>
          <w:p w14:paraId="776D4ABF" w14:textId="77777777" w:rsidR="00D74FFE" w:rsidRPr="00D74FFE" w:rsidRDefault="00D74FFE" w:rsidP="00D7570E">
            <w:pPr>
              <w:shd w:val="clear" w:color="auto" w:fill="E6E7F2"/>
              <w:spacing w:after="100" w:line="240" w:lineRule="auto"/>
              <w:ind w:left="1003" w:right="283" w:hanging="720"/>
              <w:jc w:val="left"/>
              <w:rPr>
                <w:rFonts w:ascii="Calibri" w:eastAsia="Malgun Gothic" w:hAnsi="Calibri" w:cs="Times New Roman"/>
              </w:rPr>
            </w:pPr>
            <w:r w:rsidRPr="00D74FFE">
              <w:rPr>
                <w:rFonts w:ascii="Calibri" w:eastAsia="Malgun Gothic" w:hAnsi="Calibri" w:cs="Times New Roman"/>
                <w:b/>
              </w:rPr>
              <w:t>Note</w:t>
            </w:r>
            <w:r w:rsidRPr="00D74FFE">
              <w:rPr>
                <w:rFonts w:ascii="Calibri" w:eastAsia="Malgun Gothic" w:hAnsi="Calibri" w:cs="Times New Roman"/>
              </w:rPr>
              <w:t>:    Consider the impacts on people of all genders as a key element in recommending the engagement processes/options, not as an ‘add-on’. Consider how each option and engagement process will be monitored and evaluated to determine the impact of your project on people of all genders.</w:t>
            </w:r>
          </w:p>
        </w:tc>
      </w:tr>
      <w:tr w:rsidR="00D7570E" w:rsidRPr="00D74FFE" w14:paraId="67699FC9"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Borders>
              <w:bottom w:val="single" w:sz="4" w:space="0" w:color="auto"/>
            </w:tcBorders>
            <w:shd w:val="clear" w:color="auto" w:fill="F2F2F2"/>
          </w:tcPr>
          <w:p w14:paraId="4DF79616" w14:textId="77777777" w:rsidR="00D74FFE" w:rsidRPr="00D74FFE" w:rsidRDefault="00D74FFE" w:rsidP="00D74FFE">
            <w:pPr>
              <w:spacing w:after="100" w:line="240" w:lineRule="auto"/>
              <w:jc w:val="center"/>
              <w:rPr>
                <w:rFonts w:ascii="Calibri" w:eastAsia="Malgun Gothic" w:hAnsi="Calibri" w:cs="Times New Roman"/>
              </w:rPr>
            </w:pPr>
            <w:r w:rsidRPr="00D74FFE">
              <w:rPr>
                <w:rFonts w:ascii="Calibri" w:eastAsia="Malgun Gothic" w:hAnsi="Calibri" w:cs="Times New Roman"/>
              </w:rPr>
              <w:t>ISSUES/QUESTIONS TO CONSIDER</w:t>
            </w:r>
          </w:p>
        </w:tc>
        <w:tc>
          <w:tcPr>
            <w:tcW w:w="3357" w:type="dxa"/>
            <w:gridSpan w:val="3"/>
            <w:shd w:val="clear" w:color="auto" w:fill="F2F2F2"/>
          </w:tcPr>
          <w:p w14:paraId="2E45ADA6" w14:textId="77777777" w:rsidR="00D74FFE" w:rsidRPr="00D74FFE" w:rsidRDefault="00D74FFE" w:rsidP="00D74FFE">
            <w:pPr>
              <w:spacing w:after="100" w:line="240" w:lineRule="auto"/>
              <w:jc w:val="center"/>
              <w:rPr>
                <w:rFonts w:ascii="Calibri" w:eastAsia="Malgun Gothic" w:hAnsi="Calibri" w:cs="Times New Roman"/>
              </w:rPr>
            </w:pPr>
            <w:r w:rsidRPr="00D74FFE">
              <w:rPr>
                <w:rFonts w:ascii="Calibri" w:eastAsia="Malgun Gothic" w:hAnsi="Calibri" w:cs="Times New Roman"/>
              </w:rPr>
              <w:t>ACTIONS</w:t>
            </w:r>
          </w:p>
        </w:tc>
        <w:tc>
          <w:tcPr>
            <w:tcW w:w="1445" w:type="dxa"/>
            <w:shd w:val="clear" w:color="auto" w:fill="F2F2F2"/>
          </w:tcPr>
          <w:p w14:paraId="4223831C" w14:textId="77777777" w:rsidR="00D74FFE" w:rsidRPr="00D74FFE" w:rsidRDefault="00D74FFE" w:rsidP="00D74FFE">
            <w:pPr>
              <w:spacing w:after="100" w:line="240" w:lineRule="auto"/>
              <w:jc w:val="center"/>
              <w:rPr>
                <w:rFonts w:ascii="Calibri" w:eastAsia="Malgun Gothic" w:hAnsi="Calibri" w:cs="Times New Roman"/>
              </w:rPr>
            </w:pPr>
            <w:r w:rsidRPr="00D74FFE">
              <w:rPr>
                <w:rFonts w:ascii="Calibri" w:eastAsia="Malgun Gothic" w:hAnsi="Calibri" w:cs="Times New Roman"/>
              </w:rPr>
              <w:t>COMPLETION</w:t>
            </w:r>
          </w:p>
        </w:tc>
      </w:tr>
      <w:tr w:rsidR="00D74FFE" w:rsidRPr="00D74FFE" w14:paraId="13BAD5CF"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5A23E152" w14:textId="77777777" w:rsidR="00D74FFE" w:rsidRPr="00D74FFE" w:rsidRDefault="00D74FFE" w:rsidP="00D74FFE">
            <w:pPr>
              <w:spacing w:line="240" w:lineRule="auto"/>
              <w:ind w:left="680" w:hanging="680"/>
              <w:jc w:val="left"/>
              <w:rPr>
                <w:rFonts w:ascii="Calibri" w:eastAsia="Malgun Gothic" w:hAnsi="Calibri" w:cs="Times New Roman"/>
                <w:b/>
                <w:i/>
              </w:rPr>
            </w:pPr>
            <w:r w:rsidRPr="00D74FFE">
              <w:rPr>
                <w:rFonts w:ascii="Calibri" w:eastAsia="Malgun Gothic" w:hAnsi="Calibri" w:cs="Times New Roman"/>
                <w:b/>
                <w:i/>
              </w:rPr>
              <w:t>Task 1</w:t>
            </w:r>
            <w:r w:rsidRPr="00D74FFE">
              <w:rPr>
                <w:rFonts w:ascii="Calibri" w:eastAsia="Malgun Gothic" w:hAnsi="Calibri" w:cs="Times New Roman"/>
              </w:rPr>
              <w:t>: What options are possible according to the data and research? How do the proposed options support gender equity or equality?</w:t>
            </w:r>
          </w:p>
        </w:tc>
        <w:tc>
          <w:tcPr>
            <w:tcW w:w="3357" w:type="dxa"/>
            <w:gridSpan w:val="3"/>
          </w:tcPr>
          <w:p w14:paraId="2D87F7EF" w14:textId="77777777" w:rsidR="00D74FFE" w:rsidRPr="00D74FFE" w:rsidRDefault="00D74FFE" w:rsidP="002F43AD">
            <w:pPr>
              <w:numPr>
                <w:ilvl w:val="0"/>
                <w:numId w:val="77"/>
              </w:numPr>
              <w:spacing w:after="0" w:line="240" w:lineRule="auto"/>
              <w:contextualSpacing/>
              <w:jc w:val="left"/>
              <w:rPr>
                <w:rFonts w:ascii="Calibri" w:eastAsia="Malgun Gothic" w:hAnsi="Calibri" w:cs="Times New Roman"/>
              </w:rPr>
            </w:pPr>
          </w:p>
          <w:p w14:paraId="6366FE10" w14:textId="052FDAED" w:rsidR="00D74FFE" w:rsidRDefault="00D74FFE" w:rsidP="002F43AD">
            <w:pPr>
              <w:numPr>
                <w:ilvl w:val="0"/>
                <w:numId w:val="77"/>
              </w:numPr>
              <w:spacing w:after="0" w:line="240" w:lineRule="auto"/>
              <w:contextualSpacing/>
              <w:jc w:val="left"/>
              <w:rPr>
                <w:rFonts w:ascii="Calibri" w:eastAsia="Malgun Gothic" w:hAnsi="Calibri" w:cs="Times New Roman"/>
              </w:rPr>
            </w:pPr>
          </w:p>
          <w:p w14:paraId="3158CE76" w14:textId="4865912F" w:rsidR="00751629" w:rsidRDefault="00751629" w:rsidP="002F43AD">
            <w:pPr>
              <w:numPr>
                <w:ilvl w:val="0"/>
                <w:numId w:val="77"/>
              </w:numPr>
              <w:spacing w:after="0" w:line="240" w:lineRule="auto"/>
              <w:contextualSpacing/>
              <w:jc w:val="left"/>
              <w:rPr>
                <w:rFonts w:ascii="Calibri" w:eastAsia="Malgun Gothic" w:hAnsi="Calibri" w:cs="Times New Roman"/>
              </w:rPr>
            </w:pPr>
          </w:p>
          <w:p w14:paraId="758A708C" w14:textId="77777777" w:rsidR="009C696B" w:rsidRPr="00751629" w:rsidRDefault="009C696B" w:rsidP="002F43AD">
            <w:pPr>
              <w:numPr>
                <w:ilvl w:val="0"/>
                <w:numId w:val="77"/>
              </w:numPr>
              <w:spacing w:after="0" w:line="240" w:lineRule="auto"/>
              <w:contextualSpacing/>
              <w:jc w:val="left"/>
              <w:rPr>
                <w:rFonts w:ascii="Calibri" w:eastAsia="Malgun Gothic" w:hAnsi="Calibri" w:cs="Times New Roman"/>
              </w:rPr>
            </w:pPr>
          </w:p>
          <w:p w14:paraId="5B0CA058" w14:textId="77777777" w:rsidR="009C696B" w:rsidRPr="00751629" w:rsidRDefault="009C696B" w:rsidP="002F43AD">
            <w:pPr>
              <w:numPr>
                <w:ilvl w:val="0"/>
                <w:numId w:val="77"/>
              </w:numPr>
              <w:spacing w:after="0" w:line="240" w:lineRule="auto"/>
              <w:contextualSpacing/>
              <w:jc w:val="left"/>
              <w:rPr>
                <w:rFonts w:ascii="Calibri" w:eastAsia="Malgun Gothic" w:hAnsi="Calibri" w:cs="Times New Roman"/>
              </w:rPr>
            </w:pPr>
          </w:p>
          <w:p w14:paraId="543F49F0" w14:textId="77777777" w:rsidR="00751629" w:rsidRPr="00510840" w:rsidRDefault="00751629" w:rsidP="002F43AD">
            <w:pPr>
              <w:numPr>
                <w:ilvl w:val="0"/>
                <w:numId w:val="77"/>
              </w:numPr>
              <w:spacing w:after="0" w:line="240" w:lineRule="auto"/>
              <w:contextualSpacing/>
              <w:jc w:val="left"/>
              <w:rPr>
                <w:rFonts w:ascii="Calibri" w:eastAsia="Malgun Gothic" w:hAnsi="Calibri" w:cs="Times New Roman"/>
              </w:rPr>
            </w:pPr>
          </w:p>
        </w:tc>
        <w:tc>
          <w:tcPr>
            <w:tcW w:w="1445" w:type="dxa"/>
          </w:tcPr>
          <w:p w14:paraId="1B046C48"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4DF26829"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01A91CE7" w14:textId="1509777D" w:rsidR="00D74FFE" w:rsidRPr="00D74FFE" w:rsidRDefault="00D74FFE" w:rsidP="00D74FFE">
            <w:pPr>
              <w:spacing w:line="240" w:lineRule="auto"/>
              <w:ind w:left="680" w:hanging="680"/>
              <w:jc w:val="left"/>
              <w:rPr>
                <w:rFonts w:ascii="Calibri" w:eastAsia="Malgun Gothic" w:hAnsi="Calibri" w:cs="Times New Roman"/>
              </w:rPr>
            </w:pPr>
            <w:r w:rsidRPr="00D74FFE">
              <w:rPr>
                <w:rFonts w:ascii="Calibri" w:eastAsia="Malgun Gothic" w:hAnsi="Calibri" w:cs="Times New Roman"/>
                <w:b/>
                <w:i/>
              </w:rPr>
              <w:t>Task 2</w:t>
            </w:r>
            <w:r w:rsidRPr="00D74FFE">
              <w:rPr>
                <w:rFonts w:ascii="Calibri" w:eastAsia="Malgun Gothic" w:hAnsi="Calibri" w:cs="Times New Roman"/>
              </w:rPr>
              <w:t>: How will people of all genders engage in the development of the proposed options – as customers or as stakeholders?</w:t>
            </w:r>
          </w:p>
        </w:tc>
        <w:tc>
          <w:tcPr>
            <w:tcW w:w="3357" w:type="dxa"/>
            <w:gridSpan w:val="3"/>
          </w:tcPr>
          <w:p w14:paraId="48826648" w14:textId="758E96DF" w:rsidR="00D74FFE" w:rsidRDefault="00D74FFE" w:rsidP="002F43AD">
            <w:pPr>
              <w:numPr>
                <w:ilvl w:val="0"/>
                <w:numId w:val="77"/>
              </w:numPr>
              <w:spacing w:after="100" w:line="240" w:lineRule="auto"/>
              <w:jc w:val="left"/>
              <w:rPr>
                <w:rFonts w:ascii="Calibri" w:eastAsia="Malgun Gothic" w:hAnsi="Calibri" w:cs="Times New Roman"/>
              </w:rPr>
            </w:pPr>
          </w:p>
          <w:p w14:paraId="0F72A161" w14:textId="194D7A1A" w:rsidR="008232BD" w:rsidRDefault="008232BD" w:rsidP="002F43AD">
            <w:pPr>
              <w:numPr>
                <w:ilvl w:val="0"/>
                <w:numId w:val="77"/>
              </w:numPr>
              <w:spacing w:after="100" w:line="240" w:lineRule="auto"/>
              <w:jc w:val="left"/>
              <w:rPr>
                <w:rFonts w:ascii="Calibri" w:eastAsia="Malgun Gothic" w:hAnsi="Calibri" w:cs="Times New Roman"/>
              </w:rPr>
            </w:pPr>
          </w:p>
          <w:p w14:paraId="0E7048FB" w14:textId="77777777" w:rsidR="009C696B" w:rsidRPr="00751629" w:rsidRDefault="009C696B" w:rsidP="002F43AD">
            <w:pPr>
              <w:numPr>
                <w:ilvl w:val="0"/>
                <w:numId w:val="77"/>
              </w:numPr>
              <w:spacing w:after="0" w:line="240" w:lineRule="auto"/>
              <w:contextualSpacing/>
              <w:jc w:val="left"/>
              <w:rPr>
                <w:rFonts w:ascii="Calibri" w:eastAsia="Malgun Gothic" w:hAnsi="Calibri" w:cs="Times New Roman"/>
              </w:rPr>
            </w:pPr>
          </w:p>
          <w:p w14:paraId="04AC8613" w14:textId="77777777" w:rsidR="009C696B" w:rsidRPr="00751629" w:rsidRDefault="009C696B" w:rsidP="002F43AD">
            <w:pPr>
              <w:numPr>
                <w:ilvl w:val="0"/>
                <w:numId w:val="77"/>
              </w:numPr>
              <w:spacing w:after="0" w:line="240" w:lineRule="auto"/>
              <w:contextualSpacing/>
              <w:jc w:val="left"/>
              <w:rPr>
                <w:rFonts w:ascii="Calibri" w:eastAsia="Malgun Gothic" w:hAnsi="Calibri" w:cs="Times New Roman"/>
              </w:rPr>
            </w:pPr>
          </w:p>
          <w:p w14:paraId="4FC66DF5" w14:textId="77777777" w:rsidR="008232BD" w:rsidRPr="005E28AA" w:rsidRDefault="008232BD" w:rsidP="009C696B">
            <w:pPr>
              <w:spacing w:after="100" w:line="240" w:lineRule="auto"/>
              <w:ind w:left="360"/>
              <w:jc w:val="left"/>
              <w:rPr>
                <w:rFonts w:ascii="Calibri" w:eastAsia="Malgun Gothic" w:hAnsi="Calibri" w:cs="Times New Roman"/>
              </w:rPr>
            </w:pPr>
          </w:p>
        </w:tc>
        <w:tc>
          <w:tcPr>
            <w:tcW w:w="1445" w:type="dxa"/>
          </w:tcPr>
          <w:p w14:paraId="0A753802"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63EB7837"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6792D904" w14:textId="460F2DDE" w:rsidR="00D74FFE" w:rsidRPr="00D74FFE" w:rsidRDefault="00D74FFE" w:rsidP="00D74FFE">
            <w:pPr>
              <w:spacing w:line="240" w:lineRule="auto"/>
              <w:ind w:left="680" w:hanging="680"/>
              <w:jc w:val="left"/>
              <w:rPr>
                <w:rFonts w:ascii="Calibri" w:eastAsia="Malgun Gothic" w:hAnsi="Calibri" w:cs="Times New Roman"/>
              </w:rPr>
            </w:pPr>
            <w:r w:rsidRPr="00D74FFE">
              <w:rPr>
                <w:rFonts w:ascii="Calibri" w:eastAsia="Malgun Gothic" w:hAnsi="Calibri" w:cs="Times New Roman"/>
                <w:b/>
                <w:i/>
              </w:rPr>
              <w:t>Task 3</w:t>
            </w:r>
            <w:r w:rsidRPr="00D74FFE">
              <w:rPr>
                <w:rFonts w:ascii="Calibri" w:eastAsia="Malgun Gothic" w:hAnsi="Calibri" w:cs="Times New Roman"/>
              </w:rPr>
              <w:t>: Are the issues linked with other related strategies or initiatives? Are there opportunities for collaboration with other organisations – government and non-government?</w:t>
            </w:r>
          </w:p>
        </w:tc>
        <w:tc>
          <w:tcPr>
            <w:tcW w:w="3357" w:type="dxa"/>
            <w:gridSpan w:val="3"/>
          </w:tcPr>
          <w:p w14:paraId="079C4C6B" w14:textId="77777777" w:rsidR="00D74FFE" w:rsidRPr="00D74FFE" w:rsidRDefault="00D74FFE" w:rsidP="002F43AD">
            <w:pPr>
              <w:numPr>
                <w:ilvl w:val="0"/>
                <w:numId w:val="77"/>
              </w:numPr>
              <w:spacing w:after="0" w:line="240" w:lineRule="auto"/>
              <w:contextualSpacing/>
              <w:jc w:val="left"/>
              <w:rPr>
                <w:rFonts w:ascii="Calibri" w:eastAsia="Malgun Gothic" w:hAnsi="Calibri" w:cs="Times New Roman"/>
              </w:rPr>
            </w:pPr>
          </w:p>
          <w:p w14:paraId="27CE0DC1" w14:textId="67CA921B" w:rsidR="00D74FFE" w:rsidRDefault="00D74FFE" w:rsidP="002F43AD">
            <w:pPr>
              <w:numPr>
                <w:ilvl w:val="0"/>
                <w:numId w:val="77"/>
              </w:numPr>
              <w:spacing w:after="0" w:line="240" w:lineRule="auto"/>
              <w:contextualSpacing/>
              <w:jc w:val="left"/>
              <w:rPr>
                <w:rFonts w:ascii="Calibri" w:eastAsia="Malgun Gothic" w:hAnsi="Calibri" w:cs="Times New Roman"/>
              </w:rPr>
            </w:pPr>
          </w:p>
          <w:p w14:paraId="35BE2AE2" w14:textId="72BD2021" w:rsidR="008232BD" w:rsidRDefault="008232BD" w:rsidP="002F43AD">
            <w:pPr>
              <w:numPr>
                <w:ilvl w:val="0"/>
                <w:numId w:val="77"/>
              </w:numPr>
              <w:spacing w:after="0" w:line="240" w:lineRule="auto"/>
              <w:contextualSpacing/>
              <w:jc w:val="left"/>
              <w:rPr>
                <w:rFonts w:ascii="Calibri" w:eastAsia="Malgun Gothic" w:hAnsi="Calibri" w:cs="Times New Roman"/>
              </w:rPr>
            </w:pPr>
          </w:p>
          <w:p w14:paraId="4E5D1C59" w14:textId="047C90C8" w:rsidR="008232BD" w:rsidRDefault="008232BD" w:rsidP="002F43AD">
            <w:pPr>
              <w:numPr>
                <w:ilvl w:val="0"/>
                <w:numId w:val="77"/>
              </w:numPr>
              <w:spacing w:after="0" w:line="240" w:lineRule="auto"/>
              <w:contextualSpacing/>
              <w:jc w:val="left"/>
              <w:rPr>
                <w:rFonts w:ascii="Calibri" w:eastAsia="Malgun Gothic" w:hAnsi="Calibri" w:cs="Times New Roman"/>
              </w:rPr>
            </w:pPr>
          </w:p>
          <w:p w14:paraId="122C4FCF" w14:textId="0158DE60" w:rsidR="00751629" w:rsidRPr="00D74FFE" w:rsidRDefault="00751629" w:rsidP="00751629">
            <w:pPr>
              <w:spacing w:after="0" w:line="240" w:lineRule="auto"/>
              <w:contextualSpacing/>
              <w:jc w:val="left"/>
              <w:rPr>
                <w:rFonts w:ascii="Calibri" w:eastAsia="Malgun Gothic" w:hAnsi="Calibri" w:cs="Times New Roman"/>
              </w:rPr>
            </w:pPr>
          </w:p>
        </w:tc>
        <w:tc>
          <w:tcPr>
            <w:tcW w:w="1445" w:type="dxa"/>
          </w:tcPr>
          <w:p w14:paraId="48FE6EBF" w14:textId="77777777" w:rsidR="00D74FFE" w:rsidRPr="00D74FFE" w:rsidRDefault="00D74FFE" w:rsidP="00D74FFE">
            <w:pPr>
              <w:spacing w:after="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075BE27A"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5B6FC639" w14:textId="4EE6054B" w:rsidR="00D74FFE" w:rsidRPr="00D74FFE" w:rsidRDefault="00D74FFE" w:rsidP="00D74FFE">
            <w:pPr>
              <w:spacing w:line="240" w:lineRule="auto"/>
              <w:ind w:left="680" w:hanging="680"/>
              <w:jc w:val="left"/>
              <w:rPr>
                <w:rFonts w:ascii="Calibri" w:eastAsia="Malgun Gothic" w:hAnsi="Calibri" w:cs="Times New Roman"/>
              </w:rPr>
            </w:pPr>
            <w:r w:rsidRPr="00D74FFE">
              <w:rPr>
                <w:rFonts w:ascii="Calibri" w:eastAsia="Malgun Gothic" w:hAnsi="Calibri" w:cs="Times New Roman"/>
                <w:b/>
                <w:i/>
              </w:rPr>
              <w:t>Task 4</w:t>
            </w:r>
            <w:r w:rsidRPr="00D74FFE">
              <w:rPr>
                <w:rFonts w:ascii="Calibri" w:eastAsia="Malgun Gothic" w:hAnsi="Calibri" w:cs="Times New Roman"/>
              </w:rPr>
              <w:t>: How might the engagement process assist in sorting and prioritising options? For example, is gender equity a consideration for sorting options?</w:t>
            </w:r>
          </w:p>
        </w:tc>
        <w:tc>
          <w:tcPr>
            <w:tcW w:w="3357" w:type="dxa"/>
            <w:gridSpan w:val="3"/>
          </w:tcPr>
          <w:p w14:paraId="6A14564A" w14:textId="77777777" w:rsidR="00D74FFE" w:rsidRPr="00D74FFE" w:rsidRDefault="00D74FFE" w:rsidP="002F43AD">
            <w:pPr>
              <w:numPr>
                <w:ilvl w:val="0"/>
                <w:numId w:val="77"/>
              </w:numPr>
              <w:spacing w:after="0" w:line="240" w:lineRule="auto"/>
              <w:contextualSpacing/>
              <w:jc w:val="left"/>
              <w:rPr>
                <w:rFonts w:ascii="Calibri" w:eastAsia="Malgun Gothic" w:hAnsi="Calibri" w:cs="Times New Roman"/>
              </w:rPr>
            </w:pPr>
          </w:p>
          <w:p w14:paraId="232D7285" w14:textId="05482D13" w:rsidR="00D74FFE" w:rsidRDefault="00D74FFE" w:rsidP="002F43AD">
            <w:pPr>
              <w:numPr>
                <w:ilvl w:val="0"/>
                <w:numId w:val="77"/>
              </w:numPr>
              <w:spacing w:after="0" w:line="240" w:lineRule="auto"/>
              <w:contextualSpacing/>
              <w:jc w:val="left"/>
              <w:rPr>
                <w:rFonts w:ascii="Calibri" w:eastAsia="Malgun Gothic" w:hAnsi="Calibri" w:cs="Times New Roman"/>
              </w:rPr>
            </w:pPr>
          </w:p>
          <w:p w14:paraId="4D287310" w14:textId="43D57C14" w:rsidR="009A5C68" w:rsidRDefault="009A5C68" w:rsidP="002F43AD">
            <w:pPr>
              <w:numPr>
                <w:ilvl w:val="0"/>
                <w:numId w:val="77"/>
              </w:numPr>
              <w:spacing w:after="0" w:line="240" w:lineRule="auto"/>
              <w:contextualSpacing/>
              <w:jc w:val="left"/>
              <w:rPr>
                <w:rFonts w:ascii="Calibri" w:eastAsia="Malgun Gothic" w:hAnsi="Calibri" w:cs="Times New Roman"/>
              </w:rPr>
            </w:pPr>
          </w:p>
          <w:p w14:paraId="6ED5604A" w14:textId="5A0A2667" w:rsidR="009A5C68" w:rsidRDefault="009A5C68" w:rsidP="002F43AD">
            <w:pPr>
              <w:numPr>
                <w:ilvl w:val="0"/>
                <w:numId w:val="77"/>
              </w:numPr>
              <w:spacing w:after="0" w:line="240" w:lineRule="auto"/>
              <w:contextualSpacing/>
              <w:jc w:val="left"/>
              <w:rPr>
                <w:rFonts w:ascii="Calibri" w:eastAsia="Malgun Gothic" w:hAnsi="Calibri" w:cs="Times New Roman"/>
              </w:rPr>
            </w:pPr>
          </w:p>
          <w:p w14:paraId="293F5011" w14:textId="77777777" w:rsidR="009A5C68" w:rsidRPr="00D74FFE" w:rsidRDefault="009A5C68" w:rsidP="008232BD">
            <w:pPr>
              <w:spacing w:after="0" w:line="240" w:lineRule="auto"/>
              <w:contextualSpacing/>
              <w:jc w:val="left"/>
              <w:rPr>
                <w:rFonts w:ascii="Calibri" w:eastAsia="Malgun Gothic" w:hAnsi="Calibri" w:cs="Times New Roman"/>
              </w:rPr>
            </w:pPr>
          </w:p>
        </w:tc>
        <w:tc>
          <w:tcPr>
            <w:tcW w:w="1445" w:type="dxa"/>
          </w:tcPr>
          <w:p w14:paraId="7CEF6753"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1D1832E2"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6B0C1798" w14:textId="2926630A" w:rsidR="00D74FFE" w:rsidRPr="00D74FFE" w:rsidRDefault="00D74FFE" w:rsidP="00D74FFE">
            <w:pPr>
              <w:spacing w:line="240" w:lineRule="auto"/>
              <w:ind w:left="680" w:hanging="680"/>
              <w:jc w:val="left"/>
              <w:rPr>
                <w:rFonts w:ascii="Calibri" w:eastAsia="Malgun Gothic" w:hAnsi="Calibri" w:cs="Times New Roman"/>
                <w:b/>
                <w:i/>
              </w:rPr>
            </w:pPr>
            <w:r w:rsidRPr="00D74FFE">
              <w:rPr>
                <w:rFonts w:ascii="Calibri" w:eastAsia="Malgun Gothic" w:hAnsi="Calibri" w:cs="Times New Roman"/>
                <w:b/>
                <w:i/>
              </w:rPr>
              <w:t>Task 5</w:t>
            </w:r>
            <w:r w:rsidRPr="00D74FFE">
              <w:rPr>
                <w:rFonts w:ascii="Calibri" w:eastAsia="Malgun Gothic" w:hAnsi="Calibri" w:cs="Times New Roman"/>
              </w:rPr>
              <w:t>:</w:t>
            </w:r>
            <w:r w:rsidRPr="00D74FFE">
              <w:rPr>
                <w:rFonts w:ascii="Calibri" w:eastAsia="Malgun Gothic" w:hAnsi="Calibri" w:cs="Times New Roman"/>
                <w:b/>
                <w:i/>
              </w:rPr>
              <w:t xml:space="preserve"> </w:t>
            </w:r>
            <w:r w:rsidRPr="00D74FFE">
              <w:rPr>
                <w:rFonts w:ascii="Calibri" w:eastAsia="Malgun Gothic" w:hAnsi="Calibri" w:cs="Times New Roman"/>
              </w:rPr>
              <w:t>Who will implement each option, and what resources are required?</w:t>
            </w:r>
          </w:p>
        </w:tc>
        <w:tc>
          <w:tcPr>
            <w:tcW w:w="3357" w:type="dxa"/>
            <w:gridSpan w:val="3"/>
          </w:tcPr>
          <w:p w14:paraId="49F201AD" w14:textId="77777777" w:rsidR="00D74FFE" w:rsidRPr="00D74FFE" w:rsidRDefault="00D74FFE" w:rsidP="002F43AD">
            <w:pPr>
              <w:numPr>
                <w:ilvl w:val="0"/>
                <w:numId w:val="77"/>
              </w:numPr>
              <w:spacing w:after="100" w:line="240" w:lineRule="auto"/>
              <w:jc w:val="left"/>
              <w:rPr>
                <w:rFonts w:ascii="Calibri" w:eastAsia="Malgun Gothic" w:hAnsi="Calibri" w:cs="Times New Roman"/>
              </w:rPr>
            </w:pPr>
          </w:p>
          <w:p w14:paraId="64373392" w14:textId="77777777" w:rsidR="00D74FFE" w:rsidRPr="00510840" w:rsidRDefault="00D74FFE" w:rsidP="002F43AD">
            <w:pPr>
              <w:numPr>
                <w:ilvl w:val="0"/>
                <w:numId w:val="77"/>
              </w:numPr>
              <w:spacing w:after="100" w:line="240" w:lineRule="auto"/>
              <w:jc w:val="left"/>
              <w:rPr>
                <w:rFonts w:ascii="Calibri" w:eastAsia="Malgun Gothic" w:hAnsi="Calibri" w:cs="Times New Roman"/>
              </w:rPr>
            </w:pPr>
          </w:p>
        </w:tc>
        <w:tc>
          <w:tcPr>
            <w:tcW w:w="1445" w:type="dxa"/>
          </w:tcPr>
          <w:p w14:paraId="34C24D31"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477A5E48"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4464D906" w14:textId="77777777" w:rsidR="00D74FFE" w:rsidRPr="00D74FFE" w:rsidRDefault="00D74FFE" w:rsidP="00D74FFE">
            <w:pPr>
              <w:spacing w:line="240" w:lineRule="auto"/>
              <w:ind w:left="680" w:hanging="680"/>
              <w:jc w:val="left"/>
              <w:rPr>
                <w:rFonts w:ascii="Calibri" w:eastAsia="Malgun Gothic" w:hAnsi="Calibri" w:cs="Times New Roman"/>
              </w:rPr>
            </w:pPr>
            <w:r w:rsidRPr="00D74FFE">
              <w:rPr>
                <w:rFonts w:ascii="Calibri" w:eastAsia="Malgun Gothic" w:hAnsi="Calibri" w:cs="Times New Roman"/>
                <w:b/>
                <w:i/>
              </w:rPr>
              <w:t>Task 6</w:t>
            </w:r>
            <w:r w:rsidRPr="00D74FFE">
              <w:rPr>
                <w:rFonts w:ascii="Calibri" w:eastAsia="Malgun Gothic" w:hAnsi="Calibri" w:cs="Times New Roman"/>
              </w:rPr>
              <w:t>: Are there any potential barriers or areas of resistance?  How will you address these?</w:t>
            </w:r>
          </w:p>
        </w:tc>
        <w:tc>
          <w:tcPr>
            <w:tcW w:w="3357" w:type="dxa"/>
            <w:gridSpan w:val="3"/>
          </w:tcPr>
          <w:p w14:paraId="6BE69B9C" w14:textId="6BBECF48" w:rsidR="00D74FFE" w:rsidRDefault="00D74FFE" w:rsidP="002F43AD">
            <w:pPr>
              <w:numPr>
                <w:ilvl w:val="0"/>
                <w:numId w:val="77"/>
              </w:numPr>
              <w:spacing w:after="0" w:line="240" w:lineRule="auto"/>
              <w:contextualSpacing/>
              <w:jc w:val="left"/>
              <w:rPr>
                <w:rFonts w:ascii="Calibri" w:eastAsia="Malgun Gothic" w:hAnsi="Calibri" w:cs="Times New Roman"/>
              </w:rPr>
            </w:pPr>
          </w:p>
          <w:p w14:paraId="2F90D963" w14:textId="77777777" w:rsidR="009A5C68" w:rsidRPr="00D74FFE" w:rsidRDefault="009A5C68" w:rsidP="002F43AD">
            <w:pPr>
              <w:numPr>
                <w:ilvl w:val="0"/>
                <w:numId w:val="77"/>
              </w:numPr>
              <w:spacing w:after="0" w:line="240" w:lineRule="auto"/>
              <w:contextualSpacing/>
              <w:jc w:val="left"/>
              <w:rPr>
                <w:rFonts w:ascii="Calibri" w:eastAsia="Malgun Gothic" w:hAnsi="Calibri" w:cs="Times New Roman"/>
              </w:rPr>
            </w:pPr>
          </w:p>
          <w:p w14:paraId="00E1F892" w14:textId="77777777" w:rsidR="005E28AA" w:rsidRPr="005E28AA" w:rsidRDefault="005E28AA" w:rsidP="002F43AD">
            <w:pPr>
              <w:numPr>
                <w:ilvl w:val="0"/>
                <w:numId w:val="77"/>
              </w:numPr>
              <w:spacing w:after="0" w:line="240" w:lineRule="auto"/>
              <w:contextualSpacing/>
              <w:jc w:val="left"/>
              <w:rPr>
                <w:rFonts w:ascii="Calibri" w:eastAsia="Malgun Gothic" w:hAnsi="Calibri" w:cs="Times New Roman"/>
              </w:rPr>
            </w:pPr>
          </w:p>
          <w:p w14:paraId="08ECA71C" w14:textId="77777777" w:rsidR="00751629" w:rsidRPr="005E28AA" w:rsidRDefault="00751629" w:rsidP="002F43AD">
            <w:pPr>
              <w:numPr>
                <w:ilvl w:val="0"/>
                <w:numId w:val="77"/>
              </w:numPr>
              <w:spacing w:after="0" w:line="240" w:lineRule="auto"/>
              <w:contextualSpacing/>
              <w:jc w:val="left"/>
              <w:rPr>
                <w:rFonts w:ascii="Calibri" w:eastAsia="Malgun Gothic" w:hAnsi="Calibri" w:cs="Times New Roman"/>
              </w:rPr>
            </w:pPr>
          </w:p>
        </w:tc>
        <w:tc>
          <w:tcPr>
            <w:tcW w:w="1445" w:type="dxa"/>
          </w:tcPr>
          <w:p w14:paraId="79D3A553"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0F6EF68D"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4" w:type="dxa"/>
            <w:gridSpan w:val="6"/>
            <w:shd w:val="clear" w:color="auto" w:fill="385623"/>
          </w:tcPr>
          <w:p w14:paraId="3C7FD72F" w14:textId="6E8365AB" w:rsidR="00D74FFE" w:rsidRPr="00D74FFE" w:rsidRDefault="00D74FFE" w:rsidP="00D74FFE">
            <w:pPr>
              <w:spacing w:before="120" w:line="240" w:lineRule="auto"/>
              <w:jc w:val="center"/>
              <w:rPr>
                <w:rFonts w:ascii="Calibri Light" w:eastAsia="Malgun Gothic" w:hAnsi="Calibri Light" w:cs="Times New Roman"/>
                <w:sz w:val="28"/>
                <w:szCs w:val="28"/>
              </w:rPr>
            </w:pPr>
            <w:r w:rsidRPr="00D74FFE">
              <w:rPr>
                <w:rFonts w:ascii="Calibri Light" w:eastAsia="Malgun Gothic" w:hAnsi="Calibri Light" w:cs="Times New Roman"/>
                <w:b/>
                <w:color w:val="FFFFFF"/>
                <w:sz w:val="28"/>
                <w:szCs w:val="28"/>
              </w:rPr>
              <w:t>STAGE 5: COMMUNICATING</w:t>
            </w:r>
          </w:p>
        </w:tc>
      </w:tr>
      <w:tr w:rsidR="00D74FFE" w:rsidRPr="00D74FFE" w14:paraId="24E1E1D4"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4" w:type="dxa"/>
            <w:gridSpan w:val="6"/>
          </w:tcPr>
          <w:p w14:paraId="2EF535D9" w14:textId="77777777" w:rsidR="00D74FFE" w:rsidRPr="00D74FFE" w:rsidRDefault="00D74FFE" w:rsidP="00D74FFE">
            <w:pPr>
              <w:spacing w:before="120" w:line="240" w:lineRule="auto"/>
              <w:jc w:val="left"/>
              <w:rPr>
                <w:rFonts w:ascii="Calibri" w:eastAsia="Malgun Gothic" w:hAnsi="Calibri" w:cs="Times New Roman"/>
              </w:rPr>
            </w:pPr>
            <w:r w:rsidRPr="00D74FFE">
              <w:rPr>
                <w:rFonts w:ascii="Calibri" w:eastAsia="Malgun Gothic" w:hAnsi="Calibri" w:cs="Times New Roman"/>
              </w:rPr>
              <w:t>This stage communicates chosen options and engagement processes.</w:t>
            </w:r>
          </w:p>
          <w:p w14:paraId="101F8945" w14:textId="77777777" w:rsidR="00D74FFE" w:rsidRPr="00D74FFE" w:rsidRDefault="00D74FFE" w:rsidP="00D7570E">
            <w:pPr>
              <w:shd w:val="clear" w:color="auto" w:fill="EFF6EA"/>
              <w:spacing w:after="100" w:line="240" w:lineRule="auto"/>
              <w:ind w:left="1003" w:right="283" w:hanging="720"/>
              <w:jc w:val="left"/>
              <w:rPr>
                <w:rFonts w:ascii="Calibri" w:eastAsia="Malgun Gothic" w:hAnsi="Calibri" w:cs="Times New Roman"/>
              </w:rPr>
            </w:pPr>
            <w:r w:rsidRPr="00D74FFE">
              <w:rPr>
                <w:rFonts w:ascii="Calibri" w:eastAsia="Malgun Gothic" w:hAnsi="Calibri" w:cs="Times New Roman"/>
                <w:b/>
              </w:rPr>
              <w:t>Note</w:t>
            </w:r>
            <w:r w:rsidRPr="00D74FFE">
              <w:rPr>
                <w:rFonts w:ascii="Calibri" w:eastAsia="Malgun Gothic" w:hAnsi="Calibri" w:cs="Times New Roman"/>
              </w:rPr>
              <w:t>:    Timing, choice of media, language and public involvement are important to ensure that your organisation’s intent and the impacts of the policy, program or service are understood by all groups.</w:t>
            </w:r>
          </w:p>
        </w:tc>
      </w:tr>
      <w:tr w:rsidR="00D7570E" w:rsidRPr="00D74FFE" w14:paraId="275CF237"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Borders>
              <w:bottom w:val="single" w:sz="4" w:space="0" w:color="auto"/>
            </w:tcBorders>
            <w:shd w:val="clear" w:color="auto" w:fill="F2F2F2"/>
          </w:tcPr>
          <w:p w14:paraId="08A1399E" w14:textId="77777777" w:rsidR="00D74FFE" w:rsidRPr="00D74FFE" w:rsidRDefault="00D74FFE" w:rsidP="00D74FFE">
            <w:pPr>
              <w:spacing w:after="100" w:line="240" w:lineRule="auto"/>
              <w:jc w:val="center"/>
              <w:rPr>
                <w:rFonts w:ascii="Calibri" w:eastAsia="Malgun Gothic" w:hAnsi="Calibri" w:cs="Times New Roman"/>
              </w:rPr>
            </w:pPr>
            <w:r w:rsidRPr="00D74FFE">
              <w:rPr>
                <w:rFonts w:ascii="Calibri" w:eastAsia="Malgun Gothic" w:hAnsi="Calibri" w:cs="Times New Roman"/>
              </w:rPr>
              <w:t>ISSUES/QUESTIONS TO CONSIDER</w:t>
            </w:r>
          </w:p>
        </w:tc>
        <w:tc>
          <w:tcPr>
            <w:tcW w:w="3357" w:type="dxa"/>
            <w:gridSpan w:val="3"/>
            <w:shd w:val="clear" w:color="auto" w:fill="F2F2F2"/>
          </w:tcPr>
          <w:p w14:paraId="2C2C0D55" w14:textId="77777777" w:rsidR="00D74FFE" w:rsidRPr="00D74FFE" w:rsidRDefault="00D74FFE" w:rsidP="00D74FFE">
            <w:pPr>
              <w:spacing w:after="100" w:line="240" w:lineRule="auto"/>
              <w:jc w:val="center"/>
              <w:rPr>
                <w:rFonts w:ascii="Calibri" w:eastAsia="Malgun Gothic" w:hAnsi="Calibri" w:cs="Times New Roman"/>
              </w:rPr>
            </w:pPr>
            <w:r w:rsidRPr="00D74FFE">
              <w:rPr>
                <w:rFonts w:ascii="Calibri" w:eastAsia="Malgun Gothic" w:hAnsi="Calibri" w:cs="Times New Roman"/>
              </w:rPr>
              <w:t>ACTIONS</w:t>
            </w:r>
          </w:p>
        </w:tc>
        <w:tc>
          <w:tcPr>
            <w:tcW w:w="1445" w:type="dxa"/>
            <w:shd w:val="clear" w:color="auto" w:fill="F2F2F2"/>
          </w:tcPr>
          <w:p w14:paraId="310852CB" w14:textId="77777777" w:rsidR="00D74FFE" w:rsidRPr="00D74FFE" w:rsidRDefault="00D74FFE" w:rsidP="00D74FFE">
            <w:pPr>
              <w:spacing w:after="100" w:line="240" w:lineRule="auto"/>
              <w:jc w:val="center"/>
              <w:rPr>
                <w:rFonts w:ascii="Calibri" w:eastAsia="Malgun Gothic" w:hAnsi="Calibri" w:cs="Times New Roman"/>
              </w:rPr>
            </w:pPr>
            <w:r w:rsidRPr="00D74FFE">
              <w:rPr>
                <w:rFonts w:ascii="Calibri" w:eastAsia="Malgun Gothic" w:hAnsi="Calibri" w:cs="Times New Roman"/>
              </w:rPr>
              <w:t>COMPLETION</w:t>
            </w:r>
          </w:p>
        </w:tc>
      </w:tr>
      <w:tr w:rsidR="00D74FFE" w:rsidRPr="00D74FFE" w14:paraId="49BB3159"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vMerge w:val="restart"/>
          </w:tcPr>
          <w:p w14:paraId="33C4F1DC" w14:textId="77777777" w:rsidR="00D74FFE" w:rsidRPr="00D74FFE" w:rsidRDefault="00D74FFE" w:rsidP="00D74FFE">
            <w:pPr>
              <w:spacing w:line="240" w:lineRule="auto"/>
              <w:ind w:left="680" w:hanging="680"/>
              <w:jc w:val="left"/>
              <w:rPr>
                <w:rFonts w:ascii="Calibri" w:eastAsia="Malgun Gothic" w:hAnsi="Calibri" w:cs="Times New Roman"/>
                <w:b/>
                <w:i/>
              </w:rPr>
            </w:pPr>
            <w:r w:rsidRPr="00D74FFE">
              <w:rPr>
                <w:rFonts w:ascii="Calibri" w:eastAsia="Malgun Gothic" w:hAnsi="Calibri" w:cs="Times New Roman"/>
                <w:b/>
                <w:i/>
              </w:rPr>
              <w:t>Task 1</w:t>
            </w:r>
            <w:r w:rsidRPr="00D74FFE">
              <w:rPr>
                <w:rFonts w:ascii="Calibri" w:eastAsia="Malgun Gothic" w:hAnsi="Calibri" w:cs="Times New Roman"/>
              </w:rPr>
              <w:t>: Who are our audiences, what is our main message and does our communication reflect the diversity of women, men and gender diverse people?</w:t>
            </w:r>
          </w:p>
        </w:tc>
        <w:tc>
          <w:tcPr>
            <w:tcW w:w="1053" w:type="dxa"/>
          </w:tcPr>
          <w:p w14:paraId="257F6282" w14:textId="77777777" w:rsidR="00D74FFE" w:rsidRPr="00D74FFE" w:rsidRDefault="00D74FFE" w:rsidP="00D74FFE">
            <w:pPr>
              <w:spacing w:after="100" w:line="240" w:lineRule="auto"/>
              <w:jc w:val="center"/>
              <w:rPr>
                <w:rFonts w:ascii="Calibri" w:eastAsia="Malgun Gothic" w:hAnsi="Calibri" w:cs="Times New Roman"/>
              </w:rPr>
            </w:pPr>
            <w:r w:rsidRPr="00D74FFE">
              <w:rPr>
                <w:rFonts w:ascii="Calibri" w:eastAsia="Malgun Gothic" w:hAnsi="Calibri" w:cs="Times New Roman"/>
              </w:rPr>
              <w:t>Audience</w:t>
            </w:r>
          </w:p>
        </w:tc>
        <w:tc>
          <w:tcPr>
            <w:tcW w:w="1282" w:type="dxa"/>
            <w:vAlign w:val="center"/>
          </w:tcPr>
          <w:p w14:paraId="22F2EA0C" w14:textId="77777777" w:rsidR="00D74FFE" w:rsidRPr="00D74FFE" w:rsidRDefault="00D74FFE" w:rsidP="00D74FFE">
            <w:pPr>
              <w:spacing w:after="100" w:line="240" w:lineRule="auto"/>
              <w:jc w:val="center"/>
              <w:rPr>
                <w:rFonts w:ascii="Calibri" w:eastAsia="Malgun Gothic" w:hAnsi="Calibri" w:cs="Times New Roman"/>
              </w:rPr>
            </w:pPr>
            <w:r w:rsidRPr="00D74FFE">
              <w:rPr>
                <w:rFonts w:ascii="Calibri" w:eastAsia="Malgun Gothic" w:hAnsi="Calibri" w:cs="Times New Roman"/>
              </w:rPr>
              <w:t>Message</w:t>
            </w:r>
          </w:p>
        </w:tc>
        <w:tc>
          <w:tcPr>
            <w:tcW w:w="1022" w:type="dxa"/>
            <w:vAlign w:val="center"/>
          </w:tcPr>
          <w:p w14:paraId="5C099983" w14:textId="77777777" w:rsidR="00D74FFE" w:rsidRPr="00D74FFE" w:rsidRDefault="00D74FFE" w:rsidP="00D74FFE">
            <w:pPr>
              <w:spacing w:after="100" w:line="240" w:lineRule="auto"/>
              <w:jc w:val="center"/>
              <w:rPr>
                <w:rFonts w:ascii="Calibri" w:eastAsia="Malgun Gothic" w:hAnsi="Calibri" w:cs="Times New Roman"/>
              </w:rPr>
            </w:pPr>
            <w:r w:rsidRPr="00D74FFE">
              <w:rPr>
                <w:rFonts w:ascii="Calibri" w:eastAsia="Malgun Gothic" w:hAnsi="Calibri" w:cs="Times New Roman"/>
              </w:rPr>
              <w:t>Media</w:t>
            </w:r>
          </w:p>
        </w:tc>
        <w:tc>
          <w:tcPr>
            <w:tcW w:w="1445" w:type="dxa"/>
          </w:tcPr>
          <w:p w14:paraId="7753178B" w14:textId="77777777" w:rsidR="00D74FFE" w:rsidRPr="00D74FFE" w:rsidRDefault="00D74FFE" w:rsidP="00D74FFE">
            <w:pPr>
              <w:spacing w:after="100" w:line="240" w:lineRule="auto"/>
              <w:jc w:val="left"/>
              <w:rPr>
                <w:rFonts w:ascii="Calibri" w:eastAsia="Malgun Gothic" w:hAnsi="Calibri" w:cs="Times New Roman"/>
              </w:rPr>
            </w:pPr>
          </w:p>
        </w:tc>
      </w:tr>
      <w:tr w:rsidR="00D74FFE" w:rsidRPr="00D74FFE" w14:paraId="2C5330CB"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vMerge/>
          </w:tcPr>
          <w:p w14:paraId="2D60F4EE" w14:textId="77777777" w:rsidR="00D74FFE" w:rsidRPr="00D74FFE" w:rsidRDefault="00D74FFE" w:rsidP="00D74FFE">
            <w:pPr>
              <w:spacing w:after="100" w:line="240" w:lineRule="auto"/>
              <w:jc w:val="left"/>
              <w:rPr>
                <w:rFonts w:ascii="Calibri" w:eastAsia="Malgun Gothic" w:hAnsi="Calibri" w:cs="Times New Roman"/>
                <w:b/>
                <w:i/>
              </w:rPr>
            </w:pPr>
          </w:p>
        </w:tc>
        <w:tc>
          <w:tcPr>
            <w:tcW w:w="1053" w:type="dxa"/>
          </w:tcPr>
          <w:p w14:paraId="7BA120E1" w14:textId="77777777" w:rsidR="00D74FFE" w:rsidRPr="00D74FFE" w:rsidRDefault="00D74FFE" w:rsidP="00D74FFE">
            <w:pPr>
              <w:spacing w:after="100" w:line="240" w:lineRule="auto"/>
              <w:jc w:val="left"/>
              <w:rPr>
                <w:rFonts w:ascii="Calibri" w:eastAsia="Malgun Gothic" w:hAnsi="Calibri" w:cs="Times New Roman"/>
              </w:rPr>
            </w:pPr>
          </w:p>
        </w:tc>
        <w:tc>
          <w:tcPr>
            <w:tcW w:w="1282" w:type="dxa"/>
          </w:tcPr>
          <w:p w14:paraId="6F775072" w14:textId="77777777" w:rsidR="00D74FFE" w:rsidRPr="00D74FFE" w:rsidRDefault="00D74FFE" w:rsidP="00D74FFE">
            <w:pPr>
              <w:spacing w:after="100" w:line="240" w:lineRule="auto"/>
              <w:jc w:val="left"/>
              <w:rPr>
                <w:rFonts w:ascii="Calibri" w:eastAsia="Malgun Gothic" w:hAnsi="Calibri" w:cs="Times New Roman"/>
              </w:rPr>
            </w:pPr>
          </w:p>
        </w:tc>
        <w:tc>
          <w:tcPr>
            <w:tcW w:w="1022" w:type="dxa"/>
          </w:tcPr>
          <w:p w14:paraId="4F56173B" w14:textId="77777777" w:rsidR="00D74FFE" w:rsidRPr="00D74FFE" w:rsidRDefault="00D74FFE" w:rsidP="00D74FFE">
            <w:pPr>
              <w:spacing w:after="100" w:line="240" w:lineRule="auto"/>
              <w:jc w:val="left"/>
              <w:rPr>
                <w:rFonts w:ascii="Calibri" w:eastAsia="Malgun Gothic" w:hAnsi="Calibri" w:cs="Times New Roman"/>
              </w:rPr>
            </w:pPr>
          </w:p>
        </w:tc>
        <w:tc>
          <w:tcPr>
            <w:tcW w:w="1445" w:type="dxa"/>
          </w:tcPr>
          <w:p w14:paraId="34C608FA"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2C905A4B"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vMerge/>
          </w:tcPr>
          <w:p w14:paraId="0E83AAA6" w14:textId="77777777" w:rsidR="00D74FFE" w:rsidRPr="00D74FFE" w:rsidRDefault="00D74FFE" w:rsidP="00D74FFE">
            <w:pPr>
              <w:spacing w:after="100" w:line="240" w:lineRule="auto"/>
              <w:jc w:val="left"/>
              <w:rPr>
                <w:rFonts w:ascii="Calibri" w:eastAsia="Malgun Gothic" w:hAnsi="Calibri" w:cs="Times New Roman"/>
                <w:b/>
                <w:i/>
              </w:rPr>
            </w:pPr>
          </w:p>
        </w:tc>
        <w:tc>
          <w:tcPr>
            <w:tcW w:w="1053" w:type="dxa"/>
          </w:tcPr>
          <w:p w14:paraId="6C36600B" w14:textId="77777777" w:rsidR="00D74FFE" w:rsidRPr="00D74FFE" w:rsidRDefault="00D74FFE" w:rsidP="00D74FFE">
            <w:pPr>
              <w:spacing w:after="100" w:line="240" w:lineRule="auto"/>
              <w:jc w:val="left"/>
              <w:rPr>
                <w:rFonts w:ascii="Calibri" w:eastAsia="Malgun Gothic" w:hAnsi="Calibri" w:cs="Times New Roman"/>
              </w:rPr>
            </w:pPr>
          </w:p>
        </w:tc>
        <w:tc>
          <w:tcPr>
            <w:tcW w:w="1282" w:type="dxa"/>
          </w:tcPr>
          <w:p w14:paraId="7D0F799B" w14:textId="77777777" w:rsidR="00D74FFE" w:rsidRPr="00D74FFE" w:rsidRDefault="00D74FFE" w:rsidP="00D74FFE">
            <w:pPr>
              <w:spacing w:after="100" w:line="240" w:lineRule="auto"/>
              <w:jc w:val="left"/>
              <w:rPr>
                <w:rFonts w:ascii="Calibri" w:eastAsia="Malgun Gothic" w:hAnsi="Calibri" w:cs="Times New Roman"/>
              </w:rPr>
            </w:pPr>
          </w:p>
        </w:tc>
        <w:tc>
          <w:tcPr>
            <w:tcW w:w="1022" w:type="dxa"/>
          </w:tcPr>
          <w:p w14:paraId="55B93A00" w14:textId="77777777" w:rsidR="00D74FFE" w:rsidRPr="00D74FFE" w:rsidRDefault="00D74FFE" w:rsidP="00D74FFE">
            <w:pPr>
              <w:spacing w:after="100" w:line="240" w:lineRule="auto"/>
              <w:jc w:val="left"/>
              <w:rPr>
                <w:rFonts w:ascii="Calibri" w:eastAsia="Malgun Gothic" w:hAnsi="Calibri" w:cs="Times New Roman"/>
              </w:rPr>
            </w:pPr>
          </w:p>
        </w:tc>
        <w:tc>
          <w:tcPr>
            <w:tcW w:w="1445" w:type="dxa"/>
          </w:tcPr>
          <w:p w14:paraId="3DF2F43B"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4BF1D18A"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38E4C770" w14:textId="77777777" w:rsidR="00D74FFE" w:rsidRPr="00D74FFE" w:rsidRDefault="00D74FFE" w:rsidP="00D74FFE">
            <w:pPr>
              <w:spacing w:line="240" w:lineRule="auto"/>
              <w:ind w:left="680" w:hanging="680"/>
              <w:jc w:val="left"/>
              <w:rPr>
                <w:rFonts w:ascii="Calibri" w:eastAsia="Malgun Gothic" w:hAnsi="Calibri" w:cs="Times New Roman"/>
              </w:rPr>
            </w:pPr>
            <w:r w:rsidRPr="00D74FFE">
              <w:rPr>
                <w:rFonts w:ascii="Calibri" w:eastAsia="Malgun Gothic" w:hAnsi="Calibri" w:cs="Times New Roman"/>
                <w:b/>
                <w:i/>
              </w:rPr>
              <w:t>Task 2</w:t>
            </w:r>
            <w:r w:rsidRPr="00D74FFE">
              <w:rPr>
                <w:rFonts w:ascii="Calibri" w:eastAsia="Malgun Gothic" w:hAnsi="Calibri" w:cs="Times New Roman"/>
              </w:rPr>
              <w:t>: Is the variety of media used accessible to a range of audiences, including under-represented groups?</w:t>
            </w:r>
          </w:p>
        </w:tc>
        <w:tc>
          <w:tcPr>
            <w:tcW w:w="3357" w:type="dxa"/>
            <w:gridSpan w:val="3"/>
          </w:tcPr>
          <w:p w14:paraId="3BC3E583" w14:textId="77777777" w:rsidR="00D74FFE" w:rsidRPr="00D74FFE" w:rsidRDefault="00D74FFE" w:rsidP="00F116AB">
            <w:pPr>
              <w:numPr>
                <w:ilvl w:val="0"/>
                <w:numId w:val="43"/>
              </w:numPr>
              <w:spacing w:after="0" w:line="240" w:lineRule="auto"/>
              <w:jc w:val="left"/>
              <w:rPr>
                <w:rFonts w:ascii="Calibri" w:eastAsia="Malgun Gothic" w:hAnsi="Calibri" w:cs="Times New Roman"/>
              </w:rPr>
            </w:pPr>
          </w:p>
          <w:p w14:paraId="6548938D" w14:textId="77777777" w:rsidR="00D74FFE" w:rsidRPr="00D74FFE" w:rsidRDefault="00D74FFE" w:rsidP="00F116AB">
            <w:pPr>
              <w:numPr>
                <w:ilvl w:val="0"/>
                <w:numId w:val="43"/>
              </w:numPr>
              <w:spacing w:after="0" w:line="240" w:lineRule="auto"/>
              <w:jc w:val="left"/>
              <w:rPr>
                <w:rFonts w:ascii="Calibri" w:eastAsia="Malgun Gothic" w:hAnsi="Calibri" w:cs="Times New Roman"/>
              </w:rPr>
            </w:pPr>
          </w:p>
        </w:tc>
        <w:tc>
          <w:tcPr>
            <w:tcW w:w="1445" w:type="dxa"/>
          </w:tcPr>
          <w:p w14:paraId="2C517492"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9C696B" w:rsidRPr="00D74FFE" w14:paraId="12C801F6"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1700866F" w14:textId="77777777" w:rsidR="009C696B" w:rsidRPr="00D74FFE" w:rsidRDefault="009C696B" w:rsidP="009C696B">
            <w:pPr>
              <w:spacing w:line="240" w:lineRule="auto"/>
              <w:ind w:left="680" w:hanging="680"/>
              <w:jc w:val="left"/>
              <w:rPr>
                <w:rFonts w:ascii="Calibri" w:eastAsia="Malgun Gothic" w:hAnsi="Calibri" w:cs="Times New Roman"/>
              </w:rPr>
            </w:pPr>
            <w:r w:rsidRPr="00D74FFE">
              <w:rPr>
                <w:rFonts w:ascii="Calibri" w:eastAsia="Malgun Gothic" w:hAnsi="Calibri" w:cs="Times New Roman"/>
                <w:b/>
                <w:i/>
              </w:rPr>
              <w:t>Task 3</w:t>
            </w:r>
            <w:r w:rsidRPr="00D74FFE">
              <w:rPr>
                <w:rFonts w:ascii="Calibri" w:eastAsia="Malgun Gothic" w:hAnsi="Calibri" w:cs="Times New Roman"/>
              </w:rPr>
              <w:t>: Do our language and visuals stereotype women, men and gender diverse people? Is our language inclusive and respectful?</w:t>
            </w:r>
          </w:p>
        </w:tc>
        <w:tc>
          <w:tcPr>
            <w:tcW w:w="3357" w:type="dxa"/>
            <w:gridSpan w:val="3"/>
          </w:tcPr>
          <w:p w14:paraId="20E0A037" w14:textId="6EEEB0B7" w:rsidR="009C696B" w:rsidRDefault="009C696B" w:rsidP="009C696B">
            <w:pPr>
              <w:numPr>
                <w:ilvl w:val="0"/>
                <w:numId w:val="72"/>
              </w:numPr>
              <w:spacing w:after="100" w:line="240" w:lineRule="auto"/>
              <w:jc w:val="left"/>
              <w:rPr>
                <w:rFonts w:ascii="Calibri" w:eastAsia="Malgun Gothic" w:hAnsi="Calibri" w:cs="Times New Roman"/>
              </w:rPr>
            </w:pPr>
          </w:p>
          <w:p w14:paraId="392E6EC7" w14:textId="55FE54AA" w:rsidR="009C696B" w:rsidRDefault="009C696B" w:rsidP="009C696B">
            <w:pPr>
              <w:numPr>
                <w:ilvl w:val="0"/>
                <w:numId w:val="72"/>
              </w:numPr>
              <w:spacing w:after="100" w:line="240" w:lineRule="auto"/>
              <w:jc w:val="left"/>
              <w:rPr>
                <w:rFonts w:ascii="Calibri" w:eastAsia="Malgun Gothic" w:hAnsi="Calibri" w:cs="Times New Roman"/>
              </w:rPr>
            </w:pPr>
          </w:p>
          <w:p w14:paraId="3C6999E7" w14:textId="77777777" w:rsidR="009C696B" w:rsidRPr="009C696B" w:rsidRDefault="009C696B" w:rsidP="009C696B">
            <w:pPr>
              <w:numPr>
                <w:ilvl w:val="0"/>
                <w:numId w:val="72"/>
              </w:numPr>
              <w:spacing w:after="100" w:line="240" w:lineRule="auto"/>
              <w:jc w:val="left"/>
              <w:rPr>
                <w:rFonts w:ascii="Calibri" w:eastAsia="Malgun Gothic" w:hAnsi="Calibri" w:cs="Times New Roman"/>
              </w:rPr>
            </w:pPr>
          </w:p>
        </w:tc>
        <w:tc>
          <w:tcPr>
            <w:tcW w:w="1445" w:type="dxa"/>
          </w:tcPr>
          <w:p w14:paraId="3A420BB5" w14:textId="77777777" w:rsidR="009C696B" w:rsidRPr="00D74FFE" w:rsidRDefault="009C696B" w:rsidP="009C696B">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9C696B" w:rsidRPr="00D74FFE" w14:paraId="5D28DE95"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1E0000BA" w14:textId="4D8C28A8" w:rsidR="009C696B" w:rsidRPr="00D74FFE" w:rsidRDefault="009C696B" w:rsidP="009C696B">
            <w:pPr>
              <w:spacing w:line="240" w:lineRule="auto"/>
              <w:ind w:left="680" w:hanging="680"/>
              <w:jc w:val="left"/>
              <w:rPr>
                <w:rFonts w:ascii="Calibri" w:eastAsia="Malgun Gothic" w:hAnsi="Calibri" w:cs="Times New Roman"/>
                <w:b/>
                <w:i/>
              </w:rPr>
            </w:pPr>
            <w:r w:rsidRPr="00D74FFE">
              <w:rPr>
                <w:rFonts w:ascii="Calibri" w:eastAsia="Malgun Gothic" w:hAnsi="Calibri" w:cs="Times New Roman"/>
                <w:b/>
                <w:i/>
              </w:rPr>
              <w:t>Task 4:</w:t>
            </w:r>
            <w:r w:rsidRPr="00D74FFE">
              <w:rPr>
                <w:rFonts w:ascii="Calibri" w:eastAsia="Malgun Gothic" w:hAnsi="Calibri" w:cs="Times New Roman"/>
              </w:rPr>
              <w:t xml:space="preserve"> How will gender implications of our project be highlighted?</w:t>
            </w:r>
          </w:p>
        </w:tc>
        <w:tc>
          <w:tcPr>
            <w:tcW w:w="3357" w:type="dxa"/>
            <w:gridSpan w:val="3"/>
          </w:tcPr>
          <w:p w14:paraId="07CCDB0B" w14:textId="77777777" w:rsidR="009C696B" w:rsidRDefault="009C696B" w:rsidP="009C696B">
            <w:pPr>
              <w:numPr>
                <w:ilvl w:val="0"/>
                <w:numId w:val="72"/>
              </w:numPr>
              <w:spacing w:after="100" w:line="240" w:lineRule="auto"/>
              <w:jc w:val="left"/>
              <w:rPr>
                <w:rFonts w:ascii="Calibri" w:eastAsia="Malgun Gothic" w:hAnsi="Calibri" w:cs="Times New Roman"/>
              </w:rPr>
            </w:pPr>
          </w:p>
          <w:p w14:paraId="58FBD85C" w14:textId="77777777" w:rsidR="009C696B" w:rsidRDefault="009C696B" w:rsidP="009C696B">
            <w:pPr>
              <w:numPr>
                <w:ilvl w:val="0"/>
                <w:numId w:val="72"/>
              </w:numPr>
              <w:spacing w:after="100" w:line="240" w:lineRule="auto"/>
              <w:jc w:val="left"/>
              <w:rPr>
                <w:rFonts w:ascii="Calibri" w:eastAsia="Malgun Gothic" w:hAnsi="Calibri" w:cs="Times New Roman"/>
              </w:rPr>
            </w:pPr>
          </w:p>
          <w:p w14:paraId="462493EB" w14:textId="77777777" w:rsidR="009C696B" w:rsidRPr="00751629" w:rsidRDefault="009C696B" w:rsidP="009C696B">
            <w:pPr>
              <w:numPr>
                <w:ilvl w:val="0"/>
                <w:numId w:val="72"/>
              </w:numPr>
              <w:spacing w:after="0" w:line="240" w:lineRule="auto"/>
              <w:contextualSpacing/>
              <w:jc w:val="left"/>
              <w:rPr>
                <w:rFonts w:ascii="Calibri" w:eastAsia="Malgun Gothic" w:hAnsi="Calibri" w:cs="Times New Roman"/>
              </w:rPr>
            </w:pPr>
          </w:p>
        </w:tc>
        <w:tc>
          <w:tcPr>
            <w:tcW w:w="1445" w:type="dxa"/>
          </w:tcPr>
          <w:p w14:paraId="044B7089" w14:textId="77777777" w:rsidR="009C696B" w:rsidRPr="00D74FFE" w:rsidRDefault="009C696B" w:rsidP="009C696B">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9C696B" w:rsidRPr="00D74FFE" w14:paraId="414FD724"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03EFD76B" w14:textId="77777777" w:rsidR="009C696B" w:rsidRPr="00D74FFE" w:rsidRDefault="009C696B" w:rsidP="009C696B">
            <w:pPr>
              <w:spacing w:line="240" w:lineRule="auto"/>
              <w:ind w:left="680" w:hanging="680"/>
              <w:jc w:val="left"/>
              <w:rPr>
                <w:rFonts w:ascii="Calibri" w:eastAsia="Malgun Gothic" w:hAnsi="Calibri" w:cs="Times New Roman"/>
              </w:rPr>
            </w:pPr>
            <w:r w:rsidRPr="00D74FFE">
              <w:rPr>
                <w:rFonts w:ascii="Calibri" w:eastAsia="Malgun Gothic" w:hAnsi="Calibri" w:cs="Times New Roman"/>
                <w:b/>
                <w:i/>
              </w:rPr>
              <w:t>Task 5</w:t>
            </w:r>
            <w:r w:rsidRPr="00D74FFE">
              <w:rPr>
                <w:rFonts w:ascii="Calibri" w:eastAsia="Malgun Gothic" w:hAnsi="Calibri" w:cs="Times New Roman"/>
              </w:rPr>
              <w:t>: Is there person-to-person outreach to marginalised/under-represented groups in the community?</w:t>
            </w:r>
          </w:p>
        </w:tc>
        <w:tc>
          <w:tcPr>
            <w:tcW w:w="3357" w:type="dxa"/>
            <w:gridSpan w:val="3"/>
          </w:tcPr>
          <w:p w14:paraId="4B4F1990" w14:textId="77777777" w:rsidR="009C696B" w:rsidRPr="00D74FFE" w:rsidRDefault="009C696B" w:rsidP="009C696B">
            <w:pPr>
              <w:numPr>
                <w:ilvl w:val="0"/>
                <w:numId w:val="72"/>
              </w:numPr>
              <w:spacing w:after="100" w:line="240" w:lineRule="auto"/>
              <w:jc w:val="left"/>
              <w:rPr>
                <w:rFonts w:ascii="Calibri" w:eastAsia="Malgun Gothic" w:hAnsi="Calibri" w:cs="Times New Roman"/>
              </w:rPr>
            </w:pPr>
          </w:p>
        </w:tc>
        <w:tc>
          <w:tcPr>
            <w:tcW w:w="1445" w:type="dxa"/>
          </w:tcPr>
          <w:p w14:paraId="349488C6" w14:textId="77777777" w:rsidR="009C696B" w:rsidRPr="00D74FFE" w:rsidRDefault="009C696B" w:rsidP="009C696B">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480AC292"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4" w:type="dxa"/>
            <w:gridSpan w:val="6"/>
            <w:shd w:val="clear" w:color="auto" w:fill="5A5098"/>
          </w:tcPr>
          <w:p w14:paraId="2EFD574C" w14:textId="77777777" w:rsidR="00D74FFE" w:rsidRPr="00D74FFE" w:rsidRDefault="00D74FFE" w:rsidP="00D74FFE">
            <w:pPr>
              <w:spacing w:before="120" w:line="240" w:lineRule="auto"/>
              <w:jc w:val="center"/>
              <w:rPr>
                <w:rFonts w:ascii="Calibri Light" w:eastAsia="Malgun Gothic" w:hAnsi="Calibri Light" w:cs="Times New Roman"/>
                <w:b/>
                <w:color w:val="FFFFFF"/>
                <w:sz w:val="28"/>
                <w:szCs w:val="28"/>
              </w:rPr>
            </w:pPr>
            <w:r w:rsidRPr="00D74FFE">
              <w:rPr>
                <w:rFonts w:ascii="Calibri Light" w:eastAsia="Malgun Gothic" w:hAnsi="Calibri Light" w:cs="Times New Roman"/>
                <w:b/>
                <w:color w:val="FFFFFF"/>
                <w:sz w:val="28"/>
                <w:szCs w:val="28"/>
              </w:rPr>
              <w:t>STAGE 6: DELIVERY/ IMPLEMENTATION</w:t>
            </w:r>
          </w:p>
        </w:tc>
      </w:tr>
      <w:tr w:rsidR="00D74FFE" w:rsidRPr="00D74FFE" w14:paraId="3F3AD2A4"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4" w:type="dxa"/>
            <w:gridSpan w:val="6"/>
          </w:tcPr>
          <w:p w14:paraId="5FD72B36" w14:textId="77777777" w:rsidR="00D74FFE" w:rsidRPr="00D74FFE" w:rsidRDefault="00D74FFE" w:rsidP="00D74FFE">
            <w:pPr>
              <w:spacing w:before="120" w:line="240" w:lineRule="auto"/>
              <w:jc w:val="left"/>
              <w:rPr>
                <w:rFonts w:ascii="Calibri" w:eastAsia="Malgun Gothic" w:hAnsi="Calibri" w:cs="Times New Roman"/>
              </w:rPr>
            </w:pPr>
            <w:r w:rsidRPr="00D74FFE">
              <w:rPr>
                <w:rFonts w:ascii="Calibri" w:eastAsia="Malgun Gothic" w:hAnsi="Calibri" w:cs="Times New Roman"/>
              </w:rPr>
              <w:t>This stage puts in place programs and services to achieve the policy outcomes and objectives developed in the previous stages.</w:t>
            </w:r>
          </w:p>
          <w:p w14:paraId="5CA19E17" w14:textId="77777777" w:rsidR="00D74FFE" w:rsidRPr="00D74FFE" w:rsidRDefault="00D74FFE" w:rsidP="00D7570E">
            <w:pPr>
              <w:shd w:val="clear" w:color="auto" w:fill="E6E7F2"/>
              <w:spacing w:after="100" w:line="240" w:lineRule="auto"/>
              <w:ind w:left="1003" w:right="283" w:hanging="720"/>
              <w:jc w:val="left"/>
              <w:rPr>
                <w:rFonts w:ascii="Calibri" w:eastAsia="Malgun Gothic" w:hAnsi="Calibri" w:cs="Times New Roman"/>
              </w:rPr>
            </w:pPr>
            <w:r w:rsidRPr="00D74FFE">
              <w:rPr>
                <w:rFonts w:ascii="Calibri" w:eastAsia="Malgun Gothic" w:hAnsi="Calibri" w:cs="Times New Roman"/>
                <w:b/>
              </w:rPr>
              <w:t>Note</w:t>
            </w:r>
            <w:r w:rsidRPr="00D74FFE">
              <w:rPr>
                <w:rFonts w:ascii="Calibri" w:eastAsia="Malgun Gothic" w:hAnsi="Calibri" w:cs="Times New Roman"/>
              </w:rPr>
              <w:t>:    Consider specific aspects of project implementation for your organisation, including how you might involve key personnel and other stakeholders. Consider how other projects might link to your project.</w:t>
            </w:r>
          </w:p>
        </w:tc>
      </w:tr>
      <w:tr w:rsidR="00D7570E" w:rsidRPr="00D74FFE" w14:paraId="223E2E4C"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Borders>
              <w:bottom w:val="single" w:sz="4" w:space="0" w:color="auto"/>
            </w:tcBorders>
            <w:shd w:val="clear" w:color="auto" w:fill="F2F2F2"/>
          </w:tcPr>
          <w:p w14:paraId="4EAFA1D6" w14:textId="77777777" w:rsidR="00D74FFE" w:rsidRPr="00D74FFE" w:rsidRDefault="00D74FFE" w:rsidP="00D74FFE">
            <w:pPr>
              <w:spacing w:after="100" w:line="240" w:lineRule="auto"/>
              <w:jc w:val="center"/>
              <w:rPr>
                <w:rFonts w:ascii="Calibri" w:eastAsia="Malgun Gothic" w:hAnsi="Calibri" w:cs="Times New Roman"/>
              </w:rPr>
            </w:pPr>
            <w:r w:rsidRPr="00D74FFE">
              <w:rPr>
                <w:rFonts w:ascii="Calibri" w:eastAsia="Malgun Gothic" w:hAnsi="Calibri" w:cs="Times New Roman"/>
              </w:rPr>
              <w:t>ISSUES/QUESTIONS TO CONSIDER</w:t>
            </w:r>
          </w:p>
        </w:tc>
        <w:tc>
          <w:tcPr>
            <w:tcW w:w="3357" w:type="dxa"/>
            <w:gridSpan w:val="3"/>
            <w:shd w:val="clear" w:color="auto" w:fill="F2F2F2"/>
          </w:tcPr>
          <w:p w14:paraId="42E07ACA" w14:textId="77777777" w:rsidR="00D74FFE" w:rsidRPr="00D74FFE" w:rsidRDefault="00D74FFE" w:rsidP="00D74FFE">
            <w:pPr>
              <w:spacing w:after="100" w:line="240" w:lineRule="auto"/>
              <w:jc w:val="center"/>
              <w:rPr>
                <w:rFonts w:ascii="Calibri" w:eastAsia="Malgun Gothic" w:hAnsi="Calibri" w:cs="Times New Roman"/>
              </w:rPr>
            </w:pPr>
            <w:r w:rsidRPr="00D74FFE">
              <w:rPr>
                <w:rFonts w:ascii="Calibri" w:eastAsia="Malgun Gothic" w:hAnsi="Calibri" w:cs="Times New Roman"/>
              </w:rPr>
              <w:t>ACTIONS</w:t>
            </w:r>
          </w:p>
        </w:tc>
        <w:tc>
          <w:tcPr>
            <w:tcW w:w="1445" w:type="dxa"/>
            <w:shd w:val="clear" w:color="auto" w:fill="F2F2F2"/>
          </w:tcPr>
          <w:p w14:paraId="38D36E60" w14:textId="77777777" w:rsidR="00D74FFE" w:rsidRPr="00D74FFE" w:rsidRDefault="00D74FFE" w:rsidP="00D74FFE">
            <w:pPr>
              <w:spacing w:after="100" w:line="240" w:lineRule="auto"/>
              <w:jc w:val="center"/>
              <w:rPr>
                <w:rFonts w:ascii="Calibri" w:eastAsia="Malgun Gothic" w:hAnsi="Calibri" w:cs="Times New Roman"/>
              </w:rPr>
            </w:pPr>
            <w:r w:rsidRPr="00D74FFE">
              <w:rPr>
                <w:rFonts w:ascii="Calibri" w:eastAsia="Malgun Gothic" w:hAnsi="Calibri" w:cs="Times New Roman"/>
              </w:rPr>
              <w:t>COMPLETION</w:t>
            </w:r>
          </w:p>
        </w:tc>
      </w:tr>
      <w:tr w:rsidR="00D74FFE" w:rsidRPr="00D74FFE" w14:paraId="7DFFE0F0"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4682CFC8" w14:textId="77777777" w:rsidR="00D74FFE" w:rsidRPr="00D74FFE" w:rsidRDefault="00D74FFE" w:rsidP="00D74FFE">
            <w:pPr>
              <w:spacing w:line="240" w:lineRule="auto"/>
              <w:ind w:left="680" w:hanging="680"/>
              <w:jc w:val="left"/>
              <w:rPr>
                <w:rFonts w:ascii="Calibri" w:eastAsia="Malgun Gothic" w:hAnsi="Calibri" w:cs="Times New Roman"/>
                <w:b/>
                <w:i/>
              </w:rPr>
            </w:pPr>
            <w:r w:rsidRPr="00D74FFE">
              <w:rPr>
                <w:rFonts w:ascii="Calibri" w:eastAsia="Malgun Gothic" w:hAnsi="Calibri" w:cs="Times New Roman"/>
                <w:b/>
                <w:i/>
              </w:rPr>
              <w:t>Task 1</w:t>
            </w:r>
            <w:r w:rsidRPr="00D74FFE">
              <w:rPr>
                <w:rFonts w:ascii="Calibri" w:eastAsia="Malgun Gothic" w:hAnsi="Calibri" w:cs="Times New Roman"/>
              </w:rPr>
              <w:t>: Who will be mostly involved in the implementation and delivery? How gender-aware are they?</w:t>
            </w:r>
          </w:p>
        </w:tc>
        <w:tc>
          <w:tcPr>
            <w:tcW w:w="3357" w:type="dxa"/>
            <w:gridSpan w:val="3"/>
          </w:tcPr>
          <w:p w14:paraId="236A1203" w14:textId="77777777" w:rsidR="00D74FFE" w:rsidRPr="00D74FFE" w:rsidRDefault="00D74FFE" w:rsidP="002F43AD">
            <w:pPr>
              <w:numPr>
                <w:ilvl w:val="0"/>
                <w:numId w:val="76"/>
              </w:numPr>
              <w:spacing w:after="0" w:line="240" w:lineRule="auto"/>
              <w:contextualSpacing/>
              <w:jc w:val="left"/>
              <w:rPr>
                <w:rFonts w:ascii="Calibri" w:eastAsia="Malgun Gothic" w:hAnsi="Calibri" w:cs="Times New Roman"/>
              </w:rPr>
            </w:pPr>
          </w:p>
          <w:p w14:paraId="3741B536" w14:textId="77777777" w:rsidR="00D74FFE" w:rsidRPr="00D74FFE" w:rsidRDefault="00D74FFE" w:rsidP="002F43AD">
            <w:pPr>
              <w:numPr>
                <w:ilvl w:val="0"/>
                <w:numId w:val="76"/>
              </w:numPr>
              <w:spacing w:after="0" w:line="240" w:lineRule="auto"/>
              <w:contextualSpacing/>
              <w:jc w:val="left"/>
              <w:rPr>
                <w:rFonts w:ascii="Calibri" w:eastAsia="Malgun Gothic" w:hAnsi="Calibri" w:cs="Times New Roman"/>
              </w:rPr>
            </w:pPr>
          </w:p>
        </w:tc>
        <w:tc>
          <w:tcPr>
            <w:tcW w:w="1445" w:type="dxa"/>
          </w:tcPr>
          <w:p w14:paraId="6ED1B454"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6109711A"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5C656314" w14:textId="77777777" w:rsidR="00D74FFE" w:rsidRPr="00D74FFE" w:rsidRDefault="00D74FFE" w:rsidP="00D74FFE">
            <w:pPr>
              <w:spacing w:line="240" w:lineRule="auto"/>
              <w:ind w:left="680" w:hanging="680"/>
              <w:jc w:val="left"/>
              <w:rPr>
                <w:rFonts w:ascii="Calibri" w:eastAsia="Malgun Gothic" w:hAnsi="Calibri" w:cs="Times New Roman"/>
              </w:rPr>
            </w:pPr>
            <w:r w:rsidRPr="00D74FFE">
              <w:rPr>
                <w:rFonts w:ascii="Calibri" w:eastAsia="Malgun Gothic" w:hAnsi="Calibri" w:cs="Times New Roman"/>
                <w:b/>
                <w:i/>
              </w:rPr>
              <w:t>Task 2</w:t>
            </w:r>
            <w:r w:rsidRPr="00D74FFE">
              <w:rPr>
                <w:rFonts w:ascii="Calibri" w:eastAsia="Malgun Gothic" w:hAnsi="Calibri" w:cs="Times New Roman"/>
              </w:rPr>
              <w:t>: Does implementation and delivery address the issues and needs of different gender identities? Are there specific strategies to include women, men and gender diverse people from marginalised/under-represented groups?</w:t>
            </w:r>
          </w:p>
        </w:tc>
        <w:tc>
          <w:tcPr>
            <w:tcW w:w="3357" w:type="dxa"/>
            <w:gridSpan w:val="3"/>
          </w:tcPr>
          <w:p w14:paraId="3896D4E7" w14:textId="77777777" w:rsidR="00D74FFE" w:rsidRPr="00D74FFE" w:rsidRDefault="00D74FFE" w:rsidP="002F43AD">
            <w:pPr>
              <w:numPr>
                <w:ilvl w:val="0"/>
                <w:numId w:val="76"/>
              </w:numPr>
              <w:spacing w:after="100" w:line="240" w:lineRule="auto"/>
              <w:jc w:val="left"/>
              <w:rPr>
                <w:rFonts w:ascii="Calibri" w:eastAsia="Malgun Gothic" w:hAnsi="Calibri" w:cs="Times New Roman"/>
              </w:rPr>
            </w:pPr>
          </w:p>
          <w:p w14:paraId="5F90AF6F" w14:textId="24DE1E39" w:rsidR="00D74FFE" w:rsidRDefault="00D74FFE" w:rsidP="002F43AD">
            <w:pPr>
              <w:numPr>
                <w:ilvl w:val="0"/>
                <w:numId w:val="76"/>
              </w:numPr>
              <w:spacing w:after="100" w:line="240" w:lineRule="auto"/>
              <w:jc w:val="left"/>
              <w:rPr>
                <w:rFonts w:ascii="Calibri" w:eastAsia="Malgun Gothic" w:hAnsi="Calibri" w:cs="Times New Roman"/>
              </w:rPr>
            </w:pPr>
          </w:p>
          <w:p w14:paraId="19763BE2" w14:textId="19F8AA51" w:rsidR="008232BD" w:rsidRDefault="008232BD" w:rsidP="002F43AD">
            <w:pPr>
              <w:numPr>
                <w:ilvl w:val="0"/>
                <w:numId w:val="76"/>
              </w:numPr>
              <w:spacing w:after="100" w:line="240" w:lineRule="auto"/>
              <w:jc w:val="left"/>
              <w:rPr>
                <w:rFonts w:ascii="Calibri" w:eastAsia="Malgun Gothic" w:hAnsi="Calibri" w:cs="Times New Roman"/>
              </w:rPr>
            </w:pPr>
          </w:p>
          <w:p w14:paraId="7A43DE90" w14:textId="7E718EF3" w:rsidR="008232BD" w:rsidRDefault="008232BD" w:rsidP="002F43AD">
            <w:pPr>
              <w:numPr>
                <w:ilvl w:val="0"/>
                <w:numId w:val="76"/>
              </w:numPr>
              <w:spacing w:after="100" w:line="240" w:lineRule="auto"/>
              <w:jc w:val="left"/>
              <w:rPr>
                <w:rFonts w:ascii="Calibri" w:eastAsia="Malgun Gothic" w:hAnsi="Calibri" w:cs="Times New Roman"/>
              </w:rPr>
            </w:pPr>
          </w:p>
          <w:p w14:paraId="4F71C323" w14:textId="00B1D079" w:rsidR="008232BD" w:rsidRDefault="008232BD" w:rsidP="002F43AD">
            <w:pPr>
              <w:numPr>
                <w:ilvl w:val="0"/>
                <w:numId w:val="76"/>
              </w:numPr>
              <w:spacing w:after="100" w:line="240" w:lineRule="auto"/>
              <w:jc w:val="left"/>
              <w:rPr>
                <w:rFonts w:ascii="Calibri" w:eastAsia="Malgun Gothic" w:hAnsi="Calibri" w:cs="Times New Roman"/>
              </w:rPr>
            </w:pPr>
          </w:p>
          <w:p w14:paraId="69A045EA" w14:textId="77777777" w:rsidR="009C696B" w:rsidRPr="00751629" w:rsidRDefault="009C696B" w:rsidP="002F43AD">
            <w:pPr>
              <w:numPr>
                <w:ilvl w:val="0"/>
                <w:numId w:val="76"/>
              </w:numPr>
              <w:spacing w:after="0" w:line="240" w:lineRule="auto"/>
              <w:contextualSpacing/>
              <w:jc w:val="left"/>
              <w:rPr>
                <w:rFonts w:ascii="Calibri" w:eastAsia="Malgun Gothic" w:hAnsi="Calibri" w:cs="Times New Roman"/>
              </w:rPr>
            </w:pPr>
          </w:p>
          <w:p w14:paraId="44A718FE" w14:textId="77777777" w:rsidR="009C696B" w:rsidRPr="00751629" w:rsidRDefault="009C696B" w:rsidP="002F43AD">
            <w:pPr>
              <w:numPr>
                <w:ilvl w:val="0"/>
                <w:numId w:val="76"/>
              </w:numPr>
              <w:spacing w:after="0" w:line="240" w:lineRule="auto"/>
              <w:contextualSpacing/>
              <w:jc w:val="left"/>
              <w:rPr>
                <w:rFonts w:ascii="Calibri" w:eastAsia="Malgun Gothic" w:hAnsi="Calibri" w:cs="Times New Roman"/>
              </w:rPr>
            </w:pPr>
          </w:p>
          <w:p w14:paraId="0D726535" w14:textId="0DD0769F" w:rsidR="008232BD" w:rsidRPr="00751629" w:rsidRDefault="008232BD" w:rsidP="002F43AD">
            <w:pPr>
              <w:numPr>
                <w:ilvl w:val="0"/>
                <w:numId w:val="76"/>
              </w:numPr>
              <w:spacing w:after="100" w:line="240" w:lineRule="auto"/>
              <w:jc w:val="left"/>
              <w:rPr>
                <w:rFonts w:ascii="Calibri" w:eastAsia="Malgun Gothic" w:hAnsi="Calibri" w:cs="Times New Roman"/>
              </w:rPr>
            </w:pPr>
          </w:p>
        </w:tc>
        <w:tc>
          <w:tcPr>
            <w:tcW w:w="1445" w:type="dxa"/>
          </w:tcPr>
          <w:p w14:paraId="78A15A13"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7A16E076"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4244E95B" w14:textId="585A04EC" w:rsidR="00D74FFE" w:rsidRPr="00D74FFE" w:rsidRDefault="00D74FFE" w:rsidP="00D74FFE">
            <w:pPr>
              <w:spacing w:line="240" w:lineRule="auto"/>
              <w:ind w:left="680" w:hanging="680"/>
              <w:jc w:val="left"/>
              <w:rPr>
                <w:rFonts w:ascii="Calibri" w:eastAsia="Malgun Gothic" w:hAnsi="Calibri" w:cs="Times New Roman"/>
              </w:rPr>
            </w:pPr>
            <w:r w:rsidRPr="00D74FFE">
              <w:rPr>
                <w:rFonts w:ascii="Calibri" w:eastAsia="Malgun Gothic" w:hAnsi="Calibri" w:cs="Times New Roman"/>
                <w:b/>
                <w:i/>
              </w:rPr>
              <w:t>Task 3</w:t>
            </w:r>
            <w:r w:rsidRPr="00D74FFE">
              <w:rPr>
                <w:rFonts w:ascii="Calibri" w:eastAsia="Malgun Gothic" w:hAnsi="Calibri" w:cs="Times New Roman"/>
              </w:rPr>
              <w:t>: Who has input into good practice in delivery and implementation to women (or men or gender diverse group)?</w:t>
            </w:r>
          </w:p>
        </w:tc>
        <w:tc>
          <w:tcPr>
            <w:tcW w:w="3357" w:type="dxa"/>
            <w:gridSpan w:val="3"/>
          </w:tcPr>
          <w:p w14:paraId="41106821" w14:textId="77777777" w:rsidR="005E28AA" w:rsidRPr="005E28AA" w:rsidRDefault="005E28AA" w:rsidP="002F43AD">
            <w:pPr>
              <w:numPr>
                <w:ilvl w:val="0"/>
                <w:numId w:val="76"/>
              </w:numPr>
              <w:spacing w:after="0" w:line="240" w:lineRule="auto"/>
              <w:contextualSpacing/>
              <w:jc w:val="left"/>
              <w:rPr>
                <w:rFonts w:ascii="Calibri" w:eastAsia="Malgun Gothic" w:hAnsi="Calibri" w:cs="Times New Roman"/>
              </w:rPr>
            </w:pPr>
          </w:p>
          <w:p w14:paraId="2D778691" w14:textId="77777777" w:rsidR="005E28AA" w:rsidRPr="005E28AA" w:rsidRDefault="005E28AA" w:rsidP="002F43AD">
            <w:pPr>
              <w:numPr>
                <w:ilvl w:val="0"/>
                <w:numId w:val="76"/>
              </w:numPr>
              <w:spacing w:after="0" w:line="240" w:lineRule="auto"/>
              <w:contextualSpacing/>
              <w:jc w:val="left"/>
              <w:rPr>
                <w:rFonts w:ascii="Calibri" w:eastAsia="Malgun Gothic" w:hAnsi="Calibri" w:cs="Times New Roman"/>
              </w:rPr>
            </w:pPr>
          </w:p>
          <w:p w14:paraId="68B92C03" w14:textId="77777777" w:rsidR="00D74FFE" w:rsidRPr="00D74FFE" w:rsidRDefault="00D74FFE" w:rsidP="002F43AD">
            <w:pPr>
              <w:numPr>
                <w:ilvl w:val="0"/>
                <w:numId w:val="76"/>
              </w:numPr>
              <w:spacing w:after="0" w:line="240" w:lineRule="auto"/>
              <w:contextualSpacing/>
              <w:jc w:val="left"/>
              <w:rPr>
                <w:rFonts w:ascii="Calibri" w:eastAsia="Malgun Gothic" w:hAnsi="Calibri" w:cs="Times New Roman"/>
              </w:rPr>
            </w:pPr>
          </w:p>
          <w:p w14:paraId="22DA54C5" w14:textId="77777777" w:rsidR="00D74FFE" w:rsidRPr="00D74FFE" w:rsidRDefault="00D74FFE" w:rsidP="00D74FFE">
            <w:pPr>
              <w:spacing w:after="0" w:line="240" w:lineRule="auto"/>
              <w:ind w:left="360"/>
              <w:contextualSpacing/>
              <w:jc w:val="left"/>
              <w:rPr>
                <w:rFonts w:ascii="Calibri" w:eastAsia="Malgun Gothic" w:hAnsi="Calibri" w:cs="Times New Roman"/>
              </w:rPr>
            </w:pPr>
          </w:p>
        </w:tc>
        <w:tc>
          <w:tcPr>
            <w:tcW w:w="1445" w:type="dxa"/>
          </w:tcPr>
          <w:p w14:paraId="2CF2CFB3"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63E68774"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4" w:type="dxa"/>
            <w:gridSpan w:val="6"/>
            <w:shd w:val="clear" w:color="auto" w:fill="385623"/>
          </w:tcPr>
          <w:p w14:paraId="5AAE1849" w14:textId="77777777" w:rsidR="00D74FFE" w:rsidRPr="00D74FFE" w:rsidRDefault="00D74FFE" w:rsidP="00D74FFE">
            <w:pPr>
              <w:spacing w:before="120" w:line="240" w:lineRule="auto"/>
              <w:jc w:val="center"/>
              <w:rPr>
                <w:rFonts w:ascii="Calibri Light" w:eastAsia="Malgun Gothic" w:hAnsi="Calibri Light" w:cs="Times New Roman"/>
                <w:b/>
                <w:color w:val="FFFFFF"/>
                <w:sz w:val="28"/>
                <w:szCs w:val="28"/>
              </w:rPr>
            </w:pPr>
            <w:r w:rsidRPr="00D74FFE">
              <w:rPr>
                <w:rFonts w:ascii="Calibri Light" w:eastAsia="Malgun Gothic" w:hAnsi="Calibri Light" w:cs="Times New Roman"/>
                <w:b/>
                <w:color w:val="FFFFFF"/>
                <w:sz w:val="28"/>
                <w:szCs w:val="28"/>
              </w:rPr>
              <w:t>STAGE 7: MONITORING AND REVIEW</w:t>
            </w:r>
          </w:p>
        </w:tc>
      </w:tr>
      <w:tr w:rsidR="00D74FFE" w:rsidRPr="00D74FFE" w14:paraId="019EF530"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4" w:type="dxa"/>
            <w:gridSpan w:val="6"/>
            <w:shd w:val="clear" w:color="auto" w:fill="auto"/>
          </w:tcPr>
          <w:p w14:paraId="1DE74C4D" w14:textId="77777777" w:rsidR="00D74FFE" w:rsidRPr="00D74FFE" w:rsidRDefault="00D74FFE" w:rsidP="00D74FFE">
            <w:pPr>
              <w:spacing w:before="120" w:line="240" w:lineRule="auto"/>
              <w:jc w:val="left"/>
              <w:rPr>
                <w:rFonts w:ascii="Calibri" w:eastAsia="Malgun Gothic" w:hAnsi="Calibri" w:cs="Times New Roman"/>
              </w:rPr>
            </w:pPr>
            <w:r w:rsidRPr="00D74FFE">
              <w:rPr>
                <w:rFonts w:ascii="Calibri" w:eastAsia="Malgun Gothic" w:hAnsi="Calibri" w:cs="Times New Roman"/>
              </w:rPr>
              <w:t>This stage determines how well your project is attaining its equity goals, and provides opportunities to make improvements.</w:t>
            </w:r>
          </w:p>
          <w:p w14:paraId="4D66F3AC" w14:textId="77777777" w:rsidR="00D74FFE" w:rsidRPr="00D74FFE" w:rsidRDefault="00D74FFE" w:rsidP="00D7570E">
            <w:pPr>
              <w:shd w:val="clear" w:color="auto" w:fill="EFF6EA"/>
              <w:spacing w:after="100" w:line="240" w:lineRule="auto"/>
              <w:ind w:left="1003" w:right="283" w:hanging="720"/>
              <w:jc w:val="left"/>
              <w:rPr>
                <w:rFonts w:ascii="Calibri" w:eastAsia="Malgun Gothic" w:hAnsi="Calibri" w:cs="Times New Roman"/>
              </w:rPr>
            </w:pPr>
            <w:r w:rsidRPr="00D74FFE">
              <w:rPr>
                <w:rFonts w:ascii="Calibri" w:eastAsia="Malgun Gothic" w:hAnsi="Calibri" w:cs="Times New Roman"/>
                <w:b/>
              </w:rPr>
              <w:t>Note</w:t>
            </w:r>
            <w:r w:rsidRPr="00D74FFE">
              <w:rPr>
                <w:rFonts w:ascii="Calibri" w:eastAsia="Malgun Gothic" w:hAnsi="Calibri" w:cs="Times New Roman"/>
              </w:rPr>
              <w:t>:    Ensure that the gender impact of your project is an explicit part of the monitoring and review process and that those undertaking the evaluation have gender awareness.</w:t>
            </w:r>
          </w:p>
        </w:tc>
      </w:tr>
      <w:tr w:rsidR="00D7570E" w:rsidRPr="00D74FFE" w14:paraId="09F4FDF1"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Borders>
              <w:bottom w:val="single" w:sz="4" w:space="0" w:color="auto"/>
            </w:tcBorders>
            <w:shd w:val="clear" w:color="auto" w:fill="F2F2F2"/>
          </w:tcPr>
          <w:p w14:paraId="4A30F4E6" w14:textId="77777777" w:rsidR="00D74FFE" w:rsidRPr="00D74FFE" w:rsidRDefault="00D74FFE" w:rsidP="00D74FFE">
            <w:pPr>
              <w:spacing w:after="100" w:line="240" w:lineRule="auto"/>
              <w:jc w:val="center"/>
              <w:rPr>
                <w:rFonts w:ascii="Calibri" w:eastAsia="Malgun Gothic" w:hAnsi="Calibri" w:cs="Times New Roman"/>
              </w:rPr>
            </w:pPr>
            <w:r w:rsidRPr="00D74FFE">
              <w:rPr>
                <w:rFonts w:ascii="Calibri" w:eastAsia="Malgun Gothic" w:hAnsi="Calibri" w:cs="Times New Roman"/>
              </w:rPr>
              <w:t>ISSUES/QUESTIONS TO CONSIDER</w:t>
            </w:r>
          </w:p>
        </w:tc>
        <w:tc>
          <w:tcPr>
            <w:tcW w:w="3357" w:type="dxa"/>
            <w:gridSpan w:val="3"/>
            <w:shd w:val="clear" w:color="auto" w:fill="F2F2F2"/>
          </w:tcPr>
          <w:p w14:paraId="532FF9D1" w14:textId="77777777" w:rsidR="00D74FFE" w:rsidRPr="00D74FFE" w:rsidRDefault="00D74FFE" w:rsidP="00D74FFE">
            <w:pPr>
              <w:spacing w:after="100" w:line="240" w:lineRule="auto"/>
              <w:jc w:val="center"/>
              <w:rPr>
                <w:rFonts w:ascii="Calibri" w:eastAsia="Malgun Gothic" w:hAnsi="Calibri" w:cs="Times New Roman"/>
              </w:rPr>
            </w:pPr>
            <w:r w:rsidRPr="00D74FFE">
              <w:rPr>
                <w:rFonts w:ascii="Calibri" w:eastAsia="Malgun Gothic" w:hAnsi="Calibri" w:cs="Times New Roman"/>
              </w:rPr>
              <w:t>ACTIONS</w:t>
            </w:r>
          </w:p>
        </w:tc>
        <w:tc>
          <w:tcPr>
            <w:tcW w:w="1445" w:type="dxa"/>
            <w:shd w:val="clear" w:color="auto" w:fill="F2F2F2"/>
          </w:tcPr>
          <w:p w14:paraId="728F9932" w14:textId="77777777" w:rsidR="00D74FFE" w:rsidRPr="00D74FFE" w:rsidRDefault="00D74FFE" w:rsidP="00D74FFE">
            <w:pPr>
              <w:spacing w:after="100" w:line="240" w:lineRule="auto"/>
              <w:jc w:val="center"/>
              <w:rPr>
                <w:rFonts w:ascii="Calibri" w:eastAsia="Malgun Gothic" w:hAnsi="Calibri" w:cs="Times New Roman"/>
              </w:rPr>
            </w:pPr>
            <w:r w:rsidRPr="00D74FFE">
              <w:rPr>
                <w:rFonts w:ascii="Calibri" w:eastAsia="Malgun Gothic" w:hAnsi="Calibri" w:cs="Times New Roman"/>
              </w:rPr>
              <w:t>COMPLETION</w:t>
            </w:r>
          </w:p>
        </w:tc>
      </w:tr>
      <w:tr w:rsidR="00D74FFE" w:rsidRPr="00D74FFE" w14:paraId="3BBE0328"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16BEB3E3" w14:textId="77777777" w:rsidR="00D74FFE" w:rsidRPr="00D74FFE" w:rsidRDefault="00D74FFE" w:rsidP="00D74FFE">
            <w:pPr>
              <w:spacing w:line="240" w:lineRule="auto"/>
              <w:ind w:left="680" w:hanging="680"/>
              <w:jc w:val="left"/>
              <w:rPr>
                <w:rFonts w:ascii="Calibri" w:eastAsia="Malgun Gothic" w:hAnsi="Calibri" w:cs="Times New Roman"/>
                <w:b/>
                <w:i/>
              </w:rPr>
            </w:pPr>
            <w:r w:rsidRPr="00D74FFE">
              <w:rPr>
                <w:rFonts w:ascii="Calibri" w:eastAsia="Malgun Gothic" w:hAnsi="Calibri" w:cs="Times New Roman"/>
                <w:b/>
                <w:i/>
              </w:rPr>
              <w:t>Task 1</w:t>
            </w:r>
            <w:r w:rsidRPr="00D74FFE">
              <w:rPr>
                <w:rFonts w:ascii="Calibri" w:eastAsia="Malgun Gothic" w:hAnsi="Calibri" w:cs="Times New Roman"/>
              </w:rPr>
              <w:t>: How can we monitor and evaluate the policy, program or service against indicators that show/measure the impacts on gender gaps?</w:t>
            </w:r>
            <w:r w:rsidRPr="00D74FFE">
              <w:rPr>
                <w:rFonts w:ascii="Calibri" w:eastAsia="Malgun Gothic" w:hAnsi="Calibri" w:cs="Times New Roman"/>
                <w:sz w:val="20"/>
                <w:szCs w:val="20"/>
              </w:rPr>
              <w:t xml:space="preserve"> </w:t>
            </w:r>
            <w:r w:rsidRPr="00D74FFE">
              <w:rPr>
                <w:rFonts w:ascii="Calibri" w:eastAsia="Malgun Gothic" w:hAnsi="Calibri" w:cs="Times New Roman"/>
              </w:rPr>
              <w:t xml:space="preserve">How can we monitor and evaluate any unintended consequences? </w:t>
            </w:r>
          </w:p>
        </w:tc>
        <w:tc>
          <w:tcPr>
            <w:tcW w:w="3357" w:type="dxa"/>
            <w:gridSpan w:val="3"/>
          </w:tcPr>
          <w:p w14:paraId="2D07BAD2" w14:textId="77777777" w:rsidR="00D74FFE" w:rsidRPr="00D74FFE" w:rsidRDefault="00D74FFE" w:rsidP="00F116AB">
            <w:pPr>
              <w:numPr>
                <w:ilvl w:val="0"/>
                <w:numId w:val="46"/>
              </w:numPr>
              <w:spacing w:after="0" w:line="240" w:lineRule="auto"/>
              <w:contextualSpacing/>
              <w:jc w:val="left"/>
              <w:rPr>
                <w:rFonts w:ascii="Calibri" w:eastAsia="Malgun Gothic" w:hAnsi="Calibri" w:cs="Times New Roman"/>
              </w:rPr>
            </w:pPr>
          </w:p>
          <w:p w14:paraId="55C212A1" w14:textId="77777777" w:rsidR="005E28AA" w:rsidRPr="005E28AA" w:rsidRDefault="005E28AA" w:rsidP="00F116AB">
            <w:pPr>
              <w:numPr>
                <w:ilvl w:val="0"/>
                <w:numId w:val="46"/>
              </w:numPr>
              <w:spacing w:after="0" w:line="240" w:lineRule="auto"/>
              <w:contextualSpacing/>
              <w:jc w:val="left"/>
              <w:rPr>
                <w:rFonts w:ascii="Calibri" w:eastAsia="Malgun Gothic" w:hAnsi="Calibri" w:cs="Times New Roman"/>
              </w:rPr>
            </w:pPr>
          </w:p>
          <w:p w14:paraId="11519890" w14:textId="77777777" w:rsidR="005E28AA" w:rsidRPr="005E28AA" w:rsidRDefault="005E28AA" w:rsidP="00F116AB">
            <w:pPr>
              <w:numPr>
                <w:ilvl w:val="0"/>
                <w:numId w:val="46"/>
              </w:numPr>
              <w:spacing w:after="0" w:line="240" w:lineRule="auto"/>
              <w:contextualSpacing/>
              <w:jc w:val="left"/>
              <w:rPr>
                <w:rFonts w:ascii="Calibri" w:eastAsia="Malgun Gothic" w:hAnsi="Calibri" w:cs="Times New Roman"/>
              </w:rPr>
            </w:pPr>
          </w:p>
          <w:p w14:paraId="1597F112" w14:textId="77777777" w:rsidR="00864C2C" w:rsidRPr="005E28AA" w:rsidRDefault="00864C2C" w:rsidP="00864C2C">
            <w:pPr>
              <w:numPr>
                <w:ilvl w:val="0"/>
                <w:numId w:val="46"/>
              </w:numPr>
              <w:spacing w:after="0" w:line="240" w:lineRule="auto"/>
              <w:contextualSpacing/>
              <w:jc w:val="left"/>
              <w:rPr>
                <w:rFonts w:ascii="Calibri" w:eastAsia="Malgun Gothic" w:hAnsi="Calibri" w:cs="Times New Roman"/>
              </w:rPr>
            </w:pPr>
          </w:p>
          <w:p w14:paraId="01080E71" w14:textId="77777777" w:rsidR="00864C2C" w:rsidRPr="005E28AA" w:rsidRDefault="00864C2C" w:rsidP="00864C2C">
            <w:pPr>
              <w:numPr>
                <w:ilvl w:val="0"/>
                <w:numId w:val="46"/>
              </w:numPr>
              <w:spacing w:after="0" w:line="240" w:lineRule="auto"/>
              <w:contextualSpacing/>
              <w:jc w:val="left"/>
              <w:rPr>
                <w:rFonts w:ascii="Calibri" w:eastAsia="Malgun Gothic" w:hAnsi="Calibri" w:cs="Times New Roman"/>
              </w:rPr>
            </w:pPr>
          </w:p>
          <w:p w14:paraId="1C96DC57" w14:textId="77777777" w:rsidR="00D74FFE" w:rsidRPr="00D74FFE" w:rsidRDefault="00D74FFE" w:rsidP="00F116AB">
            <w:pPr>
              <w:numPr>
                <w:ilvl w:val="0"/>
                <w:numId w:val="46"/>
              </w:numPr>
              <w:spacing w:after="0" w:line="240" w:lineRule="auto"/>
              <w:contextualSpacing/>
              <w:jc w:val="left"/>
              <w:rPr>
                <w:rFonts w:ascii="Calibri" w:eastAsia="Malgun Gothic" w:hAnsi="Calibri" w:cs="Times New Roman"/>
              </w:rPr>
            </w:pPr>
          </w:p>
        </w:tc>
        <w:tc>
          <w:tcPr>
            <w:tcW w:w="1445" w:type="dxa"/>
          </w:tcPr>
          <w:p w14:paraId="628FA51C"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1DD8D31D"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038BE329" w14:textId="77777777" w:rsidR="00D74FFE" w:rsidRPr="00D74FFE" w:rsidRDefault="00D74FFE" w:rsidP="00D74FFE">
            <w:pPr>
              <w:spacing w:line="240" w:lineRule="auto"/>
              <w:ind w:left="680" w:hanging="680"/>
              <w:jc w:val="left"/>
              <w:rPr>
                <w:rFonts w:ascii="Calibri" w:eastAsia="Malgun Gothic" w:hAnsi="Calibri" w:cs="Times New Roman"/>
              </w:rPr>
            </w:pPr>
            <w:r w:rsidRPr="00D74FFE">
              <w:rPr>
                <w:rFonts w:ascii="Calibri" w:eastAsia="Malgun Gothic" w:hAnsi="Calibri" w:cs="Times New Roman"/>
                <w:b/>
                <w:i/>
              </w:rPr>
              <w:t>Task 2</w:t>
            </w:r>
            <w:r w:rsidRPr="00D74FFE">
              <w:rPr>
                <w:rFonts w:ascii="Calibri" w:eastAsia="Malgun Gothic" w:hAnsi="Calibri" w:cs="Times New Roman"/>
              </w:rPr>
              <w:t>: Will the monitoring and evaluation engage participants and stakeholders, including women, men and gender diverse people?</w:t>
            </w:r>
          </w:p>
        </w:tc>
        <w:tc>
          <w:tcPr>
            <w:tcW w:w="3357" w:type="dxa"/>
            <w:gridSpan w:val="3"/>
          </w:tcPr>
          <w:p w14:paraId="28965644" w14:textId="77777777" w:rsidR="00D74FFE" w:rsidRPr="00D74FFE" w:rsidRDefault="00D74FFE" w:rsidP="00F116AB">
            <w:pPr>
              <w:numPr>
                <w:ilvl w:val="0"/>
                <w:numId w:val="46"/>
              </w:numPr>
              <w:spacing w:after="100" w:line="240" w:lineRule="auto"/>
              <w:jc w:val="left"/>
              <w:rPr>
                <w:rFonts w:ascii="Calibri" w:eastAsia="Malgun Gothic" w:hAnsi="Calibri" w:cs="Times New Roman"/>
              </w:rPr>
            </w:pPr>
          </w:p>
          <w:p w14:paraId="4496D064" w14:textId="77777777" w:rsidR="00864C2C" w:rsidRPr="005E28AA" w:rsidRDefault="00864C2C" w:rsidP="00864C2C">
            <w:pPr>
              <w:numPr>
                <w:ilvl w:val="0"/>
                <w:numId w:val="46"/>
              </w:numPr>
              <w:spacing w:after="0" w:line="240" w:lineRule="auto"/>
              <w:contextualSpacing/>
              <w:jc w:val="left"/>
              <w:rPr>
                <w:rFonts w:ascii="Calibri" w:eastAsia="Malgun Gothic" w:hAnsi="Calibri" w:cs="Times New Roman"/>
              </w:rPr>
            </w:pPr>
          </w:p>
          <w:p w14:paraId="68C5762A" w14:textId="77777777" w:rsidR="00864C2C" w:rsidRPr="005E28AA" w:rsidRDefault="00864C2C" w:rsidP="00864C2C">
            <w:pPr>
              <w:numPr>
                <w:ilvl w:val="0"/>
                <w:numId w:val="46"/>
              </w:numPr>
              <w:spacing w:after="0" w:line="240" w:lineRule="auto"/>
              <w:contextualSpacing/>
              <w:jc w:val="left"/>
              <w:rPr>
                <w:rFonts w:ascii="Calibri" w:eastAsia="Malgun Gothic" w:hAnsi="Calibri" w:cs="Times New Roman"/>
              </w:rPr>
            </w:pPr>
          </w:p>
          <w:p w14:paraId="2A78354A" w14:textId="77777777" w:rsidR="00D74FFE" w:rsidRPr="00D74FFE" w:rsidRDefault="00D74FFE" w:rsidP="00F116AB">
            <w:pPr>
              <w:numPr>
                <w:ilvl w:val="0"/>
                <w:numId w:val="46"/>
              </w:numPr>
              <w:spacing w:after="100" w:line="240" w:lineRule="auto"/>
              <w:jc w:val="left"/>
              <w:rPr>
                <w:rFonts w:ascii="Calibri" w:eastAsia="Malgun Gothic" w:hAnsi="Calibri" w:cs="Times New Roman"/>
              </w:rPr>
            </w:pPr>
          </w:p>
        </w:tc>
        <w:tc>
          <w:tcPr>
            <w:tcW w:w="1445" w:type="dxa"/>
          </w:tcPr>
          <w:p w14:paraId="60A10F67"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4F7FE23D"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2227BA35" w14:textId="77777777" w:rsidR="00D74FFE" w:rsidRPr="00D74FFE" w:rsidRDefault="00D74FFE" w:rsidP="00D74FFE">
            <w:pPr>
              <w:spacing w:line="240" w:lineRule="auto"/>
              <w:ind w:left="680" w:hanging="680"/>
              <w:jc w:val="left"/>
              <w:rPr>
                <w:rFonts w:ascii="Calibri" w:eastAsia="Malgun Gothic" w:hAnsi="Calibri" w:cs="Times New Roman"/>
              </w:rPr>
            </w:pPr>
            <w:r w:rsidRPr="00D74FFE">
              <w:rPr>
                <w:rFonts w:ascii="Calibri" w:eastAsia="Malgun Gothic" w:hAnsi="Calibri" w:cs="Times New Roman"/>
                <w:b/>
                <w:i/>
              </w:rPr>
              <w:t>Task 3</w:t>
            </w:r>
            <w:r w:rsidRPr="00D74FFE">
              <w:rPr>
                <w:rFonts w:ascii="Calibri" w:eastAsia="Malgun Gothic" w:hAnsi="Calibri" w:cs="Times New Roman"/>
              </w:rPr>
              <w:t>: Are there measures in place to review/change the policy, program or service if it is not delivering the outcomes?</w:t>
            </w:r>
          </w:p>
        </w:tc>
        <w:tc>
          <w:tcPr>
            <w:tcW w:w="3357" w:type="dxa"/>
            <w:gridSpan w:val="3"/>
          </w:tcPr>
          <w:p w14:paraId="691F3F58" w14:textId="77777777" w:rsidR="00D74FFE" w:rsidRPr="00D74FFE" w:rsidRDefault="00D74FFE" w:rsidP="00F116AB">
            <w:pPr>
              <w:numPr>
                <w:ilvl w:val="0"/>
                <w:numId w:val="46"/>
              </w:numPr>
              <w:spacing w:after="0" w:line="240" w:lineRule="auto"/>
              <w:contextualSpacing/>
              <w:jc w:val="left"/>
              <w:rPr>
                <w:rFonts w:ascii="Calibri" w:eastAsia="Malgun Gothic" w:hAnsi="Calibri" w:cs="Times New Roman"/>
              </w:rPr>
            </w:pPr>
          </w:p>
          <w:p w14:paraId="7A5305B7" w14:textId="77777777" w:rsidR="00864C2C" w:rsidRPr="005E28AA" w:rsidRDefault="00864C2C" w:rsidP="00864C2C">
            <w:pPr>
              <w:numPr>
                <w:ilvl w:val="0"/>
                <w:numId w:val="46"/>
              </w:numPr>
              <w:spacing w:after="0" w:line="240" w:lineRule="auto"/>
              <w:contextualSpacing/>
              <w:jc w:val="left"/>
              <w:rPr>
                <w:rFonts w:ascii="Calibri" w:eastAsia="Malgun Gothic" w:hAnsi="Calibri" w:cs="Times New Roman"/>
              </w:rPr>
            </w:pPr>
          </w:p>
          <w:p w14:paraId="5E0F433A" w14:textId="77777777" w:rsidR="00864C2C" w:rsidRPr="005E28AA" w:rsidRDefault="00864C2C" w:rsidP="00864C2C">
            <w:pPr>
              <w:numPr>
                <w:ilvl w:val="0"/>
                <w:numId w:val="46"/>
              </w:numPr>
              <w:spacing w:after="0" w:line="240" w:lineRule="auto"/>
              <w:contextualSpacing/>
              <w:jc w:val="left"/>
              <w:rPr>
                <w:rFonts w:ascii="Calibri" w:eastAsia="Malgun Gothic" w:hAnsi="Calibri" w:cs="Times New Roman"/>
              </w:rPr>
            </w:pPr>
          </w:p>
          <w:p w14:paraId="6ECE06BB" w14:textId="77777777" w:rsidR="00D74FFE" w:rsidRPr="00D74FFE" w:rsidRDefault="00D74FFE" w:rsidP="00F116AB">
            <w:pPr>
              <w:numPr>
                <w:ilvl w:val="0"/>
                <w:numId w:val="46"/>
              </w:numPr>
              <w:spacing w:after="0" w:line="240" w:lineRule="auto"/>
              <w:contextualSpacing/>
              <w:jc w:val="left"/>
              <w:rPr>
                <w:rFonts w:ascii="Calibri" w:eastAsia="Malgun Gothic" w:hAnsi="Calibri" w:cs="Times New Roman"/>
              </w:rPr>
            </w:pPr>
          </w:p>
          <w:p w14:paraId="70E5261F" w14:textId="77777777" w:rsidR="00D74FFE" w:rsidRPr="00D74FFE" w:rsidRDefault="00D74FFE" w:rsidP="00D74FFE">
            <w:pPr>
              <w:spacing w:after="0" w:line="240" w:lineRule="auto"/>
              <w:ind w:left="360"/>
              <w:contextualSpacing/>
              <w:jc w:val="left"/>
              <w:rPr>
                <w:rFonts w:ascii="Calibri" w:eastAsia="Malgun Gothic" w:hAnsi="Calibri" w:cs="Times New Roman"/>
              </w:rPr>
            </w:pPr>
          </w:p>
          <w:p w14:paraId="21F46C93" w14:textId="77777777" w:rsidR="00D74FFE" w:rsidRPr="00D74FFE" w:rsidRDefault="00D74FFE" w:rsidP="00D74FFE">
            <w:pPr>
              <w:spacing w:after="0" w:line="240" w:lineRule="auto"/>
              <w:ind w:firstLine="720"/>
              <w:jc w:val="left"/>
              <w:rPr>
                <w:rFonts w:ascii="Calibri" w:eastAsia="Malgun Gothic" w:hAnsi="Calibri" w:cs="Times New Roman"/>
              </w:rPr>
            </w:pPr>
          </w:p>
        </w:tc>
        <w:tc>
          <w:tcPr>
            <w:tcW w:w="1445" w:type="dxa"/>
          </w:tcPr>
          <w:p w14:paraId="38F5F9E0"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273A5E1B"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4" w:type="dxa"/>
            <w:gridSpan w:val="6"/>
            <w:shd w:val="clear" w:color="auto" w:fill="5A5098"/>
          </w:tcPr>
          <w:p w14:paraId="78170C28" w14:textId="77777777" w:rsidR="00D74FFE" w:rsidRPr="00D74FFE" w:rsidRDefault="00D74FFE" w:rsidP="00D74FFE">
            <w:pPr>
              <w:spacing w:before="120" w:line="240" w:lineRule="auto"/>
              <w:jc w:val="center"/>
              <w:rPr>
                <w:rFonts w:ascii="Calibri Light" w:eastAsia="Malgun Gothic" w:hAnsi="Calibri Light" w:cs="Times New Roman"/>
                <w:b/>
                <w:color w:val="FFFFFF"/>
                <w:sz w:val="28"/>
                <w:szCs w:val="28"/>
              </w:rPr>
            </w:pPr>
            <w:r w:rsidRPr="00D74FFE">
              <w:rPr>
                <w:rFonts w:ascii="Calibri Light" w:eastAsia="Malgun Gothic" w:hAnsi="Calibri Light" w:cs="Times New Roman"/>
                <w:b/>
                <w:color w:val="FFFFFF"/>
                <w:sz w:val="28"/>
                <w:szCs w:val="28"/>
              </w:rPr>
              <w:t>STAGE 8: REPORTING</w:t>
            </w:r>
          </w:p>
        </w:tc>
      </w:tr>
      <w:tr w:rsidR="00D74FFE" w:rsidRPr="00D74FFE" w14:paraId="5E91FA65"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4" w:type="dxa"/>
            <w:gridSpan w:val="6"/>
          </w:tcPr>
          <w:p w14:paraId="05390A27" w14:textId="77777777" w:rsidR="00D74FFE" w:rsidRPr="00D74FFE" w:rsidRDefault="00D74FFE" w:rsidP="00D74FFE">
            <w:pPr>
              <w:spacing w:before="120" w:line="240" w:lineRule="auto"/>
              <w:jc w:val="left"/>
              <w:rPr>
                <w:rFonts w:ascii="Calibri" w:eastAsia="Malgun Gothic" w:hAnsi="Calibri" w:cs="Times New Roman"/>
              </w:rPr>
            </w:pPr>
            <w:r w:rsidRPr="00D74FFE">
              <w:rPr>
                <w:rFonts w:ascii="Calibri" w:eastAsia="Malgun Gothic" w:hAnsi="Calibri" w:cs="Times New Roman"/>
              </w:rPr>
              <w:t xml:space="preserve">This stage reports the results of the policy, program or service, including impacts and issues for different genders. </w:t>
            </w:r>
          </w:p>
          <w:p w14:paraId="7847338F" w14:textId="77777777" w:rsidR="00D74FFE" w:rsidRPr="00D74FFE" w:rsidRDefault="00D74FFE" w:rsidP="00D74FFE">
            <w:pPr>
              <w:shd w:val="clear" w:color="auto" w:fill="E6E7F2"/>
              <w:spacing w:before="120" w:line="240" w:lineRule="auto"/>
              <w:ind w:left="1287" w:right="567" w:hanging="720"/>
              <w:jc w:val="left"/>
              <w:rPr>
                <w:rFonts w:ascii="Calibri" w:eastAsia="Malgun Gothic" w:hAnsi="Calibri" w:cs="Times New Roman"/>
              </w:rPr>
            </w:pPr>
            <w:r w:rsidRPr="00D74FFE">
              <w:rPr>
                <w:rFonts w:ascii="Calibri" w:eastAsia="Malgun Gothic" w:hAnsi="Calibri" w:cs="Times New Roman"/>
                <w:b/>
              </w:rPr>
              <w:t>Note</w:t>
            </w:r>
            <w:r w:rsidRPr="00D74FFE">
              <w:rPr>
                <w:rFonts w:ascii="Calibri" w:eastAsia="Malgun Gothic" w:hAnsi="Calibri" w:cs="Times New Roman"/>
              </w:rPr>
              <w:t>:    Ensure that those groups and individuals consulted at various stages in the development of your project are acknowledged.</w:t>
            </w:r>
          </w:p>
        </w:tc>
      </w:tr>
      <w:tr w:rsidR="00D7570E" w:rsidRPr="00D74FFE" w14:paraId="42C75892"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Borders>
              <w:bottom w:val="single" w:sz="4" w:space="0" w:color="auto"/>
            </w:tcBorders>
            <w:shd w:val="clear" w:color="auto" w:fill="F2F2F2"/>
          </w:tcPr>
          <w:p w14:paraId="213FE1DD" w14:textId="77777777" w:rsidR="00D74FFE" w:rsidRPr="00D74FFE" w:rsidRDefault="00D74FFE" w:rsidP="00D74FFE">
            <w:pPr>
              <w:spacing w:after="100" w:line="240" w:lineRule="auto"/>
              <w:jc w:val="center"/>
              <w:rPr>
                <w:rFonts w:ascii="Calibri" w:eastAsia="Malgun Gothic" w:hAnsi="Calibri" w:cs="Times New Roman"/>
              </w:rPr>
            </w:pPr>
            <w:r w:rsidRPr="00D74FFE">
              <w:rPr>
                <w:rFonts w:ascii="Calibri" w:eastAsia="Malgun Gothic" w:hAnsi="Calibri" w:cs="Times New Roman"/>
              </w:rPr>
              <w:t>ISSUES/QUESTIONS TO CONSIDER</w:t>
            </w:r>
          </w:p>
        </w:tc>
        <w:tc>
          <w:tcPr>
            <w:tcW w:w="3357" w:type="dxa"/>
            <w:gridSpan w:val="3"/>
            <w:shd w:val="clear" w:color="auto" w:fill="F2F2F2"/>
          </w:tcPr>
          <w:p w14:paraId="2AC8A7B7" w14:textId="77777777" w:rsidR="00D74FFE" w:rsidRPr="00D74FFE" w:rsidRDefault="00D74FFE" w:rsidP="00D74FFE">
            <w:pPr>
              <w:spacing w:after="100" w:line="240" w:lineRule="auto"/>
              <w:jc w:val="center"/>
              <w:rPr>
                <w:rFonts w:ascii="Calibri" w:eastAsia="Malgun Gothic" w:hAnsi="Calibri" w:cs="Times New Roman"/>
              </w:rPr>
            </w:pPr>
            <w:r w:rsidRPr="00D74FFE">
              <w:rPr>
                <w:rFonts w:ascii="Calibri" w:eastAsia="Malgun Gothic" w:hAnsi="Calibri" w:cs="Times New Roman"/>
              </w:rPr>
              <w:t>ACTIONS</w:t>
            </w:r>
          </w:p>
        </w:tc>
        <w:tc>
          <w:tcPr>
            <w:tcW w:w="1445" w:type="dxa"/>
            <w:shd w:val="clear" w:color="auto" w:fill="F2F2F2"/>
          </w:tcPr>
          <w:p w14:paraId="6ED6D572" w14:textId="77777777" w:rsidR="00D74FFE" w:rsidRPr="00D74FFE" w:rsidRDefault="00D74FFE" w:rsidP="00D74FFE">
            <w:pPr>
              <w:spacing w:after="100" w:line="240" w:lineRule="auto"/>
              <w:jc w:val="center"/>
              <w:rPr>
                <w:rFonts w:ascii="Calibri" w:eastAsia="Malgun Gothic" w:hAnsi="Calibri" w:cs="Times New Roman"/>
              </w:rPr>
            </w:pPr>
            <w:r w:rsidRPr="00D74FFE">
              <w:rPr>
                <w:rFonts w:ascii="Calibri" w:eastAsia="Malgun Gothic" w:hAnsi="Calibri" w:cs="Times New Roman"/>
              </w:rPr>
              <w:t>COMPLETION</w:t>
            </w:r>
          </w:p>
        </w:tc>
      </w:tr>
      <w:tr w:rsidR="00D74FFE" w:rsidRPr="00D74FFE" w14:paraId="6A248250"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749DB114" w14:textId="77777777" w:rsidR="00D74FFE" w:rsidRPr="00D74FFE" w:rsidRDefault="00D74FFE" w:rsidP="00D74FFE">
            <w:pPr>
              <w:spacing w:line="240" w:lineRule="auto"/>
              <w:ind w:left="680" w:hanging="680"/>
              <w:jc w:val="left"/>
              <w:rPr>
                <w:rFonts w:ascii="Calibri" w:eastAsia="Malgun Gothic" w:hAnsi="Calibri" w:cs="Times New Roman"/>
                <w:b/>
                <w:i/>
              </w:rPr>
            </w:pPr>
            <w:r w:rsidRPr="00D74FFE">
              <w:rPr>
                <w:rFonts w:ascii="Calibri" w:eastAsia="Malgun Gothic" w:hAnsi="Calibri" w:cs="Times New Roman"/>
                <w:b/>
                <w:i/>
              </w:rPr>
              <w:t>Task 1</w:t>
            </w:r>
            <w:r w:rsidRPr="00D74FFE">
              <w:rPr>
                <w:rFonts w:ascii="Calibri" w:eastAsia="Malgun Gothic" w:hAnsi="Calibri" w:cs="Times New Roman"/>
              </w:rPr>
              <w:t>: What is our reporting method?</w:t>
            </w:r>
          </w:p>
        </w:tc>
        <w:tc>
          <w:tcPr>
            <w:tcW w:w="3357" w:type="dxa"/>
            <w:gridSpan w:val="3"/>
          </w:tcPr>
          <w:p w14:paraId="609F3683" w14:textId="77777777" w:rsidR="00D74FFE" w:rsidRPr="00D74FFE" w:rsidRDefault="00D74FFE" w:rsidP="002F43AD">
            <w:pPr>
              <w:numPr>
                <w:ilvl w:val="0"/>
                <w:numId w:val="75"/>
              </w:numPr>
              <w:spacing w:after="0" w:line="240" w:lineRule="auto"/>
              <w:contextualSpacing/>
              <w:jc w:val="left"/>
              <w:rPr>
                <w:rFonts w:ascii="Calibri" w:eastAsia="Malgun Gothic" w:hAnsi="Calibri" w:cs="Times New Roman"/>
              </w:rPr>
            </w:pPr>
          </w:p>
          <w:p w14:paraId="0C45F100" w14:textId="77777777" w:rsidR="005E28AA" w:rsidRPr="005E28AA" w:rsidRDefault="005E28AA" w:rsidP="002F43AD">
            <w:pPr>
              <w:numPr>
                <w:ilvl w:val="0"/>
                <w:numId w:val="75"/>
              </w:numPr>
              <w:spacing w:after="0" w:line="240" w:lineRule="auto"/>
              <w:contextualSpacing/>
              <w:jc w:val="left"/>
              <w:rPr>
                <w:rFonts w:ascii="Calibri" w:eastAsia="Malgun Gothic" w:hAnsi="Calibri" w:cs="Times New Roman"/>
              </w:rPr>
            </w:pPr>
          </w:p>
          <w:p w14:paraId="723B5348" w14:textId="77777777" w:rsidR="005E28AA" w:rsidRPr="005E28AA" w:rsidRDefault="005E28AA" w:rsidP="002F43AD">
            <w:pPr>
              <w:numPr>
                <w:ilvl w:val="0"/>
                <w:numId w:val="75"/>
              </w:numPr>
              <w:spacing w:after="0" w:line="240" w:lineRule="auto"/>
              <w:contextualSpacing/>
              <w:jc w:val="left"/>
              <w:rPr>
                <w:rFonts w:ascii="Calibri" w:eastAsia="Malgun Gothic" w:hAnsi="Calibri" w:cs="Times New Roman"/>
              </w:rPr>
            </w:pPr>
          </w:p>
          <w:p w14:paraId="56FB2F4F" w14:textId="77777777" w:rsidR="00D74FFE" w:rsidRPr="00D74FFE" w:rsidRDefault="00D74FFE" w:rsidP="002F43AD">
            <w:pPr>
              <w:numPr>
                <w:ilvl w:val="0"/>
                <w:numId w:val="75"/>
              </w:numPr>
              <w:spacing w:after="0" w:line="240" w:lineRule="auto"/>
              <w:contextualSpacing/>
              <w:jc w:val="left"/>
              <w:rPr>
                <w:rFonts w:ascii="Calibri" w:eastAsia="Malgun Gothic" w:hAnsi="Calibri" w:cs="Times New Roman"/>
              </w:rPr>
            </w:pPr>
          </w:p>
        </w:tc>
        <w:tc>
          <w:tcPr>
            <w:tcW w:w="1445" w:type="dxa"/>
          </w:tcPr>
          <w:p w14:paraId="7D52BCDE"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72E72A36"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15A82609" w14:textId="77777777" w:rsidR="00D74FFE" w:rsidRPr="00D74FFE" w:rsidRDefault="00D74FFE" w:rsidP="00D74FFE">
            <w:pPr>
              <w:spacing w:line="240" w:lineRule="auto"/>
              <w:ind w:left="680" w:hanging="680"/>
              <w:jc w:val="left"/>
              <w:rPr>
                <w:rFonts w:ascii="Calibri" w:eastAsia="Malgun Gothic" w:hAnsi="Calibri" w:cs="Times New Roman"/>
              </w:rPr>
            </w:pPr>
            <w:r w:rsidRPr="00D74FFE">
              <w:rPr>
                <w:rFonts w:ascii="Calibri" w:eastAsia="Malgun Gothic" w:hAnsi="Calibri" w:cs="Times New Roman"/>
                <w:b/>
                <w:i/>
              </w:rPr>
              <w:t>Task 2</w:t>
            </w:r>
            <w:r w:rsidRPr="00D74FFE">
              <w:rPr>
                <w:rFonts w:ascii="Calibri" w:eastAsia="Malgun Gothic" w:hAnsi="Calibri" w:cs="Times New Roman"/>
              </w:rPr>
              <w:t>: Is it consistent with our organisation’s strategies for gender equity and equality, inclusion and diversity?</w:t>
            </w:r>
          </w:p>
        </w:tc>
        <w:tc>
          <w:tcPr>
            <w:tcW w:w="3357" w:type="dxa"/>
            <w:gridSpan w:val="3"/>
          </w:tcPr>
          <w:p w14:paraId="6EC7DB1E" w14:textId="77777777" w:rsidR="00D74FFE" w:rsidRPr="00D74FFE" w:rsidRDefault="00D74FFE" w:rsidP="00864C2C">
            <w:pPr>
              <w:numPr>
                <w:ilvl w:val="0"/>
                <w:numId w:val="75"/>
              </w:numPr>
              <w:spacing w:after="0" w:line="240" w:lineRule="auto"/>
              <w:contextualSpacing/>
              <w:jc w:val="left"/>
              <w:rPr>
                <w:rFonts w:ascii="Calibri" w:eastAsia="Malgun Gothic" w:hAnsi="Calibri" w:cs="Times New Roman"/>
              </w:rPr>
            </w:pPr>
          </w:p>
          <w:p w14:paraId="70B714DB" w14:textId="77777777" w:rsidR="005E28AA" w:rsidRPr="005E28AA" w:rsidRDefault="005E28AA" w:rsidP="00864C2C">
            <w:pPr>
              <w:numPr>
                <w:ilvl w:val="0"/>
                <w:numId w:val="75"/>
              </w:numPr>
              <w:spacing w:after="100" w:line="240" w:lineRule="auto"/>
              <w:jc w:val="left"/>
              <w:rPr>
                <w:rFonts w:ascii="Calibri" w:eastAsia="Malgun Gothic" w:hAnsi="Calibri" w:cs="Times New Roman"/>
              </w:rPr>
            </w:pPr>
          </w:p>
          <w:p w14:paraId="3AA80E58" w14:textId="77777777" w:rsidR="005E28AA" w:rsidRPr="005E28AA" w:rsidRDefault="005E28AA" w:rsidP="00864C2C">
            <w:pPr>
              <w:numPr>
                <w:ilvl w:val="0"/>
                <w:numId w:val="75"/>
              </w:numPr>
              <w:spacing w:after="100" w:line="240" w:lineRule="auto"/>
              <w:jc w:val="left"/>
              <w:rPr>
                <w:rFonts w:ascii="Calibri" w:eastAsia="Malgun Gothic" w:hAnsi="Calibri" w:cs="Times New Roman"/>
              </w:rPr>
            </w:pPr>
          </w:p>
          <w:p w14:paraId="023CC0EB" w14:textId="77777777" w:rsidR="00864C2C" w:rsidRPr="005E28AA" w:rsidRDefault="00864C2C" w:rsidP="00864C2C">
            <w:pPr>
              <w:numPr>
                <w:ilvl w:val="0"/>
                <w:numId w:val="75"/>
              </w:numPr>
              <w:spacing w:after="0" w:line="240" w:lineRule="auto"/>
              <w:contextualSpacing/>
              <w:jc w:val="left"/>
              <w:rPr>
                <w:rFonts w:ascii="Calibri" w:eastAsia="Malgun Gothic" w:hAnsi="Calibri" w:cs="Times New Roman"/>
              </w:rPr>
            </w:pPr>
          </w:p>
          <w:p w14:paraId="6FC1A513" w14:textId="77777777" w:rsidR="00864C2C" w:rsidRPr="005E28AA" w:rsidRDefault="00864C2C" w:rsidP="00864C2C">
            <w:pPr>
              <w:numPr>
                <w:ilvl w:val="0"/>
                <w:numId w:val="75"/>
              </w:numPr>
              <w:spacing w:after="0" w:line="240" w:lineRule="auto"/>
              <w:contextualSpacing/>
              <w:jc w:val="left"/>
              <w:rPr>
                <w:rFonts w:ascii="Calibri" w:eastAsia="Malgun Gothic" w:hAnsi="Calibri" w:cs="Times New Roman"/>
              </w:rPr>
            </w:pPr>
          </w:p>
          <w:p w14:paraId="042E026A" w14:textId="77777777" w:rsidR="00D74FFE" w:rsidRPr="00D74FFE" w:rsidRDefault="00D74FFE" w:rsidP="00864C2C">
            <w:pPr>
              <w:numPr>
                <w:ilvl w:val="0"/>
                <w:numId w:val="75"/>
              </w:numPr>
              <w:spacing w:after="100" w:line="240" w:lineRule="auto"/>
              <w:jc w:val="left"/>
              <w:rPr>
                <w:rFonts w:ascii="Calibri" w:eastAsia="Malgun Gothic" w:hAnsi="Calibri" w:cs="Times New Roman"/>
              </w:rPr>
            </w:pPr>
          </w:p>
        </w:tc>
        <w:tc>
          <w:tcPr>
            <w:tcW w:w="1445" w:type="dxa"/>
          </w:tcPr>
          <w:p w14:paraId="741F615D"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r w:rsidR="00D74FFE" w:rsidRPr="00D74FFE" w14:paraId="6D26BAA1" w14:textId="77777777" w:rsidTr="009C6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
          </w:tcPr>
          <w:p w14:paraId="294B5C85" w14:textId="77777777" w:rsidR="00D74FFE" w:rsidRPr="00D74FFE" w:rsidRDefault="00D74FFE" w:rsidP="00D74FFE">
            <w:pPr>
              <w:spacing w:line="240" w:lineRule="auto"/>
              <w:ind w:left="680" w:hanging="680"/>
              <w:jc w:val="left"/>
              <w:rPr>
                <w:rFonts w:ascii="Calibri" w:eastAsia="Malgun Gothic" w:hAnsi="Calibri" w:cs="Times New Roman"/>
              </w:rPr>
            </w:pPr>
            <w:r w:rsidRPr="00D74FFE">
              <w:rPr>
                <w:rFonts w:ascii="Calibri" w:eastAsia="Malgun Gothic" w:hAnsi="Calibri" w:cs="Times New Roman"/>
                <w:b/>
                <w:i/>
              </w:rPr>
              <w:t>Task 3</w:t>
            </w:r>
            <w:r w:rsidRPr="00D74FFE">
              <w:rPr>
                <w:rFonts w:ascii="Calibri" w:eastAsia="Malgun Gothic" w:hAnsi="Calibri" w:cs="Times New Roman"/>
              </w:rPr>
              <w:t>: In what media is our report available (i.e. print and/or online)?</w:t>
            </w:r>
          </w:p>
        </w:tc>
        <w:tc>
          <w:tcPr>
            <w:tcW w:w="3357" w:type="dxa"/>
            <w:gridSpan w:val="3"/>
          </w:tcPr>
          <w:p w14:paraId="4B291A61" w14:textId="77777777" w:rsidR="00D74FFE" w:rsidRPr="00D74FFE" w:rsidRDefault="00D74FFE" w:rsidP="002F43AD">
            <w:pPr>
              <w:numPr>
                <w:ilvl w:val="0"/>
                <w:numId w:val="75"/>
              </w:numPr>
              <w:spacing w:after="0" w:line="240" w:lineRule="auto"/>
              <w:contextualSpacing/>
              <w:jc w:val="left"/>
              <w:rPr>
                <w:rFonts w:ascii="Calibri" w:eastAsia="Malgun Gothic" w:hAnsi="Calibri" w:cs="Times New Roman"/>
              </w:rPr>
            </w:pPr>
          </w:p>
          <w:p w14:paraId="14DA288C" w14:textId="77777777" w:rsidR="005E28AA" w:rsidRPr="005E28AA" w:rsidRDefault="005E28AA" w:rsidP="002F43AD">
            <w:pPr>
              <w:numPr>
                <w:ilvl w:val="0"/>
                <w:numId w:val="75"/>
              </w:numPr>
              <w:spacing w:after="0" w:line="240" w:lineRule="auto"/>
              <w:contextualSpacing/>
              <w:jc w:val="left"/>
              <w:rPr>
                <w:rFonts w:ascii="Calibri" w:eastAsia="Malgun Gothic" w:hAnsi="Calibri" w:cs="Times New Roman"/>
              </w:rPr>
            </w:pPr>
          </w:p>
          <w:p w14:paraId="1052464C" w14:textId="77777777" w:rsidR="005E28AA" w:rsidRPr="005E28AA" w:rsidRDefault="005E28AA" w:rsidP="002F43AD">
            <w:pPr>
              <w:numPr>
                <w:ilvl w:val="0"/>
                <w:numId w:val="75"/>
              </w:numPr>
              <w:spacing w:after="0" w:line="240" w:lineRule="auto"/>
              <w:contextualSpacing/>
              <w:jc w:val="left"/>
              <w:rPr>
                <w:rFonts w:ascii="Calibri" w:eastAsia="Malgun Gothic" w:hAnsi="Calibri" w:cs="Times New Roman"/>
              </w:rPr>
            </w:pPr>
          </w:p>
          <w:p w14:paraId="02E5E0B2" w14:textId="77777777" w:rsidR="00D74FFE" w:rsidRPr="00D74FFE" w:rsidRDefault="00D74FFE" w:rsidP="002F43AD">
            <w:pPr>
              <w:numPr>
                <w:ilvl w:val="0"/>
                <w:numId w:val="75"/>
              </w:numPr>
              <w:spacing w:after="0" w:line="240" w:lineRule="auto"/>
              <w:contextualSpacing/>
              <w:jc w:val="left"/>
              <w:rPr>
                <w:rFonts w:ascii="Calibri" w:eastAsia="Malgun Gothic" w:hAnsi="Calibri" w:cs="Times New Roman"/>
              </w:rPr>
            </w:pPr>
          </w:p>
        </w:tc>
        <w:tc>
          <w:tcPr>
            <w:tcW w:w="1445" w:type="dxa"/>
          </w:tcPr>
          <w:p w14:paraId="47E9BDE4" w14:textId="77777777" w:rsidR="00D74FFE" w:rsidRPr="00D74FFE" w:rsidRDefault="00D74FFE" w:rsidP="00D74FFE">
            <w:pPr>
              <w:spacing w:after="100" w:line="240" w:lineRule="auto"/>
              <w:jc w:val="left"/>
              <w:rPr>
                <w:rFonts w:ascii="Calibri" w:eastAsia="Malgun Gothic" w:hAnsi="Calibri" w:cs="Times New Roman"/>
              </w:rPr>
            </w:pPr>
            <w:r w:rsidRPr="00D74FFE">
              <w:rPr>
                <w:rFonts w:ascii="Calibri" w:eastAsia="Malgun Gothic" w:hAnsi="Calibri" w:cs="Times New Roman"/>
              </w:rPr>
              <w:sym w:font="Wingdings 2" w:char="F0A3"/>
            </w:r>
            <w:r w:rsidRPr="00D74FFE">
              <w:rPr>
                <w:rFonts w:ascii="Calibri" w:eastAsia="Malgun Gothic" w:hAnsi="Calibri" w:cs="Times New Roman"/>
              </w:rPr>
              <w:t xml:space="preserve">  Yes</w:t>
            </w:r>
            <w:r w:rsidRPr="00D74FFE">
              <w:rPr>
                <w:rFonts w:ascii="Calibri" w:eastAsia="Malgun Gothic" w:hAnsi="Calibri" w:cs="Times New Roman"/>
              </w:rPr>
              <w:tab/>
            </w:r>
            <w:r w:rsidRPr="00D74FFE">
              <w:rPr>
                <w:rFonts w:ascii="Calibri" w:eastAsia="Malgun Gothic" w:hAnsi="Calibri" w:cs="Times New Roman"/>
              </w:rPr>
              <w:sym w:font="Wingdings 2" w:char="F0A3"/>
            </w:r>
            <w:r w:rsidRPr="00D74FFE">
              <w:rPr>
                <w:rFonts w:ascii="Calibri" w:eastAsia="Malgun Gothic" w:hAnsi="Calibri" w:cs="Times New Roman"/>
              </w:rPr>
              <w:t xml:space="preserve"> No</w:t>
            </w:r>
          </w:p>
        </w:tc>
      </w:tr>
    </w:tbl>
    <w:p w14:paraId="35ADAB31" w14:textId="6F4895E7" w:rsidR="00214B0D" w:rsidRPr="000B6BAE" w:rsidRDefault="00214B0D" w:rsidP="006816D9">
      <w:pPr>
        <w:spacing w:before="120" w:line="240" w:lineRule="auto"/>
        <w:rPr>
          <w:rFonts w:ascii="Times New Roman" w:hAnsi="Times New Roman"/>
          <w:lang w:val="en-AU"/>
        </w:rPr>
      </w:pPr>
      <w:r w:rsidRPr="000B6BAE">
        <w:rPr>
          <w:lang w:val="en-AU"/>
        </w:rPr>
        <w:br w:type="page"/>
      </w:r>
    </w:p>
    <w:p w14:paraId="628D5236" w14:textId="0185CC04" w:rsidR="00214B0D" w:rsidRDefault="00D742E6" w:rsidP="00214B0D">
      <w:pPr>
        <w:jc w:val="right"/>
        <w:rPr>
          <w:b/>
          <w:color w:val="660066"/>
          <w:sz w:val="36"/>
          <w:szCs w:val="36"/>
        </w:rPr>
      </w:pPr>
      <w:r>
        <w:rPr>
          <w:b/>
          <w:noProof/>
          <w:color w:val="660066"/>
          <w:sz w:val="36"/>
          <w:szCs w:val="36"/>
          <w:lang w:val="en-AU" w:eastAsia="ko-KR"/>
        </w:rPr>
        <w:drawing>
          <wp:anchor distT="0" distB="0" distL="114300" distR="114300" simplePos="0" relativeHeight="251685888" behindDoc="1" locked="1" layoutInCell="1" allowOverlap="1" wp14:anchorId="25A90708" wp14:editId="720506C8">
            <wp:simplePos x="0" y="0"/>
            <wp:positionH relativeFrom="column">
              <wp:posOffset>-914400</wp:posOffset>
            </wp:positionH>
            <wp:positionV relativeFrom="page">
              <wp:posOffset>-27305</wp:posOffset>
            </wp:positionV>
            <wp:extent cx="7581900" cy="10723880"/>
            <wp:effectExtent l="0" t="0" r="1270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8 GenericToolkit_7jpg.jpg"/>
                    <pic:cNvPicPr/>
                  </pic:nvPicPr>
                  <pic:blipFill>
                    <a:blip r:embed="rId119">
                      <a:extLst>
                        <a:ext uri="{28A0092B-C50C-407E-A947-70E740481C1C}">
                          <a14:useLocalDpi xmlns:a14="http://schemas.microsoft.com/office/drawing/2010/main" val="0"/>
                        </a:ext>
                      </a:extLst>
                    </a:blip>
                    <a:stretch>
                      <a:fillRect/>
                    </a:stretch>
                  </pic:blipFill>
                  <pic:spPr>
                    <a:xfrm>
                      <a:off x="0" y="0"/>
                      <a:ext cx="7581900" cy="107238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297D288" w14:textId="77777777" w:rsidR="00214B0D" w:rsidRDefault="00214B0D" w:rsidP="00214B0D">
      <w:pPr>
        <w:jc w:val="right"/>
        <w:rPr>
          <w:b/>
          <w:color w:val="660066"/>
          <w:sz w:val="36"/>
          <w:szCs w:val="36"/>
        </w:rPr>
      </w:pPr>
    </w:p>
    <w:p w14:paraId="7574A157" w14:textId="77777777" w:rsidR="00214B0D" w:rsidRDefault="00214B0D" w:rsidP="00214B0D">
      <w:pPr>
        <w:jc w:val="right"/>
        <w:rPr>
          <w:b/>
          <w:color w:val="660066"/>
          <w:sz w:val="36"/>
          <w:szCs w:val="36"/>
        </w:rPr>
      </w:pPr>
    </w:p>
    <w:p w14:paraId="165E8310" w14:textId="77777777" w:rsidR="00214B0D" w:rsidRDefault="00214B0D" w:rsidP="00214B0D">
      <w:pPr>
        <w:jc w:val="right"/>
        <w:rPr>
          <w:b/>
          <w:color w:val="660066"/>
          <w:sz w:val="36"/>
          <w:szCs w:val="36"/>
        </w:rPr>
      </w:pPr>
    </w:p>
    <w:p w14:paraId="42D6CB6A" w14:textId="77777777" w:rsidR="00214B0D" w:rsidRDefault="00214B0D" w:rsidP="00214B0D">
      <w:pPr>
        <w:jc w:val="right"/>
        <w:rPr>
          <w:b/>
          <w:color w:val="660066"/>
          <w:sz w:val="36"/>
          <w:szCs w:val="36"/>
        </w:rPr>
      </w:pPr>
    </w:p>
    <w:p w14:paraId="454669BD" w14:textId="77777777" w:rsidR="00214B0D" w:rsidRDefault="00214B0D" w:rsidP="00214B0D">
      <w:pPr>
        <w:jc w:val="right"/>
        <w:rPr>
          <w:b/>
          <w:color w:val="660066"/>
          <w:sz w:val="36"/>
          <w:szCs w:val="36"/>
        </w:rPr>
      </w:pPr>
    </w:p>
    <w:p w14:paraId="39535565" w14:textId="77777777" w:rsidR="00214B0D" w:rsidRDefault="00214B0D" w:rsidP="00214B0D">
      <w:pPr>
        <w:jc w:val="right"/>
        <w:rPr>
          <w:b/>
          <w:color w:val="660066"/>
          <w:sz w:val="36"/>
          <w:szCs w:val="36"/>
        </w:rPr>
      </w:pPr>
    </w:p>
    <w:p w14:paraId="4CFFE672" w14:textId="77777777" w:rsidR="00214B0D" w:rsidRDefault="00214B0D" w:rsidP="00214B0D">
      <w:pPr>
        <w:jc w:val="right"/>
        <w:rPr>
          <w:b/>
          <w:color w:val="660066"/>
          <w:sz w:val="36"/>
          <w:szCs w:val="36"/>
        </w:rPr>
      </w:pPr>
    </w:p>
    <w:p w14:paraId="10388CB1" w14:textId="77777777" w:rsidR="00214B0D" w:rsidRDefault="00214B0D" w:rsidP="00214B0D">
      <w:pPr>
        <w:jc w:val="right"/>
        <w:rPr>
          <w:b/>
          <w:color w:val="660066"/>
          <w:sz w:val="36"/>
          <w:szCs w:val="36"/>
        </w:rPr>
      </w:pPr>
    </w:p>
    <w:p w14:paraId="647A1DA4" w14:textId="77777777" w:rsidR="00214B0D" w:rsidRDefault="00214B0D" w:rsidP="00214B0D">
      <w:pPr>
        <w:jc w:val="right"/>
        <w:rPr>
          <w:b/>
          <w:color w:val="660066"/>
          <w:sz w:val="36"/>
          <w:szCs w:val="36"/>
        </w:rPr>
      </w:pPr>
    </w:p>
    <w:p w14:paraId="3BD01763" w14:textId="77777777" w:rsidR="00214B0D" w:rsidRDefault="00214B0D" w:rsidP="00214B0D">
      <w:pPr>
        <w:jc w:val="right"/>
        <w:rPr>
          <w:b/>
          <w:color w:val="660066"/>
          <w:sz w:val="36"/>
          <w:szCs w:val="36"/>
        </w:rPr>
      </w:pPr>
    </w:p>
    <w:p w14:paraId="391DFFA4" w14:textId="77777777" w:rsidR="00214B0D" w:rsidRDefault="00214B0D" w:rsidP="00214B0D">
      <w:pPr>
        <w:jc w:val="right"/>
        <w:rPr>
          <w:b/>
          <w:color w:val="660066"/>
          <w:sz w:val="36"/>
          <w:szCs w:val="36"/>
        </w:rPr>
      </w:pPr>
      <w:r>
        <w:rPr>
          <w:noProof/>
          <w:lang w:val="en-AU" w:eastAsia="ko-KR"/>
        </w:rPr>
        <mc:AlternateContent>
          <mc:Choice Requires="wps">
            <w:drawing>
              <wp:anchor distT="0" distB="0" distL="114300" distR="114300" simplePos="0" relativeHeight="251673600" behindDoc="0" locked="0" layoutInCell="1" allowOverlap="1" wp14:anchorId="798EB458" wp14:editId="72A984A8">
                <wp:simplePos x="0" y="0"/>
                <wp:positionH relativeFrom="column">
                  <wp:posOffset>1600200</wp:posOffset>
                </wp:positionH>
                <wp:positionV relativeFrom="paragraph">
                  <wp:posOffset>163830</wp:posOffset>
                </wp:positionV>
                <wp:extent cx="5829300" cy="571500"/>
                <wp:effectExtent l="0" t="0" r="38100" b="38100"/>
                <wp:wrapNone/>
                <wp:docPr id="12" name="Text Box 12"/>
                <wp:cNvGraphicFramePr/>
                <a:graphic xmlns:a="http://schemas.openxmlformats.org/drawingml/2006/main">
                  <a:graphicData uri="http://schemas.microsoft.com/office/word/2010/wordprocessingShape">
                    <wps:wsp>
                      <wps:cNvSpPr txBox="1"/>
                      <wps:spPr>
                        <a:xfrm>
                          <a:off x="0" y="0"/>
                          <a:ext cx="5829300" cy="571500"/>
                        </a:xfrm>
                        <a:prstGeom prst="rect">
                          <a:avLst/>
                        </a:prstGeom>
                        <a:noFill/>
                        <a:ln w="6350" cap="rnd">
                          <a:solidFill>
                            <a:srgbClr val="660066"/>
                          </a:solidFill>
                          <a:roun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A0AF7B" w14:textId="77777777" w:rsidR="00BD7507" w:rsidRPr="009A05A1" w:rsidRDefault="00BD7507" w:rsidP="00214B0D">
                            <w:pPr>
                              <w:pStyle w:val="Title"/>
                              <w:jc w:val="left"/>
                              <w:rPr>
                                <w:sz w:val="44"/>
                                <w:szCs w:val="44"/>
                              </w:rPr>
                            </w:pPr>
                            <w:r w:rsidRPr="009A05A1">
                              <w:rPr>
                                <w:sz w:val="44"/>
                                <w:szCs w:val="44"/>
                              </w:rPr>
                              <w:t>GENDER ANALYSIS TOOLKIT</w:t>
                            </w:r>
                          </w:p>
                          <w:p w14:paraId="2A78CEDD" w14:textId="77777777" w:rsidR="00BD7507" w:rsidRDefault="00BD7507" w:rsidP="00214B0D"/>
                        </w:txbxContent>
                      </wps:txbx>
                      <wps:bodyPr rot="0" spcFirstLastPara="0" vertOverflow="overflow" horzOverflow="overflow" vert="horz" wrap="square" lIns="180000" tIns="108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8EB458" id="Text Box 12" o:spid="_x0000_s1037" type="#_x0000_t202" style="position:absolute;left:0;text-align:left;margin-left:126pt;margin-top:12.9pt;width:459pt;height: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tXI2AIAAPUFAAAOAAAAZHJzL2Uyb0RvYy54bWysVFtv2jAUfp+0/2D5nSahQAE1VCkV06Sq&#10;rdZOfTaOA9Ec27MNpJv23/fZAXrZXjqNh3DO8Xful/OLtpFkK6yrtcppdpJSIhTXZa1WOf36sOiN&#10;KXGeqZJJrUROn4SjF7OPH853Zir6eq1lKSyBEeWmO5PTtfdmmiSOr0XD3Ik2QuGx0rZhHqxdJaVl&#10;O1hvZNJP01Gy07Y0VnPhHKRX3SOdRftVJbi/rSonPJE5RWw+fm38LsM3mZ2z6coys675Pgz2D1E0&#10;rFZwejR1xTwjG1v/YaqpudVOV/6E6ybRVVVzEXNANln6Jpv7NTMi5oLiOHMsk/t/ZvnN9s6SukTv&#10;+pQo1qBHD6L15FK3BCLUZ2fcFLB7A6BvIQf2IHcQhrTbyjbhHwkRvKPST8fqBmscwuG4PzlN8cTx&#10;NjzLhqBhPnnWNtb5T0I3JBA5teheLCrbXjvfQQ+Q4EzpRS1l7KBUZJfT0ekwmGeYI6vKqOq0rMsA&#10;CwrOrpZzacmWYRpGI4zPaB/BK5jVG1V27qQKeiIOUhcDuNaDjHJkFpv8cz486xdnw0lvVAyz3iBL&#10;x72iSPu9q0WRFulgMZ8MLn/tfR30k1DYroCR8k9SBKtSfREVWhLrGMMOyyCOgTPOhfKxBahdRAdU&#10;hSTfo7jHxzxifu9R7ioCjehZK39UbmqlbVf612GX3w4hVx0erX+RdyB9u2y7WTwO2FKXT5g7q7vN&#10;dYYvagzHNXP+jlmsKhqO8+Nv8amkxhDoPUXJWtsff5MHPDYIr5TssPo5dd83zApK5GeF3crGKX44&#10;Fh2XBpYSG7lJNhiAWUZmgK6DUZtmrjFRGU6d4ZEMeC8PZGV184g7VQS/eGKKw3tO/YGc++4k4c5x&#10;URQRhPtgmL9W94YH06HQYfgf2kdmzX5DPGbpRh/OBJu+WZQOGzSVLjZeV3XcolDqrq77FuC2xD3c&#10;38FwvF7yEfV8rWe/AQAA//8DAFBLAwQUAAYACAAAACEAfOmzy90AAAALAQAADwAAAGRycy9kb3du&#10;cmV2LnhtbExPy07DMBC8I/EP1iJxo04j8VCIU6FKcKhaoRYQHJ14cSLidWS7Tfh7Nid6m50Zzc6U&#10;q8n14oQhdp4ULBcZCKTGm46sgve355sHEDFpMrr3hAp+McKqurwodWH8SHs8HZIVHEKx0AralIZC&#10;yti06HRc+AGJtW8fnE58BitN0COHu17mWXYnne6IP7R6wHWLzc/h6BSE/efrh69342Zbd/Zla3eb&#10;9ZdR6vpqenoEkXBK/2aY63N1qLhT7Y9kougV5Lc5b0kz4AmzYXmfMVPPiClZlfJ8Q/UHAAD//wMA&#10;UEsBAi0AFAAGAAgAAAAhALaDOJL+AAAA4QEAABMAAAAAAAAAAAAAAAAAAAAAAFtDb250ZW50X1R5&#10;cGVzXS54bWxQSwECLQAUAAYACAAAACEAOP0h/9YAAACUAQAACwAAAAAAAAAAAAAAAAAvAQAAX3Jl&#10;bHMvLnJlbHNQSwECLQAUAAYACAAAACEAPdbVyNgCAAD1BQAADgAAAAAAAAAAAAAAAAAuAgAAZHJz&#10;L2Uyb0RvYy54bWxQSwECLQAUAAYACAAAACEAfOmzy90AAAALAQAADwAAAAAAAAAAAAAAAAAyBQAA&#10;ZHJzL2Rvd25yZXYueG1sUEsFBgAAAAAEAAQA8wAAADwGAAAAAA==&#10;" filled="f" strokecolor="#606" strokeweight=".5pt">
                <v:stroke joinstyle="round" endcap="round"/>
                <v:textbox inset="5mm,3mm">
                  <w:txbxContent>
                    <w:p w14:paraId="37A0AF7B" w14:textId="77777777" w:rsidR="00BD7507" w:rsidRPr="009A05A1" w:rsidRDefault="00BD7507" w:rsidP="00214B0D">
                      <w:pPr>
                        <w:pStyle w:val="Title"/>
                        <w:jc w:val="left"/>
                        <w:rPr>
                          <w:sz w:val="44"/>
                          <w:szCs w:val="44"/>
                        </w:rPr>
                      </w:pPr>
                      <w:r w:rsidRPr="009A05A1">
                        <w:rPr>
                          <w:sz w:val="44"/>
                          <w:szCs w:val="44"/>
                        </w:rPr>
                        <w:t>GENDER ANALYSIS TOOLKIT</w:t>
                      </w:r>
                    </w:p>
                    <w:p w14:paraId="2A78CEDD" w14:textId="77777777" w:rsidR="00BD7507" w:rsidRDefault="00BD7507" w:rsidP="00214B0D"/>
                  </w:txbxContent>
                </v:textbox>
              </v:shape>
            </w:pict>
          </mc:Fallback>
        </mc:AlternateContent>
      </w:r>
    </w:p>
    <w:p w14:paraId="4EE505C7" w14:textId="77777777" w:rsidR="00214B0D" w:rsidRDefault="00214B0D" w:rsidP="00214B0D">
      <w:pPr>
        <w:jc w:val="right"/>
        <w:rPr>
          <w:b/>
          <w:color w:val="660066"/>
          <w:sz w:val="36"/>
          <w:szCs w:val="36"/>
        </w:rPr>
      </w:pPr>
    </w:p>
    <w:p w14:paraId="431B7CE8" w14:textId="77777777" w:rsidR="00214B0D" w:rsidRDefault="00214B0D" w:rsidP="00214B0D">
      <w:pPr>
        <w:jc w:val="right"/>
        <w:rPr>
          <w:b/>
          <w:color w:val="660066"/>
          <w:sz w:val="36"/>
          <w:szCs w:val="36"/>
        </w:rPr>
      </w:pPr>
    </w:p>
    <w:p w14:paraId="1093B36A" w14:textId="77777777" w:rsidR="00214B0D" w:rsidRDefault="00214B0D" w:rsidP="00214B0D">
      <w:pPr>
        <w:spacing w:after="0" w:line="240" w:lineRule="auto"/>
        <w:jc w:val="right"/>
        <w:rPr>
          <w:b/>
          <w:color w:val="660066"/>
          <w:sz w:val="36"/>
          <w:szCs w:val="36"/>
        </w:rPr>
      </w:pPr>
      <w:r w:rsidRPr="000B22AB">
        <w:rPr>
          <w:b/>
          <w:color w:val="660066"/>
          <w:sz w:val="36"/>
          <w:szCs w:val="36"/>
        </w:rPr>
        <w:t xml:space="preserve">Section </w:t>
      </w:r>
      <w:r>
        <w:rPr>
          <w:b/>
          <w:color w:val="660066"/>
          <w:sz w:val="36"/>
          <w:szCs w:val="36"/>
        </w:rPr>
        <w:t>6</w:t>
      </w:r>
      <w:r w:rsidRPr="00250BFF">
        <w:rPr>
          <w:b/>
          <w:color w:val="FFFFFF" w:themeColor="background1"/>
          <w:sz w:val="36"/>
          <w:szCs w:val="36"/>
        </w:rPr>
        <w:t>1</w:t>
      </w:r>
    </w:p>
    <w:p w14:paraId="0D56A8E7" w14:textId="77777777" w:rsidR="00214B0D" w:rsidRPr="000B22AB" w:rsidRDefault="00214B0D" w:rsidP="00214B0D">
      <w:pPr>
        <w:spacing w:after="0" w:line="240" w:lineRule="auto"/>
        <w:jc w:val="right"/>
        <w:rPr>
          <w:b/>
          <w:color w:val="660066"/>
          <w:sz w:val="36"/>
          <w:szCs w:val="36"/>
        </w:rPr>
      </w:pPr>
      <w:r>
        <w:rPr>
          <w:b/>
          <w:color w:val="660066"/>
          <w:sz w:val="36"/>
          <w:szCs w:val="36"/>
        </w:rPr>
        <w:t xml:space="preserve"> </w:t>
      </w:r>
    </w:p>
    <w:p w14:paraId="509A4CA8" w14:textId="1D8A293B" w:rsidR="00214B0D" w:rsidRPr="00214B0D" w:rsidRDefault="00214B0D" w:rsidP="00214B0D">
      <w:pPr>
        <w:pStyle w:val="Title"/>
        <w:rPr>
          <w:rFonts w:ascii="Times New Roman" w:hAnsi="Times New Roman"/>
          <w:lang w:val="en-AU"/>
        </w:rPr>
      </w:pPr>
      <w:r w:rsidRPr="00214B0D">
        <w:rPr>
          <w:lang w:val="en-AU"/>
        </w:rPr>
        <w:t>Further information</w:t>
      </w:r>
      <w:r w:rsidR="008F76A5">
        <w:rPr>
          <w:lang w:val="en-AU"/>
        </w:rPr>
        <w:t xml:space="preserve"> and feedback</w:t>
      </w:r>
    </w:p>
    <w:p w14:paraId="4A7B9F59" w14:textId="77777777" w:rsidR="00214B0D" w:rsidRDefault="00214B0D" w:rsidP="00214B0D">
      <w:pPr>
        <w:pStyle w:val="Title"/>
        <w:rPr>
          <w:lang w:val="en-AU"/>
        </w:rPr>
      </w:pPr>
    </w:p>
    <w:p w14:paraId="039CFCC4" w14:textId="77777777" w:rsidR="00214B0D" w:rsidRDefault="00214B0D" w:rsidP="00214B0D">
      <w:pPr>
        <w:spacing w:after="0" w:line="240" w:lineRule="auto"/>
        <w:jc w:val="left"/>
        <w:rPr>
          <w:color w:val="660066"/>
          <w:sz w:val="56"/>
          <w:szCs w:val="56"/>
          <w:lang w:val="en-AU"/>
        </w:rPr>
      </w:pPr>
      <w:r>
        <w:rPr>
          <w:lang w:val="en-AU"/>
        </w:rPr>
        <w:br w:type="page"/>
      </w:r>
    </w:p>
    <w:p w14:paraId="5A719FD2" w14:textId="2C8325A2" w:rsidR="00772DDA" w:rsidRPr="00A33FFF" w:rsidRDefault="00772DDA" w:rsidP="00772DDA">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240" w:line="240" w:lineRule="auto"/>
        <w:jc w:val="left"/>
        <w:rPr>
          <w:rFonts w:eastAsia="Malgun Gothic" w:cs="Arial"/>
          <w:color w:val="385623"/>
          <w:szCs w:val="22"/>
          <w:lang w:val="en-AU" w:eastAsia="ko-KR"/>
        </w:rPr>
      </w:pPr>
      <w:r>
        <w:rPr>
          <w:rFonts w:ascii="Calibri" w:eastAsia="Malgun Gothic" w:hAnsi="Calibri" w:cs="Times New Roman"/>
          <w:b/>
          <w:color w:val="385623"/>
          <w:sz w:val="36"/>
          <w:szCs w:val="36"/>
          <w:lang w:val="en-AU" w:eastAsia="ko-KR"/>
        </w:rPr>
        <w:t xml:space="preserve">LINKS AND RESOURCES                                                   </w:t>
      </w:r>
      <w:r>
        <w:rPr>
          <w:rFonts w:ascii="Calibri" w:eastAsia="Malgun Gothic" w:hAnsi="Calibri" w:cs="Times New Roman"/>
          <w:b/>
          <w:noProof/>
          <w:color w:val="385623"/>
          <w:sz w:val="40"/>
          <w:szCs w:val="40"/>
          <w:lang w:val="en-AU" w:eastAsia="ko-KR"/>
        </w:rPr>
        <w:drawing>
          <wp:inline distT="0" distB="0" distL="0" distR="0" wp14:anchorId="540D32CC" wp14:editId="1962B173">
            <wp:extent cx="871855" cy="871855"/>
            <wp:effectExtent l="0" t="0" r="4445" b="444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pic:spPr>
                </pic:pic>
              </a:graphicData>
            </a:graphic>
          </wp:inline>
        </w:drawing>
      </w:r>
    </w:p>
    <w:p w14:paraId="7AE505F0" w14:textId="1D09789B" w:rsidR="00772DDA" w:rsidRPr="00772DDA" w:rsidRDefault="00772DDA" w:rsidP="00EE33FC">
      <w:pPr>
        <w:spacing w:before="100" w:beforeAutospacing="1" w:after="100" w:afterAutospacing="1" w:line="240" w:lineRule="auto"/>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The list of links and resources below is by no means exhaustive. It aims to help you further explore gender analysis and related topics. Please note the information is current as at </w:t>
      </w:r>
      <w:r w:rsidR="001F2CF5">
        <w:rPr>
          <w:rFonts w:ascii="Calibri" w:eastAsia="Malgun Gothic" w:hAnsi="Calibri" w:cs="Times New Roman"/>
          <w:szCs w:val="22"/>
          <w:lang w:val="en-AU" w:eastAsia="ko-KR"/>
        </w:rPr>
        <w:t>July</w:t>
      </w:r>
      <w:r w:rsidRPr="00772DDA">
        <w:rPr>
          <w:rFonts w:ascii="Calibri" w:eastAsia="Malgun Gothic" w:hAnsi="Calibri" w:cs="Times New Roman"/>
          <w:szCs w:val="22"/>
          <w:lang w:val="en-AU" w:eastAsia="ko-KR"/>
        </w:rPr>
        <w:t xml:space="preserve"> 2018.</w:t>
      </w:r>
    </w:p>
    <w:p w14:paraId="51E140E8" w14:textId="77777777" w:rsidR="00EE33FC" w:rsidRDefault="00EE33FC" w:rsidP="00EE33FC">
      <w:pPr>
        <w:spacing w:before="100" w:beforeAutospacing="1" w:after="100" w:afterAutospacing="1" w:line="240" w:lineRule="auto"/>
        <w:contextualSpacing/>
        <w:jc w:val="left"/>
        <w:rPr>
          <w:rFonts w:ascii="Calibri Light" w:eastAsia="Malgun Gothic" w:hAnsi="Calibri Light" w:cs="Times New Roman"/>
          <w:b/>
          <w:color w:val="385623"/>
          <w:sz w:val="28"/>
          <w:szCs w:val="28"/>
          <w:lang w:val="en-AU" w:eastAsia="ko-KR"/>
        </w:rPr>
      </w:pPr>
    </w:p>
    <w:p w14:paraId="3F21C9AA" w14:textId="77777777" w:rsidR="00772DDA" w:rsidRPr="00772DDA" w:rsidRDefault="00772DDA" w:rsidP="00EE33FC">
      <w:pPr>
        <w:spacing w:before="100" w:beforeAutospacing="1" w:after="100" w:afterAutospacing="1" w:line="360" w:lineRule="auto"/>
        <w:contextualSpacing/>
        <w:jc w:val="left"/>
        <w:rPr>
          <w:rFonts w:ascii="Calibri Light" w:eastAsia="Malgun Gothic" w:hAnsi="Calibri Light" w:cs="Times New Roman"/>
          <w:b/>
          <w:color w:val="385623"/>
          <w:sz w:val="28"/>
          <w:szCs w:val="28"/>
          <w:lang w:val="en-AU" w:eastAsia="ko-KR"/>
        </w:rPr>
      </w:pPr>
      <w:r w:rsidRPr="00772DDA">
        <w:rPr>
          <w:rFonts w:ascii="Calibri Light" w:eastAsia="Malgun Gothic" w:hAnsi="Calibri Light" w:cs="Times New Roman"/>
          <w:b/>
          <w:color w:val="385623"/>
          <w:sz w:val="28"/>
          <w:szCs w:val="28"/>
          <w:lang w:val="en-AU" w:eastAsia="ko-KR"/>
        </w:rPr>
        <w:t>Gender analysis in other Australian states and territories</w:t>
      </w:r>
    </w:p>
    <w:p w14:paraId="0E4253CE" w14:textId="77777777" w:rsidR="00772DDA" w:rsidRPr="00772DDA" w:rsidRDefault="00772DDA" w:rsidP="00F116AB">
      <w:pPr>
        <w:numPr>
          <w:ilvl w:val="0"/>
          <w:numId w:val="50"/>
        </w:numPr>
        <w:spacing w:before="100" w:beforeAutospacing="1" w:after="100" w:afterAutospacing="1" w:line="240" w:lineRule="auto"/>
        <w:ind w:left="714" w:hanging="357"/>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The Australian Public Service, </w:t>
      </w:r>
      <w:hyperlink r:id="rId120" w:history="1">
        <w:r w:rsidRPr="00772DDA">
          <w:rPr>
            <w:rFonts w:ascii="Calibri" w:eastAsia="Malgun Gothic" w:hAnsi="Calibri" w:cs="Times New Roman"/>
            <w:color w:val="0000FF"/>
            <w:szCs w:val="22"/>
            <w:u w:val="single"/>
            <w:lang w:val="en-AU" w:eastAsia="ko-KR"/>
          </w:rPr>
          <w:t>Balancing the future: The Australian Public Service gender equality strategy 2016-19</w:t>
        </w:r>
      </w:hyperlink>
    </w:p>
    <w:p w14:paraId="2195BF88" w14:textId="77777777" w:rsidR="00772DDA" w:rsidRPr="00772DDA" w:rsidRDefault="00772DDA" w:rsidP="00F116AB">
      <w:pPr>
        <w:numPr>
          <w:ilvl w:val="0"/>
          <w:numId w:val="50"/>
        </w:numPr>
        <w:spacing w:before="100" w:beforeAutospacing="1" w:after="100" w:afterAutospacing="1" w:line="240" w:lineRule="auto"/>
        <w:ind w:left="714" w:hanging="357"/>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South Australia, </w:t>
      </w:r>
      <w:hyperlink r:id="rId121" w:history="1">
        <w:r w:rsidRPr="00772DDA">
          <w:rPr>
            <w:rFonts w:ascii="Calibri" w:eastAsia="Malgun Gothic" w:hAnsi="Calibri" w:cs="Times New Roman"/>
            <w:color w:val="0000FF"/>
            <w:szCs w:val="22"/>
            <w:u w:val="single"/>
            <w:lang w:val="en-AU" w:eastAsia="ko-KR"/>
          </w:rPr>
          <w:t>Women’s Policy</w:t>
        </w:r>
      </w:hyperlink>
    </w:p>
    <w:p w14:paraId="08E19901" w14:textId="77777777" w:rsidR="00772DDA" w:rsidRPr="00772DDA" w:rsidRDefault="00772DDA" w:rsidP="00F116AB">
      <w:pPr>
        <w:numPr>
          <w:ilvl w:val="0"/>
          <w:numId w:val="50"/>
        </w:numPr>
        <w:spacing w:before="100" w:beforeAutospacing="1" w:after="100" w:afterAutospacing="1" w:line="240" w:lineRule="auto"/>
        <w:ind w:left="714" w:hanging="357"/>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Tasmania, </w:t>
      </w:r>
      <w:hyperlink r:id="rId122" w:history="1">
        <w:r w:rsidRPr="00772DDA">
          <w:rPr>
            <w:rFonts w:ascii="Calibri" w:eastAsia="Malgun Gothic" w:hAnsi="Calibri" w:cs="Times New Roman"/>
            <w:color w:val="0000FF"/>
            <w:szCs w:val="22"/>
            <w:u w:val="single"/>
            <w:lang w:val="en-AU" w:eastAsia="ko-KR"/>
          </w:rPr>
          <w:t>A typical gender inclusive model</w:t>
        </w:r>
      </w:hyperlink>
    </w:p>
    <w:p w14:paraId="51B7719C" w14:textId="77777777" w:rsidR="00772DDA" w:rsidRPr="00772DDA" w:rsidRDefault="00772DDA" w:rsidP="00F116AB">
      <w:pPr>
        <w:numPr>
          <w:ilvl w:val="0"/>
          <w:numId w:val="50"/>
        </w:numPr>
        <w:spacing w:before="100" w:beforeAutospacing="1" w:after="100" w:afterAutospacing="1" w:line="240" w:lineRule="auto"/>
        <w:ind w:left="714" w:hanging="357"/>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Victoria, </w:t>
      </w:r>
      <w:hyperlink r:id="rId123" w:history="1">
        <w:r w:rsidRPr="00772DDA">
          <w:rPr>
            <w:rFonts w:ascii="Calibri" w:eastAsia="Malgun Gothic" w:hAnsi="Calibri" w:cs="Times New Roman"/>
            <w:color w:val="0000FF"/>
            <w:szCs w:val="22"/>
            <w:u w:val="single"/>
            <w:lang w:val="en-AU" w:eastAsia="ko-KR"/>
          </w:rPr>
          <w:t>Local government listen, learn and lead gender equity program</w:t>
        </w:r>
      </w:hyperlink>
    </w:p>
    <w:p w14:paraId="4983DF52" w14:textId="77777777" w:rsidR="00EE33FC" w:rsidRDefault="00EE33FC" w:rsidP="00EE33FC">
      <w:pPr>
        <w:spacing w:before="100" w:beforeAutospacing="1" w:after="100" w:afterAutospacing="1" w:line="240" w:lineRule="auto"/>
        <w:contextualSpacing/>
        <w:jc w:val="left"/>
        <w:rPr>
          <w:rFonts w:ascii="Calibri Light" w:eastAsia="Malgun Gothic" w:hAnsi="Calibri Light" w:cs="Times New Roman"/>
          <w:b/>
          <w:color w:val="385623"/>
          <w:sz w:val="28"/>
          <w:szCs w:val="28"/>
          <w:lang w:val="en-AU" w:eastAsia="ko-KR"/>
        </w:rPr>
      </w:pPr>
    </w:p>
    <w:p w14:paraId="058E5AFF" w14:textId="77777777" w:rsidR="00772DDA" w:rsidRPr="00772DDA" w:rsidRDefault="00772DDA" w:rsidP="00EE33FC">
      <w:pPr>
        <w:spacing w:before="100" w:beforeAutospacing="1" w:after="100" w:afterAutospacing="1" w:line="360" w:lineRule="auto"/>
        <w:contextualSpacing/>
        <w:jc w:val="left"/>
        <w:rPr>
          <w:rFonts w:ascii="Calibri Light" w:eastAsia="Malgun Gothic" w:hAnsi="Calibri Light" w:cs="Times New Roman"/>
          <w:b/>
          <w:color w:val="385623"/>
          <w:sz w:val="28"/>
          <w:szCs w:val="28"/>
          <w:lang w:val="en-AU" w:eastAsia="ko-KR"/>
        </w:rPr>
      </w:pPr>
      <w:r w:rsidRPr="00772DDA">
        <w:rPr>
          <w:rFonts w:ascii="Calibri Light" w:eastAsia="Malgun Gothic" w:hAnsi="Calibri Light" w:cs="Times New Roman"/>
          <w:b/>
          <w:color w:val="385623"/>
          <w:sz w:val="28"/>
          <w:szCs w:val="28"/>
          <w:lang w:val="en-AU" w:eastAsia="ko-KR"/>
        </w:rPr>
        <w:t xml:space="preserve">Gender analysis – an international perspective </w:t>
      </w:r>
    </w:p>
    <w:p w14:paraId="41459CA3" w14:textId="77777777" w:rsidR="00772DDA" w:rsidRPr="00772DDA" w:rsidRDefault="00772DDA" w:rsidP="00F116AB">
      <w:pPr>
        <w:numPr>
          <w:ilvl w:val="0"/>
          <w:numId w:val="49"/>
        </w:numPr>
        <w:spacing w:before="100" w:beforeAutospacing="1" w:after="100" w:afterAutospacing="1" w:line="240" w:lineRule="auto"/>
        <w:ind w:left="714" w:hanging="357"/>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Canada, </w:t>
      </w:r>
      <w:hyperlink r:id="rId124" w:history="1">
        <w:r w:rsidRPr="00772DDA">
          <w:rPr>
            <w:rFonts w:ascii="Calibri" w:eastAsia="Malgun Gothic" w:hAnsi="Calibri" w:cs="Times New Roman"/>
            <w:color w:val="0000FF"/>
            <w:szCs w:val="22"/>
            <w:u w:val="single"/>
            <w:lang w:val="en-AU" w:eastAsia="ko-KR"/>
          </w:rPr>
          <w:t>Gender-based analysis plus</w:t>
        </w:r>
      </w:hyperlink>
    </w:p>
    <w:p w14:paraId="2696F54E" w14:textId="77777777" w:rsidR="00772DDA" w:rsidRPr="00772DDA" w:rsidRDefault="00772DDA" w:rsidP="00F116AB">
      <w:pPr>
        <w:numPr>
          <w:ilvl w:val="0"/>
          <w:numId w:val="49"/>
        </w:numPr>
        <w:spacing w:before="100" w:beforeAutospacing="1" w:after="100" w:afterAutospacing="1" w:line="240" w:lineRule="auto"/>
        <w:ind w:left="714" w:hanging="357"/>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New Zealand, </w:t>
      </w:r>
      <w:hyperlink r:id="rId125" w:history="1">
        <w:r w:rsidRPr="00772DDA">
          <w:rPr>
            <w:rFonts w:ascii="Calibri" w:eastAsia="Malgun Gothic" w:hAnsi="Calibri" w:cs="Times New Roman"/>
            <w:color w:val="0000FF"/>
            <w:szCs w:val="22"/>
            <w:u w:val="single"/>
            <w:lang w:val="en-AU" w:eastAsia="ko-KR"/>
          </w:rPr>
          <w:t>Gender analysis guideline</w:t>
        </w:r>
      </w:hyperlink>
    </w:p>
    <w:p w14:paraId="084D6DE2" w14:textId="77777777" w:rsidR="00772DDA" w:rsidRPr="00772DDA" w:rsidRDefault="00772DDA" w:rsidP="00F116AB">
      <w:pPr>
        <w:numPr>
          <w:ilvl w:val="0"/>
          <w:numId w:val="49"/>
        </w:numPr>
        <w:spacing w:before="100" w:beforeAutospacing="1" w:after="100" w:afterAutospacing="1" w:line="240" w:lineRule="auto"/>
        <w:ind w:left="714" w:hanging="357"/>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South Africa, </w:t>
      </w:r>
      <w:hyperlink r:id="rId126" w:history="1">
        <w:r w:rsidRPr="00772DDA">
          <w:rPr>
            <w:rFonts w:ascii="Calibri" w:eastAsia="Malgun Gothic" w:hAnsi="Calibri" w:cs="Times New Roman"/>
            <w:color w:val="0000FF"/>
            <w:szCs w:val="22"/>
            <w:u w:val="single"/>
            <w:lang w:val="en-AU" w:eastAsia="ko-KR"/>
          </w:rPr>
          <w:t>Commission for Gender Equality</w:t>
        </w:r>
      </w:hyperlink>
    </w:p>
    <w:p w14:paraId="1D7D2197" w14:textId="77777777" w:rsidR="00772DDA" w:rsidRPr="00772DDA" w:rsidRDefault="00772DDA" w:rsidP="00F116AB">
      <w:pPr>
        <w:numPr>
          <w:ilvl w:val="0"/>
          <w:numId w:val="49"/>
        </w:numPr>
        <w:spacing w:before="100" w:beforeAutospacing="1" w:after="100" w:afterAutospacing="1" w:line="240" w:lineRule="auto"/>
        <w:ind w:left="714" w:hanging="357"/>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European Commission, </w:t>
      </w:r>
      <w:hyperlink r:id="rId127" w:history="1">
        <w:r w:rsidRPr="00772DDA">
          <w:rPr>
            <w:rFonts w:ascii="Calibri" w:eastAsia="Malgun Gothic" w:hAnsi="Calibri" w:cs="Times New Roman"/>
            <w:color w:val="0000FF"/>
            <w:szCs w:val="22"/>
            <w:u w:val="single"/>
            <w:lang w:val="en-AU" w:eastAsia="ko-KR"/>
          </w:rPr>
          <w:t>Gender equality</w:t>
        </w:r>
      </w:hyperlink>
    </w:p>
    <w:p w14:paraId="647E50F4" w14:textId="77777777" w:rsidR="00772DDA" w:rsidRPr="00772DDA" w:rsidRDefault="00772DDA" w:rsidP="00F116AB">
      <w:pPr>
        <w:numPr>
          <w:ilvl w:val="0"/>
          <w:numId w:val="49"/>
        </w:numPr>
        <w:spacing w:before="100" w:beforeAutospacing="1" w:after="100" w:afterAutospacing="1" w:line="240" w:lineRule="auto"/>
        <w:ind w:left="714" w:hanging="357"/>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The Commonwealth, </w:t>
      </w:r>
      <w:hyperlink r:id="rId128" w:history="1">
        <w:r w:rsidRPr="00772DDA">
          <w:rPr>
            <w:rFonts w:ascii="Calibri" w:eastAsia="Malgun Gothic" w:hAnsi="Calibri" w:cs="Times New Roman"/>
            <w:color w:val="0000FF"/>
            <w:szCs w:val="22"/>
            <w:u w:val="single"/>
            <w:lang w:val="en-AU" w:eastAsia="ko-KR"/>
          </w:rPr>
          <w:t>Mainstreaming gender equality and empowering women in policy</w:t>
        </w:r>
      </w:hyperlink>
    </w:p>
    <w:p w14:paraId="5CF49C32" w14:textId="77777777" w:rsidR="00772DDA" w:rsidRPr="00772DDA" w:rsidRDefault="00772DDA" w:rsidP="00F116AB">
      <w:pPr>
        <w:numPr>
          <w:ilvl w:val="0"/>
          <w:numId w:val="49"/>
        </w:numPr>
        <w:spacing w:before="100" w:beforeAutospacing="1" w:after="100" w:afterAutospacing="1" w:line="240" w:lineRule="auto"/>
        <w:ind w:left="714" w:hanging="357"/>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UN Women, Global Platform for Action – </w:t>
      </w:r>
      <w:hyperlink r:id="rId129" w:history="1">
        <w:r w:rsidRPr="00772DDA">
          <w:rPr>
            <w:rFonts w:ascii="Calibri" w:eastAsia="Malgun Gothic" w:hAnsi="Calibri" w:cs="Times New Roman"/>
            <w:color w:val="0000FF"/>
            <w:szCs w:val="22"/>
            <w:u w:val="single"/>
            <w:lang w:val="en-AU" w:eastAsia="ko-KR"/>
          </w:rPr>
          <w:t>4</w:t>
        </w:r>
        <w:r w:rsidRPr="00772DDA">
          <w:rPr>
            <w:rFonts w:ascii="Calibri" w:eastAsia="Malgun Gothic" w:hAnsi="Calibri" w:cs="Times New Roman"/>
            <w:color w:val="0000FF"/>
            <w:szCs w:val="22"/>
            <w:u w:val="single"/>
            <w:vertAlign w:val="superscript"/>
            <w:lang w:val="en-AU" w:eastAsia="ko-KR"/>
          </w:rPr>
          <w:t>th</w:t>
        </w:r>
        <w:r w:rsidRPr="00772DDA">
          <w:rPr>
            <w:rFonts w:ascii="Calibri" w:eastAsia="Malgun Gothic" w:hAnsi="Calibri" w:cs="Times New Roman"/>
            <w:color w:val="0000FF"/>
            <w:szCs w:val="22"/>
            <w:u w:val="single"/>
            <w:lang w:val="en-AU" w:eastAsia="ko-KR"/>
          </w:rPr>
          <w:t xml:space="preserve"> World Conference on Women</w:t>
        </w:r>
      </w:hyperlink>
      <w:r w:rsidRPr="00772DDA">
        <w:rPr>
          <w:rFonts w:ascii="Calibri" w:eastAsia="Malgun Gothic" w:hAnsi="Calibri" w:cs="Times New Roman"/>
          <w:szCs w:val="22"/>
          <w:lang w:val="en-AU" w:eastAsia="ko-KR"/>
        </w:rPr>
        <w:t xml:space="preserve">, Beijing 1995, </w:t>
      </w:r>
    </w:p>
    <w:p w14:paraId="2F191829" w14:textId="77777777" w:rsidR="00772DDA" w:rsidRPr="00772DDA" w:rsidRDefault="00772DDA" w:rsidP="00F116AB">
      <w:pPr>
        <w:numPr>
          <w:ilvl w:val="0"/>
          <w:numId w:val="49"/>
        </w:numPr>
        <w:spacing w:before="100" w:beforeAutospacing="1" w:after="100" w:afterAutospacing="1" w:line="240" w:lineRule="auto"/>
        <w:ind w:left="714" w:hanging="357"/>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International Labour Organisation (ILO), </w:t>
      </w:r>
      <w:hyperlink r:id="rId130" w:history="1">
        <w:r w:rsidRPr="00772DDA">
          <w:rPr>
            <w:rFonts w:ascii="Calibri" w:eastAsia="Malgun Gothic" w:hAnsi="Calibri" w:cs="Times New Roman"/>
            <w:color w:val="0000FF"/>
            <w:szCs w:val="22"/>
            <w:u w:val="single"/>
            <w:lang w:val="en-AU" w:eastAsia="ko-KR"/>
          </w:rPr>
          <w:t>Gender, Equality and Diversity Branch</w:t>
        </w:r>
      </w:hyperlink>
    </w:p>
    <w:p w14:paraId="70C0A93E" w14:textId="77777777" w:rsidR="00772DDA" w:rsidRPr="00772DDA" w:rsidRDefault="00772DDA" w:rsidP="00F116AB">
      <w:pPr>
        <w:numPr>
          <w:ilvl w:val="0"/>
          <w:numId w:val="49"/>
        </w:numPr>
        <w:spacing w:before="100" w:beforeAutospacing="1" w:after="100" w:afterAutospacing="1" w:line="240" w:lineRule="auto"/>
        <w:ind w:left="714" w:hanging="357"/>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Organisation for Economic Co-operation and Development (OECD), </w:t>
      </w:r>
      <w:hyperlink r:id="rId131" w:history="1">
        <w:r w:rsidRPr="00772DDA">
          <w:rPr>
            <w:rFonts w:ascii="Calibri" w:eastAsia="Malgun Gothic" w:hAnsi="Calibri" w:cs="Times New Roman"/>
            <w:color w:val="0000FF"/>
            <w:szCs w:val="22"/>
            <w:u w:val="single"/>
            <w:lang w:val="en-AU" w:eastAsia="ko-KR"/>
          </w:rPr>
          <w:t>Gender equality</w:t>
        </w:r>
      </w:hyperlink>
    </w:p>
    <w:p w14:paraId="2A29B340" w14:textId="77777777" w:rsidR="00772DDA" w:rsidRPr="00772DDA" w:rsidRDefault="00772DDA" w:rsidP="00F116AB">
      <w:pPr>
        <w:numPr>
          <w:ilvl w:val="0"/>
          <w:numId w:val="49"/>
        </w:numPr>
        <w:spacing w:before="100" w:beforeAutospacing="1" w:after="100" w:afterAutospacing="1" w:line="240" w:lineRule="auto"/>
        <w:ind w:left="714" w:hanging="357"/>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United Nations, </w:t>
      </w:r>
      <w:hyperlink r:id="rId132" w:history="1">
        <w:r w:rsidRPr="00772DDA">
          <w:rPr>
            <w:rFonts w:ascii="Calibri" w:eastAsia="Malgun Gothic" w:hAnsi="Calibri" w:cs="Times New Roman"/>
            <w:color w:val="0000FF"/>
            <w:szCs w:val="22"/>
            <w:u w:val="single"/>
            <w:lang w:val="en-AU" w:eastAsia="ko-KR"/>
          </w:rPr>
          <w:t>UN Women</w:t>
        </w:r>
      </w:hyperlink>
    </w:p>
    <w:p w14:paraId="1CCE5E51" w14:textId="77777777" w:rsidR="00772DDA" w:rsidRPr="00772DDA" w:rsidRDefault="00772DDA" w:rsidP="00F116AB">
      <w:pPr>
        <w:numPr>
          <w:ilvl w:val="0"/>
          <w:numId w:val="49"/>
        </w:numPr>
        <w:spacing w:before="100" w:beforeAutospacing="1" w:after="100" w:afterAutospacing="1" w:line="240" w:lineRule="auto"/>
        <w:ind w:left="714" w:hanging="357"/>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United Nations Education, Scientific and Cultural Organization (UNESCO), </w:t>
      </w:r>
      <w:hyperlink r:id="rId133" w:history="1">
        <w:r w:rsidRPr="00772DDA">
          <w:rPr>
            <w:rFonts w:ascii="Calibri" w:eastAsia="Malgun Gothic" w:hAnsi="Calibri" w:cs="Times New Roman"/>
            <w:color w:val="0000FF"/>
            <w:szCs w:val="22"/>
            <w:u w:val="single"/>
            <w:lang w:val="en-AU" w:eastAsia="ko-KR"/>
          </w:rPr>
          <w:t>Priority gender equality</w:t>
        </w:r>
      </w:hyperlink>
    </w:p>
    <w:p w14:paraId="631B1ADD" w14:textId="77777777" w:rsidR="00EE33FC" w:rsidRDefault="00EE33FC" w:rsidP="00EE33FC">
      <w:pPr>
        <w:spacing w:before="100" w:beforeAutospacing="1" w:after="100" w:afterAutospacing="1" w:line="240" w:lineRule="auto"/>
        <w:contextualSpacing/>
        <w:jc w:val="left"/>
        <w:rPr>
          <w:rFonts w:ascii="Calibri Light" w:eastAsia="Malgun Gothic" w:hAnsi="Calibri Light" w:cs="Times New Roman"/>
          <w:b/>
          <w:color w:val="385623"/>
          <w:sz w:val="28"/>
          <w:szCs w:val="28"/>
          <w:lang w:val="en-AU" w:eastAsia="ko-KR"/>
        </w:rPr>
      </w:pPr>
    </w:p>
    <w:p w14:paraId="34050884" w14:textId="77777777" w:rsidR="00772DDA" w:rsidRPr="00772DDA" w:rsidRDefault="00772DDA" w:rsidP="00EE33FC">
      <w:pPr>
        <w:spacing w:before="100" w:beforeAutospacing="1" w:after="100" w:afterAutospacing="1" w:line="360" w:lineRule="auto"/>
        <w:contextualSpacing/>
        <w:jc w:val="left"/>
        <w:rPr>
          <w:rFonts w:ascii="Calibri Light" w:eastAsia="Malgun Gothic" w:hAnsi="Calibri Light" w:cs="Times New Roman"/>
          <w:b/>
          <w:color w:val="385623"/>
          <w:sz w:val="28"/>
          <w:szCs w:val="28"/>
          <w:lang w:val="en-AU" w:eastAsia="ko-KR"/>
        </w:rPr>
      </w:pPr>
      <w:r w:rsidRPr="00772DDA">
        <w:rPr>
          <w:rFonts w:ascii="Calibri Light" w:eastAsia="Malgun Gothic" w:hAnsi="Calibri Light" w:cs="Times New Roman"/>
          <w:b/>
          <w:color w:val="385623"/>
          <w:sz w:val="28"/>
          <w:szCs w:val="28"/>
          <w:lang w:val="en-AU" w:eastAsia="ko-KR"/>
        </w:rPr>
        <w:t xml:space="preserve">Gender analysis training – courses/ workshops and online modules </w:t>
      </w:r>
    </w:p>
    <w:p w14:paraId="4024878B" w14:textId="77777777" w:rsidR="00772DDA" w:rsidRPr="00772DDA" w:rsidRDefault="00772DDA" w:rsidP="00F116AB">
      <w:pPr>
        <w:numPr>
          <w:ilvl w:val="0"/>
          <w:numId w:val="52"/>
        </w:numPr>
        <w:spacing w:before="100" w:beforeAutospacing="1" w:after="100" w:afterAutospacing="1" w:line="240" w:lineRule="auto"/>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Women’s Health Victoria, </w:t>
      </w:r>
      <w:hyperlink r:id="rId134" w:history="1">
        <w:r w:rsidRPr="00772DDA">
          <w:rPr>
            <w:rFonts w:ascii="Calibri" w:eastAsia="Malgun Gothic" w:hAnsi="Calibri" w:cs="Times New Roman"/>
            <w:color w:val="0000FF"/>
            <w:szCs w:val="22"/>
            <w:u w:val="single"/>
            <w:lang w:val="en-AU" w:eastAsia="ko-KR"/>
          </w:rPr>
          <w:t>Workshops</w:t>
        </w:r>
      </w:hyperlink>
      <w:r w:rsidRPr="00772DDA">
        <w:rPr>
          <w:rFonts w:ascii="Calibri" w:eastAsia="Malgun Gothic" w:hAnsi="Calibri" w:cs="Times New Roman"/>
          <w:szCs w:val="22"/>
          <w:lang w:val="en-AU" w:eastAsia="ko-KR"/>
        </w:rPr>
        <w:t xml:space="preserve"> </w:t>
      </w:r>
    </w:p>
    <w:p w14:paraId="5470C64C" w14:textId="77777777" w:rsidR="00772DDA" w:rsidRPr="00772DDA" w:rsidRDefault="00772DDA" w:rsidP="00F116AB">
      <w:pPr>
        <w:numPr>
          <w:ilvl w:val="0"/>
          <w:numId w:val="52"/>
        </w:numPr>
        <w:spacing w:before="100" w:beforeAutospacing="1" w:after="100" w:afterAutospacing="1" w:line="240" w:lineRule="auto"/>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Flinders University, </w:t>
      </w:r>
      <w:hyperlink r:id="rId135" w:history="1">
        <w:r w:rsidRPr="00772DDA">
          <w:rPr>
            <w:rFonts w:ascii="Calibri" w:eastAsia="Malgun Gothic" w:hAnsi="Calibri" w:cs="Times New Roman"/>
            <w:color w:val="0000FF"/>
            <w:szCs w:val="22"/>
            <w:u w:val="single"/>
            <w:lang w:val="en-AU" w:eastAsia="ko-KR"/>
          </w:rPr>
          <w:t>Gender Consortium</w:t>
        </w:r>
      </w:hyperlink>
    </w:p>
    <w:p w14:paraId="0574338B" w14:textId="77777777" w:rsidR="00772DDA" w:rsidRPr="00772DDA" w:rsidRDefault="00772DDA" w:rsidP="00F116AB">
      <w:pPr>
        <w:numPr>
          <w:ilvl w:val="0"/>
          <w:numId w:val="52"/>
        </w:numPr>
        <w:spacing w:before="100" w:beforeAutospacing="1" w:after="100" w:afterAutospacing="1" w:line="240" w:lineRule="auto"/>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UN University, </w:t>
      </w:r>
      <w:hyperlink r:id="rId136" w:history="1">
        <w:r w:rsidRPr="00772DDA">
          <w:rPr>
            <w:rFonts w:ascii="Calibri" w:eastAsia="Malgun Gothic" w:hAnsi="Calibri" w:cs="Times New Roman"/>
            <w:color w:val="0000FF"/>
            <w:szCs w:val="22"/>
            <w:u w:val="single"/>
            <w:lang w:val="en-AU" w:eastAsia="ko-KR"/>
          </w:rPr>
          <w:t>Promotion of gender equality through research and education</w:t>
        </w:r>
      </w:hyperlink>
    </w:p>
    <w:p w14:paraId="55EA1E7B" w14:textId="77777777" w:rsidR="00772DDA" w:rsidRPr="00772DDA" w:rsidRDefault="00772DDA" w:rsidP="00F116AB">
      <w:pPr>
        <w:numPr>
          <w:ilvl w:val="0"/>
          <w:numId w:val="52"/>
        </w:numPr>
        <w:spacing w:before="100" w:beforeAutospacing="1" w:after="100" w:afterAutospacing="1" w:line="240" w:lineRule="auto"/>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The Global Human Rights Education and Training Centre, </w:t>
      </w:r>
      <w:hyperlink r:id="rId137" w:history="1">
        <w:r w:rsidRPr="00772DDA">
          <w:rPr>
            <w:rFonts w:ascii="Calibri" w:eastAsia="Malgun Gothic" w:hAnsi="Calibri" w:cs="Times New Roman"/>
            <w:color w:val="0000FF"/>
            <w:szCs w:val="22"/>
            <w:u w:val="single"/>
            <w:lang w:val="en-AU" w:eastAsia="ko-KR"/>
          </w:rPr>
          <w:t>Gender mainstreaming (gender equality – advanced course)</w:t>
        </w:r>
      </w:hyperlink>
    </w:p>
    <w:p w14:paraId="11A03D5D" w14:textId="77777777" w:rsidR="00772DDA" w:rsidRPr="00772DDA" w:rsidRDefault="00772DDA" w:rsidP="00F116AB">
      <w:pPr>
        <w:numPr>
          <w:ilvl w:val="0"/>
          <w:numId w:val="52"/>
        </w:numPr>
        <w:spacing w:before="100" w:beforeAutospacing="1" w:after="100" w:afterAutospacing="1" w:line="240" w:lineRule="auto"/>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UN Women, </w:t>
      </w:r>
      <w:hyperlink r:id="rId138" w:history="1">
        <w:r w:rsidRPr="00772DDA">
          <w:rPr>
            <w:rFonts w:ascii="Calibri" w:eastAsia="Malgun Gothic" w:hAnsi="Calibri" w:cs="Times New Roman"/>
            <w:color w:val="0000FF"/>
            <w:szCs w:val="22"/>
            <w:u w:val="single"/>
            <w:lang w:val="en-AU" w:eastAsia="ko-KR"/>
          </w:rPr>
          <w:t>Training Centre eLearning Campus</w:t>
        </w:r>
      </w:hyperlink>
    </w:p>
    <w:p w14:paraId="4B5EC2BF" w14:textId="77777777" w:rsidR="00772DDA" w:rsidRPr="00772DDA" w:rsidRDefault="00772DDA" w:rsidP="00F116AB">
      <w:pPr>
        <w:numPr>
          <w:ilvl w:val="0"/>
          <w:numId w:val="52"/>
        </w:numPr>
        <w:spacing w:before="100" w:beforeAutospacing="1" w:after="100" w:afterAutospacing="1" w:line="240" w:lineRule="auto"/>
        <w:ind w:left="714" w:hanging="357"/>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United Nations Office of the High Commissioner for Human Rights, </w:t>
      </w:r>
      <w:hyperlink r:id="rId139" w:history="1">
        <w:r w:rsidRPr="00772DDA">
          <w:rPr>
            <w:rFonts w:ascii="Calibri" w:eastAsia="Malgun Gothic" w:hAnsi="Calibri" w:cs="Times New Roman"/>
            <w:color w:val="0000FF"/>
            <w:szCs w:val="22"/>
            <w:u w:val="single"/>
            <w:lang w:val="en-AU" w:eastAsia="ko-KR"/>
          </w:rPr>
          <w:t xml:space="preserve">Gender equality, human rights and me </w:t>
        </w:r>
      </w:hyperlink>
      <w:r w:rsidRPr="00772DDA">
        <w:rPr>
          <w:rFonts w:ascii="Calibri" w:eastAsia="Malgun Gothic" w:hAnsi="Calibri" w:cs="Times New Roman"/>
          <w:szCs w:val="22"/>
          <w:lang w:val="en-AU" w:eastAsia="ko-KR"/>
        </w:rPr>
        <w:t xml:space="preserve"> </w:t>
      </w:r>
    </w:p>
    <w:p w14:paraId="0D61E871" w14:textId="77777777" w:rsidR="00772DDA" w:rsidRPr="00772DDA" w:rsidRDefault="00772DDA" w:rsidP="00F116AB">
      <w:pPr>
        <w:numPr>
          <w:ilvl w:val="0"/>
          <w:numId w:val="52"/>
        </w:numPr>
        <w:spacing w:before="100" w:beforeAutospacing="1" w:after="100" w:afterAutospacing="1" w:line="240" w:lineRule="auto"/>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UNESCO, Gender equality tools, </w:t>
      </w:r>
      <w:hyperlink r:id="rId140" w:history="1">
        <w:r w:rsidRPr="00772DDA">
          <w:rPr>
            <w:rFonts w:ascii="Calibri" w:eastAsia="Malgun Gothic" w:hAnsi="Calibri" w:cs="Times New Roman"/>
            <w:color w:val="0000FF"/>
            <w:szCs w:val="22"/>
            <w:u w:val="single"/>
            <w:lang w:val="en-AU" w:eastAsia="ko-KR"/>
          </w:rPr>
          <w:t>eLearning programme</w:t>
        </w:r>
      </w:hyperlink>
      <w:r w:rsidRPr="00772DDA">
        <w:rPr>
          <w:rFonts w:ascii="Calibri" w:eastAsia="Malgun Gothic" w:hAnsi="Calibri" w:cs="Times New Roman"/>
          <w:szCs w:val="22"/>
          <w:lang w:val="en-AU" w:eastAsia="ko-KR"/>
        </w:rPr>
        <w:t xml:space="preserve"> </w:t>
      </w:r>
    </w:p>
    <w:p w14:paraId="001EDC5F" w14:textId="77777777" w:rsidR="00772DDA" w:rsidRDefault="00772DDA" w:rsidP="00F116AB">
      <w:pPr>
        <w:numPr>
          <w:ilvl w:val="0"/>
          <w:numId w:val="52"/>
        </w:numPr>
        <w:spacing w:before="100" w:beforeAutospacing="1" w:after="100" w:afterAutospacing="1" w:line="240" w:lineRule="auto"/>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ILO and South-East Asia and the Pacific Multidisciplinary Advisory Team (SEAPAT), </w:t>
      </w:r>
      <w:hyperlink r:id="rId141" w:history="1">
        <w:r w:rsidRPr="00772DDA">
          <w:rPr>
            <w:rFonts w:ascii="Calibri" w:eastAsia="Malgun Gothic" w:hAnsi="Calibri" w:cs="Times New Roman"/>
            <w:color w:val="0000FF"/>
            <w:szCs w:val="22"/>
            <w:u w:val="single"/>
            <w:lang w:val="en-AU" w:eastAsia="ko-KR"/>
          </w:rPr>
          <w:t>Online gender learning and information module</w:t>
        </w:r>
      </w:hyperlink>
      <w:r w:rsidRPr="00772DDA">
        <w:rPr>
          <w:rFonts w:ascii="Calibri" w:eastAsia="Malgun Gothic" w:hAnsi="Calibri" w:cs="Times New Roman"/>
          <w:szCs w:val="22"/>
          <w:lang w:val="en-AU" w:eastAsia="ko-KR"/>
        </w:rPr>
        <w:t xml:space="preserve"> </w:t>
      </w:r>
    </w:p>
    <w:p w14:paraId="21E27477" w14:textId="77777777" w:rsidR="00EE33FC" w:rsidRDefault="00EE33FC" w:rsidP="00EE33FC">
      <w:pPr>
        <w:spacing w:before="100" w:beforeAutospacing="1" w:after="100" w:afterAutospacing="1" w:line="240" w:lineRule="auto"/>
        <w:contextualSpacing/>
        <w:jc w:val="left"/>
        <w:rPr>
          <w:rFonts w:ascii="Calibri Light" w:eastAsia="Malgun Gothic" w:hAnsi="Calibri Light" w:cs="Times New Roman"/>
          <w:b/>
          <w:color w:val="385623"/>
          <w:sz w:val="28"/>
          <w:szCs w:val="28"/>
          <w:lang w:val="en-AU" w:eastAsia="ko-KR"/>
        </w:rPr>
      </w:pPr>
    </w:p>
    <w:p w14:paraId="33958FC1" w14:textId="77777777" w:rsidR="00DC03F5" w:rsidRDefault="00DC03F5" w:rsidP="00EE33FC">
      <w:pPr>
        <w:spacing w:before="100" w:beforeAutospacing="1" w:after="100" w:afterAutospacing="1" w:line="240" w:lineRule="auto"/>
        <w:contextualSpacing/>
        <w:jc w:val="left"/>
        <w:rPr>
          <w:rFonts w:ascii="Calibri Light" w:eastAsia="Malgun Gothic" w:hAnsi="Calibri Light" w:cs="Times New Roman"/>
          <w:b/>
          <w:color w:val="385623"/>
          <w:sz w:val="28"/>
          <w:szCs w:val="28"/>
          <w:lang w:val="en-AU" w:eastAsia="ko-KR"/>
        </w:rPr>
      </w:pPr>
    </w:p>
    <w:p w14:paraId="36F6B920" w14:textId="77777777" w:rsidR="00E04526" w:rsidRDefault="00E04526">
      <w:pPr>
        <w:spacing w:after="0" w:line="240" w:lineRule="auto"/>
        <w:jc w:val="left"/>
        <w:rPr>
          <w:rFonts w:ascii="Calibri Light" w:eastAsia="Malgun Gothic" w:hAnsi="Calibri Light" w:cs="Times New Roman"/>
          <w:b/>
          <w:color w:val="385623"/>
          <w:sz w:val="28"/>
          <w:szCs w:val="28"/>
          <w:lang w:val="en-AU" w:eastAsia="ko-KR"/>
        </w:rPr>
      </w:pPr>
      <w:r>
        <w:rPr>
          <w:rFonts w:ascii="Calibri Light" w:eastAsia="Malgun Gothic" w:hAnsi="Calibri Light" w:cs="Times New Roman"/>
          <w:b/>
          <w:color w:val="385623"/>
          <w:sz w:val="28"/>
          <w:szCs w:val="28"/>
          <w:lang w:val="en-AU" w:eastAsia="ko-KR"/>
        </w:rPr>
        <w:br w:type="page"/>
      </w:r>
    </w:p>
    <w:p w14:paraId="3AF8C728" w14:textId="4069D3FF" w:rsidR="00772DDA" w:rsidRPr="00772DDA" w:rsidRDefault="00772DDA" w:rsidP="00EE33FC">
      <w:pPr>
        <w:spacing w:before="100" w:beforeAutospacing="1" w:after="100" w:afterAutospacing="1" w:line="360" w:lineRule="auto"/>
        <w:contextualSpacing/>
        <w:jc w:val="left"/>
        <w:rPr>
          <w:rFonts w:ascii="Calibri Light" w:eastAsia="Malgun Gothic" w:hAnsi="Calibri Light" w:cs="Times New Roman"/>
          <w:b/>
          <w:color w:val="385623"/>
          <w:sz w:val="28"/>
          <w:szCs w:val="28"/>
          <w:lang w:val="en-AU" w:eastAsia="ko-KR"/>
        </w:rPr>
      </w:pPr>
      <w:r w:rsidRPr="00772DDA">
        <w:rPr>
          <w:rFonts w:ascii="Calibri Light" w:eastAsia="Malgun Gothic" w:hAnsi="Calibri Light" w:cs="Times New Roman"/>
          <w:b/>
          <w:color w:val="385623"/>
          <w:sz w:val="28"/>
          <w:szCs w:val="28"/>
          <w:lang w:val="en-AU" w:eastAsia="ko-KR"/>
        </w:rPr>
        <w:t>Gender analysis training – manuals and toolkits</w:t>
      </w:r>
    </w:p>
    <w:p w14:paraId="74FD2E88" w14:textId="6B11507E" w:rsidR="00772DDA" w:rsidRPr="00772DDA" w:rsidRDefault="00772DDA" w:rsidP="00F116AB">
      <w:pPr>
        <w:numPr>
          <w:ilvl w:val="0"/>
          <w:numId w:val="52"/>
        </w:numPr>
        <w:spacing w:before="100" w:beforeAutospacing="1" w:after="100" w:afterAutospacing="1" w:line="240" w:lineRule="auto"/>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United Nations Development Programme (UNDP)</w:t>
      </w:r>
      <w:r w:rsidR="00EE33FC">
        <w:rPr>
          <w:rFonts w:ascii="Calibri" w:eastAsia="Malgun Gothic" w:hAnsi="Calibri" w:cs="Times New Roman"/>
          <w:szCs w:val="22"/>
          <w:lang w:val="en-AU" w:eastAsia="ko-KR"/>
        </w:rPr>
        <w:t>:</w:t>
      </w:r>
    </w:p>
    <w:p w14:paraId="1767C30B" w14:textId="77777777" w:rsidR="00772DDA" w:rsidRPr="00772DDA" w:rsidRDefault="00991751" w:rsidP="00F116AB">
      <w:pPr>
        <w:numPr>
          <w:ilvl w:val="0"/>
          <w:numId w:val="53"/>
        </w:numPr>
        <w:tabs>
          <w:tab w:val="num" w:pos="1080"/>
        </w:tabs>
        <w:spacing w:before="100" w:beforeAutospacing="1" w:after="100" w:afterAutospacing="1" w:line="240" w:lineRule="auto"/>
        <w:ind w:left="1094" w:hanging="357"/>
        <w:contextualSpacing/>
        <w:jc w:val="left"/>
        <w:rPr>
          <w:rFonts w:ascii="Calibri" w:eastAsia="Malgun Gothic" w:hAnsi="Calibri" w:cs="Times New Roman"/>
          <w:color w:val="0000FF"/>
          <w:szCs w:val="22"/>
          <w:u w:val="single"/>
          <w:lang w:val="en-AU" w:eastAsia="ko-KR"/>
        </w:rPr>
      </w:pPr>
      <w:hyperlink r:id="rId142" w:history="1">
        <w:r w:rsidR="00772DDA" w:rsidRPr="00772DDA">
          <w:rPr>
            <w:rFonts w:ascii="Calibri" w:eastAsia="Malgun Gothic" w:hAnsi="Calibri" w:cs="Times New Roman"/>
            <w:color w:val="0000FF"/>
            <w:szCs w:val="22"/>
            <w:u w:val="single"/>
            <w:lang w:val="en-AU" w:eastAsia="ko-KR"/>
          </w:rPr>
          <w:t>How to conduct a gender analysis: a guidance note for UNDP staff</w:t>
        </w:r>
      </w:hyperlink>
      <w:r w:rsidR="00772DDA" w:rsidRPr="00772DDA">
        <w:rPr>
          <w:rFonts w:ascii="Calibri" w:eastAsia="Malgun Gothic" w:hAnsi="Calibri" w:cs="Times New Roman"/>
          <w:szCs w:val="22"/>
          <w:lang w:val="en-AU" w:eastAsia="ko-KR"/>
        </w:rPr>
        <w:t xml:space="preserve"> </w:t>
      </w:r>
    </w:p>
    <w:p w14:paraId="1C962931" w14:textId="02B22B15" w:rsidR="00772DDA" w:rsidRPr="00772DDA" w:rsidRDefault="00991751" w:rsidP="00F116AB">
      <w:pPr>
        <w:numPr>
          <w:ilvl w:val="0"/>
          <w:numId w:val="53"/>
        </w:numPr>
        <w:tabs>
          <w:tab w:val="num" w:pos="1080"/>
        </w:tabs>
        <w:spacing w:before="100" w:beforeAutospacing="1" w:after="100" w:afterAutospacing="1" w:line="240" w:lineRule="auto"/>
        <w:ind w:left="1094" w:hanging="357"/>
        <w:contextualSpacing/>
        <w:jc w:val="left"/>
        <w:rPr>
          <w:rFonts w:ascii="Calibri" w:eastAsia="Malgun Gothic" w:hAnsi="Calibri" w:cs="Times New Roman"/>
          <w:color w:val="0000FF"/>
          <w:szCs w:val="22"/>
          <w:u w:val="single"/>
          <w:lang w:val="en-AU" w:eastAsia="ko-KR"/>
        </w:rPr>
      </w:pPr>
      <w:hyperlink r:id="rId143" w:history="1">
        <w:r w:rsidR="00772DDA" w:rsidRPr="00772DDA">
          <w:rPr>
            <w:rFonts w:ascii="Calibri" w:eastAsia="Malgun Gothic" w:hAnsi="Calibri" w:cs="Times New Roman"/>
            <w:color w:val="0000FF"/>
            <w:szCs w:val="22"/>
            <w:u w:val="single"/>
            <w:lang w:val="en-AU" w:eastAsia="ko-KR"/>
          </w:rPr>
          <w:t>Gender mainstreaming made easy: handbook for programme staff</w:t>
        </w:r>
      </w:hyperlink>
    </w:p>
    <w:p w14:paraId="1F69D583" w14:textId="47B705A2" w:rsidR="00772DDA" w:rsidRPr="00772DDA" w:rsidRDefault="00991751" w:rsidP="00F116AB">
      <w:pPr>
        <w:numPr>
          <w:ilvl w:val="0"/>
          <w:numId w:val="53"/>
        </w:numPr>
        <w:spacing w:before="100" w:beforeAutospacing="1" w:after="100" w:afterAutospacing="1" w:line="240" w:lineRule="auto"/>
        <w:ind w:left="1094" w:hanging="357"/>
        <w:contextualSpacing/>
        <w:jc w:val="left"/>
        <w:rPr>
          <w:rFonts w:ascii="Calibri" w:eastAsia="Malgun Gothic" w:hAnsi="Calibri" w:cs="Times New Roman"/>
          <w:color w:val="0000FF"/>
          <w:szCs w:val="22"/>
          <w:u w:val="single"/>
          <w:lang w:val="en-AU" w:eastAsia="ko-KR"/>
        </w:rPr>
      </w:pPr>
      <w:hyperlink r:id="rId144" w:history="1">
        <w:r w:rsidR="00772DDA" w:rsidRPr="00772DDA">
          <w:rPr>
            <w:rFonts w:ascii="Calibri" w:eastAsia="Malgun Gothic" w:hAnsi="Calibri" w:cs="Times New Roman"/>
            <w:color w:val="0000FF"/>
            <w:szCs w:val="22"/>
            <w:u w:val="single"/>
            <w:lang w:val="en-AU" w:eastAsia="ko-KR"/>
          </w:rPr>
          <w:t>Gender mainstreaming: a key driver of development in environment and energy – training manual</w:t>
        </w:r>
      </w:hyperlink>
    </w:p>
    <w:p w14:paraId="42B9530F" w14:textId="3A30B3E5" w:rsidR="00772DDA" w:rsidRPr="00772DDA" w:rsidRDefault="00772DDA" w:rsidP="00F116AB">
      <w:pPr>
        <w:numPr>
          <w:ilvl w:val="0"/>
          <w:numId w:val="53"/>
        </w:numPr>
        <w:spacing w:before="100" w:beforeAutospacing="1" w:after="100" w:afterAutospacing="1" w:line="240" w:lineRule="auto"/>
        <w:ind w:left="1094" w:hanging="357"/>
        <w:contextualSpacing/>
        <w:jc w:val="left"/>
        <w:rPr>
          <w:rFonts w:ascii="Calibri" w:eastAsia="Malgun Gothic" w:hAnsi="Calibri" w:cs="Times New Roman"/>
          <w:color w:val="0000FF"/>
          <w:szCs w:val="22"/>
          <w:u w:val="single"/>
          <w:lang w:val="en-AU" w:eastAsia="ko-KR"/>
        </w:rPr>
      </w:pPr>
      <w:r w:rsidRPr="00772DDA">
        <w:rPr>
          <w:rFonts w:ascii="Calibri" w:eastAsia="Malgun Gothic" w:hAnsi="Calibri" w:cs="Times New Roman"/>
          <w:szCs w:val="22"/>
          <w:lang w:val="en-AU" w:eastAsia="ko-KR"/>
        </w:rPr>
        <w:fldChar w:fldCharType="begin"/>
      </w:r>
      <w:r w:rsidRPr="00772DDA">
        <w:rPr>
          <w:rFonts w:ascii="Calibri" w:eastAsia="Malgun Gothic" w:hAnsi="Calibri" w:cs="Times New Roman"/>
          <w:szCs w:val="22"/>
          <w:lang w:val="en-AU" w:eastAsia="ko-KR"/>
        </w:rPr>
        <w:instrText xml:space="preserve"> HYPERLINK "http://www.undp.org/content/dam/vietnam/docs/Publications/21966_5539_00210_-_gbk_e_.pdf" \t "_blank" </w:instrText>
      </w:r>
      <w:r w:rsidRPr="00772DDA">
        <w:rPr>
          <w:rFonts w:ascii="Calibri" w:eastAsia="Malgun Gothic" w:hAnsi="Calibri" w:cs="Times New Roman"/>
          <w:szCs w:val="22"/>
          <w:lang w:val="en-AU" w:eastAsia="ko-KR"/>
        </w:rPr>
        <w:fldChar w:fldCharType="separate"/>
      </w:r>
      <w:r w:rsidRPr="00772DDA">
        <w:rPr>
          <w:rFonts w:ascii="Calibri" w:eastAsia="Malgun Gothic" w:hAnsi="Calibri" w:cs="Times New Roman"/>
          <w:color w:val="0000FF"/>
          <w:szCs w:val="22"/>
          <w:u w:val="single"/>
          <w:lang w:val="en-AU" w:eastAsia="ko-KR"/>
        </w:rPr>
        <w:t>Gender Briefing Kit</w:t>
      </w:r>
    </w:p>
    <w:p w14:paraId="5AB44010" w14:textId="77777777" w:rsidR="00772DDA" w:rsidRDefault="00772DDA" w:rsidP="00F116AB">
      <w:pPr>
        <w:numPr>
          <w:ilvl w:val="0"/>
          <w:numId w:val="52"/>
        </w:numPr>
        <w:spacing w:before="100" w:beforeAutospacing="1" w:after="100" w:afterAutospacing="1" w:line="240" w:lineRule="auto"/>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fldChar w:fldCharType="end"/>
      </w:r>
      <w:r w:rsidRPr="00772DDA">
        <w:rPr>
          <w:rFonts w:ascii="Calibri" w:eastAsia="Malgun Gothic" w:hAnsi="Calibri" w:cs="Times New Roman"/>
          <w:szCs w:val="22"/>
          <w:lang w:val="en-AU" w:eastAsia="ko-KR"/>
        </w:rPr>
        <w:t xml:space="preserve">UNESCO, </w:t>
      </w:r>
      <w:hyperlink r:id="rId145" w:history="1">
        <w:r w:rsidRPr="00772DDA">
          <w:rPr>
            <w:rFonts w:ascii="Calibri" w:eastAsia="Malgun Gothic" w:hAnsi="Calibri" w:cs="Times New Roman"/>
            <w:color w:val="0000FF"/>
            <w:szCs w:val="22"/>
            <w:u w:val="single"/>
            <w:lang w:val="en-AU" w:eastAsia="ko-KR"/>
          </w:rPr>
          <w:t>Training tools for curriculum development: a resource pack for gender-responsive STEM education</w:t>
        </w:r>
      </w:hyperlink>
      <w:r w:rsidRPr="00772DDA">
        <w:rPr>
          <w:rFonts w:ascii="Calibri" w:eastAsia="Malgun Gothic" w:hAnsi="Calibri" w:cs="Times New Roman"/>
          <w:szCs w:val="22"/>
          <w:lang w:val="en-AU" w:eastAsia="ko-KR"/>
        </w:rPr>
        <w:t xml:space="preserve"> </w:t>
      </w:r>
    </w:p>
    <w:p w14:paraId="500A88F1" w14:textId="3548AA05" w:rsidR="00772DDA" w:rsidRPr="00772DDA" w:rsidRDefault="00772DDA" w:rsidP="00F116AB">
      <w:pPr>
        <w:numPr>
          <w:ilvl w:val="0"/>
          <w:numId w:val="52"/>
        </w:numPr>
        <w:spacing w:before="100" w:beforeAutospacing="1" w:after="100" w:afterAutospacing="1" w:line="240" w:lineRule="auto"/>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European Institute for Gender Equality</w:t>
      </w:r>
      <w:r w:rsidR="00EE33FC">
        <w:rPr>
          <w:rFonts w:ascii="Calibri" w:eastAsia="Malgun Gothic" w:hAnsi="Calibri" w:cs="Times New Roman"/>
          <w:szCs w:val="22"/>
          <w:lang w:val="en-AU" w:eastAsia="ko-KR"/>
        </w:rPr>
        <w:t>:</w:t>
      </w:r>
      <w:r w:rsidRPr="00772DDA">
        <w:rPr>
          <w:rFonts w:ascii="Calibri" w:eastAsia="Malgun Gothic" w:hAnsi="Calibri" w:cs="Times New Roman"/>
          <w:szCs w:val="22"/>
          <w:lang w:val="en-AU" w:eastAsia="ko-KR"/>
        </w:rPr>
        <w:t xml:space="preserve"> </w:t>
      </w:r>
    </w:p>
    <w:p w14:paraId="3F346B4E" w14:textId="77777777" w:rsidR="00772DDA" w:rsidRPr="00772DDA" w:rsidRDefault="00991751" w:rsidP="00F116AB">
      <w:pPr>
        <w:numPr>
          <w:ilvl w:val="0"/>
          <w:numId w:val="55"/>
        </w:numPr>
        <w:spacing w:before="100" w:beforeAutospacing="1" w:after="100" w:afterAutospacing="1" w:line="240" w:lineRule="auto"/>
        <w:ind w:left="1077" w:hanging="357"/>
        <w:contextualSpacing/>
        <w:jc w:val="left"/>
        <w:rPr>
          <w:rFonts w:ascii="Calibri" w:eastAsia="Malgun Gothic" w:hAnsi="Calibri" w:cs="Times New Roman"/>
          <w:szCs w:val="22"/>
          <w:lang w:val="en-AU" w:eastAsia="ko-KR"/>
        </w:rPr>
      </w:pPr>
      <w:hyperlink r:id="rId146" w:history="1">
        <w:r w:rsidR="00772DDA" w:rsidRPr="00772DDA">
          <w:rPr>
            <w:rFonts w:ascii="Calibri" w:eastAsia="Malgun Gothic" w:hAnsi="Calibri" w:cs="Times New Roman"/>
            <w:color w:val="0000FF"/>
            <w:szCs w:val="22"/>
            <w:u w:val="single"/>
            <w:lang w:val="en-AU" w:eastAsia="ko-KR"/>
          </w:rPr>
          <w:t>Gender mainstreaming methods and tools</w:t>
        </w:r>
      </w:hyperlink>
    </w:p>
    <w:p w14:paraId="59055C70" w14:textId="77777777" w:rsidR="00772DDA" w:rsidRPr="00772DDA" w:rsidRDefault="00991751" w:rsidP="00F116AB">
      <w:pPr>
        <w:numPr>
          <w:ilvl w:val="0"/>
          <w:numId w:val="55"/>
        </w:numPr>
        <w:spacing w:before="100" w:beforeAutospacing="1" w:after="100" w:afterAutospacing="1" w:line="240" w:lineRule="auto"/>
        <w:ind w:left="1077" w:hanging="357"/>
        <w:contextualSpacing/>
        <w:jc w:val="left"/>
        <w:rPr>
          <w:rFonts w:ascii="Calibri" w:eastAsia="Malgun Gothic" w:hAnsi="Calibri" w:cs="Times New Roman"/>
          <w:szCs w:val="22"/>
          <w:lang w:val="en-AU" w:eastAsia="ko-KR"/>
        </w:rPr>
      </w:pPr>
      <w:hyperlink r:id="rId147" w:history="1">
        <w:r w:rsidR="00772DDA" w:rsidRPr="00772DDA">
          <w:rPr>
            <w:rFonts w:ascii="Calibri" w:eastAsia="Malgun Gothic" w:hAnsi="Calibri" w:cs="Times New Roman"/>
            <w:color w:val="0000FF"/>
            <w:szCs w:val="22"/>
            <w:u w:val="single"/>
            <w:lang w:val="en-AU" w:eastAsia="ko-KR"/>
          </w:rPr>
          <w:t>Good practices in gender mainstreaming</w:t>
        </w:r>
      </w:hyperlink>
    </w:p>
    <w:p w14:paraId="3DB80B01" w14:textId="77777777" w:rsidR="00772DDA" w:rsidRPr="00772DDA" w:rsidRDefault="00772DDA" w:rsidP="00F116AB">
      <w:pPr>
        <w:numPr>
          <w:ilvl w:val="0"/>
          <w:numId w:val="52"/>
        </w:numPr>
        <w:spacing w:before="100" w:beforeAutospacing="1" w:after="100" w:afterAutospacing="1" w:line="240" w:lineRule="auto"/>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International Training Centre of the ILO, </w:t>
      </w:r>
      <w:hyperlink r:id="rId148" w:history="1">
        <w:r w:rsidRPr="00772DDA">
          <w:rPr>
            <w:rFonts w:ascii="Calibri" w:eastAsia="Malgun Gothic" w:hAnsi="Calibri" w:cs="Times New Roman"/>
            <w:color w:val="0000FF"/>
            <w:szCs w:val="22"/>
            <w:u w:val="single"/>
            <w:lang w:val="en-AU" w:eastAsia="ko-KR"/>
          </w:rPr>
          <w:t>Break gender stereotypes, give talent a chance: toolkit for SME advisors and human resource managers</w:t>
        </w:r>
      </w:hyperlink>
      <w:r w:rsidRPr="00772DDA">
        <w:rPr>
          <w:rFonts w:ascii="Calibri" w:eastAsia="Malgun Gothic" w:hAnsi="Calibri" w:cs="Times New Roman"/>
          <w:szCs w:val="22"/>
          <w:lang w:val="en-AU" w:eastAsia="ko-KR"/>
        </w:rPr>
        <w:t xml:space="preserve"> </w:t>
      </w:r>
    </w:p>
    <w:p w14:paraId="588B08CB" w14:textId="77777777" w:rsidR="00772DDA" w:rsidRPr="00772DDA" w:rsidRDefault="00772DDA" w:rsidP="00F116AB">
      <w:pPr>
        <w:numPr>
          <w:ilvl w:val="0"/>
          <w:numId w:val="52"/>
        </w:numPr>
        <w:spacing w:before="100" w:beforeAutospacing="1" w:after="100" w:afterAutospacing="1" w:line="240" w:lineRule="auto"/>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United Nations Office on Drugs and Crime (UNODC), </w:t>
      </w:r>
      <w:hyperlink r:id="rId149" w:history="1">
        <w:r w:rsidRPr="00772DDA">
          <w:rPr>
            <w:rFonts w:ascii="Calibri" w:eastAsia="Malgun Gothic" w:hAnsi="Calibri" w:cs="Times New Roman"/>
            <w:color w:val="0000FF"/>
            <w:szCs w:val="22"/>
            <w:u w:val="single"/>
            <w:lang w:val="en-AU" w:eastAsia="ko-KR"/>
          </w:rPr>
          <w:t>Guidance note for UNODC staff: gender mainstreaming in the work of UNODC</w:t>
        </w:r>
      </w:hyperlink>
      <w:r w:rsidRPr="00772DDA">
        <w:rPr>
          <w:rFonts w:ascii="Calibri" w:eastAsia="Malgun Gothic" w:hAnsi="Calibri" w:cs="Times New Roman"/>
          <w:szCs w:val="22"/>
          <w:lang w:val="en-AU" w:eastAsia="ko-KR"/>
        </w:rPr>
        <w:t xml:space="preserve"> </w:t>
      </w:r>
    </w:p>
    <w:p w14:paraId="079ACD74" w14:textId="77777777" w:rsidR="00EE33FC" w:rsidRPr="00E04526" w:rsidRDefault="00EE33FC" w:rsidP="00EE33FC">
      <w:pPr>
        <w:spacing w:before="100" w:beforeAutospacing="1" w:after="100" w:afterAutospacing="1" w:line="240" w:lineRule="auto"/>
        <w:contextualSpacing/>
        <w:jc w:val="left"/>
        <w:rPr>
          <w:rFonts w:ascii="Calibri Light" w:eastAsia="Malgun Gothic" w:hAnsi="Calibri Light" w:cs="Times New Roman"/>
          <w:b/>
          <w:color w:val="385623"/>
          <w:sz w:val="18"/>
          <w:szCs w:val="28"/>
          <w:lang w:val="en-AU" w:eastAsia="ko-KR"/>
        </w:rPr>
      </w:pPr>
    </w:p>
    <w:p w14:paraId="086142B6" w14:textId="77777777" w:rsidR="00772DDA" w:rsidRPr="00772DDA" w:rsidRDefault="00772DDA" w:rsidP="00EE33FC">
      <w:pPr>
        <w:spacing w:before="100" w:beforeAutospacing="1" w:after="100" w:afterAutospacing="1" w:line="360" w:lineRule="auto"/>
        <w:contextualSpacing/>
        <w:jc w:val="left"/>
        <w:rPr>
          <w:rFonts w:ascii="Calibri Light" w:eastAsia="Malgun Gothic" w:hAnsi="Calibri Light" w:cs="Times New Roman"/>
          <w:b/>
          <w:color w:val="385623"/>
          <w:sz w:val="28"/>
          <w:szCs w:val="28"/>
          <w:lang w:val="en-AU" w:eastAsia="ko-KR"/>
        </w:rPr>
      </w:pPr>
      <w:r w:rsidRPr="00772DDA">
        <w:rPr>
          <w:rFonts w:ascii="Calibri Light" w:eastAsia="Malgun Gothic" w:hAnsi="Calibri Light" w:cs="Times New Roman"/>
          <w:b/>
          <w:color w:val="385623"/>
          <w:sz w:val="28"/>
          <w:szCs w:val="28"/>
          <w:lang w:val="en-AU" w:eastAsia="ko-KR"/>
        </w:rPr>
        <w:t xml:space="preserve">Gender statistics/indicators </w:t>
      </w:r>
    </w:p>
    <w:p w14:paraId="1648F193" w14:textId="77777777" w:rsidR="00772DDA" w:rsidRPr="00772DDA" w:rsidRDefault="00772DDA" w:rsidP="00F116AB">
      <w:pPr>
        <w:numPr>
          <w:ilvl w:val="0"/>
          <w:numId w:val="48"/>
        </w:numPr>
        <w:spacing w:before="100" w:beforeAutospacing="1" w:after="100" w:afterAutospacing="1" w:line="240" w:lineRule="auto"/>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Australian Bureau of Statistics, </w:t>
      </w:r>
      <w:hyperlink r:id="rId150" w:history="1">
        <w:r w:rsidRPr="00772DDA">
          <w:rPr>
            <w:rFonts w:ascii="Calibri" w:eastAsia="Malgun Gothic" w:hAnsi="Calibri" w:cs="Times New Roman"/>
            <w:color w:val="0000FF"/>
            <w:szCs w:val="22"/>
            <w:u w:val="single"/>
            <w:lang w:val="en-AU" w:eastAsia="ko-KR"/>
          </w:rPr>
          <w:t>Gender indicators</w:t>
        </w:r>
      </w:hyperlink>
      <w:r w:rsidRPr="00772DDA">
        <w:rPr>
          <w:rFonts w:ascii="Calibri" w:eastAsia="Malgun Gothic" w:hAnsi="Calibri" w:cs="Times New Roman"/>
          <w:szCs w:val="22"/>
          <w:lang w:val="en-AU" w:eastAsia="ko-KR"/>
        </w:rPr>
        <w:t xml:space="preserve"> </w:t>
      </w:r>
    </w:p>
    <w:p w14:paraId="07684363" w14:textId="77777777" w:rsidR="00772DDA" w:rsidRPr="00772DDA" w:rsidRDefault="00772DDA" w:rsidP="00F116AB">
      <w:pPr>
        <w:numPr>
          <w:ilvl w:val="0"/>
          <w:numId w:val="48"/>
        </w:numPr>
        <w:spacing w:before="100" w:beforeAutospacing="1" w:after="100" w:afterAutospacing="1" w:line="240" w:lineRule="auto"/>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Australian Government Workplace Gender Equality Agency, </w:t>
      </w:r>
      <w:hyperlink r:id="rId151" w:history="1">
        <w:r w:rsidRPr="00772DDA">
          <w:rPr>
            <w:rFonts w:ascii="Calibri" w:eastAsia="Malgun Gothic" w:hAnsi="Calibri" w:cs="Times New Roman"/>
            <w:color w:val="0000FF"/>
            <w:szCs w:val="22"/>
            <w:u w:val="single"/>
            <w:lang w:val="en-AU" w:eastAsia="ko-KR"/>
          </w:rPr>
          <w:t>Fact sheets and statistics</w:t>
        </w:r>
      </w:hyperlink>
    </w:p>
    <w:p w14:paraId="45EDDC2B" w14:textId="448A3725" w:rsidR="00772DDA" w:rsidRPr="00772DDA" w:rsidRDefault="00772DDA" w:rsidP="00F116AB">
      <w:pPr>
        <w:numPr>
          <w:ilvl w:val="0"/>
          <w:numId w:val="48"/>
        </w:numPr>
        <w:spacing w:before="100" w:beforeAutospacing="1" w:after="100" w:afterAutospacing="1" w:line="240" w:lineRule="auto"/>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Queensland Government</w:t>
      </w:r>
      <w:r w:rsidR="00EE33FC">
        <w:rPr>
          <w:rFonts w:ascii="Calibri" w:eastAsia="Malgun Gothic" w:hAnsi="Calibri" w:cs="Times New Roman"/>
          <w:szCs w:val="22"/>
          <w:lang w:val="en-AU" w:eastAsia="ko-KR"/>
        </w:rPr>
        <w:t>:</w:t>
      </w:r>
      <w:r w:rsidRPr="00772DDA">
        <w:rPr>
          <w:rFonts w:ascii="Calibri" w:eastAsia="Malgun Gothic" w:hAnsi="Calibri" w:cs="Times New Roman"/>
          <w:szCs w:val="22"/>
          <w:lang w:val="en-AU" w:eastAsia="ko-KR"/>
        </w:rPr>
        <w:t xml:space="preserve"> </w:t>
      </w:r>
    </w:p>
    <w:p w14:paraId="51244818" w14:textId="77777777" w:rsidR="00772DDA" w:rsidRPr="00772DDA" w:rsidRDefault="00772DDA" w:rsidP="00F116AB">
      <w:pPr>
        <w:numPr>
          <w:ilvl w:val="1"/>
          <w:numId w:val="48"/>
        </w:numPr>
        <w:spacing w:before="100" w:beforeAutospacing="1" w:after="100" w:afterAutospacing="1" w:line="240" w:lineRule="auto"/>
        <w:ind w:left="1094" w:hanging="357"/>
        <w:contextualSpacing/>
        <w:jc w:val="left"/>
        <w:rPr>
          <w:rFonts w:ascii="Calibri" w:eastAsia="Malgun Gothic" w:hAnsi="Calibri" w:cs="Times New Roman"/>
          <w:color w:val="0000FF"/>
          <w:szCs w:val="22"/>
          <w:u w:val="single"/>
          <w:lang w:val="en-AU" w:eastAsia="ko-KR"/>
        </w:rPr>
      </w:pPr>
      <w:r w:rsidRPr="00772DDA">
        <w:rPr>
          <w:rFonts w:ascii="Calibri" w:eastAsia="Malgun Gothic" w:hAnsi="Calibri" w:cs="Times New Roman"/>
          <w:szCs w:val="22"/>
          <w:lang w:val="en-AU" w:eastAsia="ko-KR"/>
        </w:rPr>
        <w:fldChar w:fldCharType="begin"/>
      </w:r>
      <w:r w:rsidRPr="00772DDA">
        <w:rPr>
          <w:rFonts w:ascii="Calibri" w:eastAsia="Malgun Gothic" w:hAnsi="Calibri" w:cs="Times New Roman"/>
          <w:szCs w:val="22"/>
          <w:lang w:val="en-AU" w:eastAsia="ko-KR"/>
        </w:rPr>
        <w:instrText xml:space="preserve"> HYPERLINK "https://www.csyw.qld.gov.au/women" </w:instrText>
      </w:r>
      <w:r w:rsidRPr="00772DDA">
        <w:rPr>
          <w:rFonts w:ascii="Calibri" w:eastAsia="Malgun Gothic" w:hAnsi="Calibri" w:cs="Times New Roman"/>
          <w:szCs w:val="22"/>
          <w:lang w:val="en-AU" w:eastAsia="ko-KR"/>
        </w:rPr>
        <w:fldChar w:fldCharType="separate"/>
      </w:r>
      <w:r w:rsidRPr="00772DDA">
        <w:rPr>
          <w:rFonts w:ascii="Calibri" w:eastAsia="Malgun Gothic" w:hAnsi="Calibri" w:cs="Times New Roman"/>
          <w:color w:val="0000FF"/>
          <w:szCs w:val="22"/>
          <w:u w:val="single"/>
          <w:lang w:val="en-AU" w:eastAsia="ko-KR"/>
        </w:rPr>
        <w:t>Queensland women</w:t>
      </w:r>
    </w:p>
    <w:p w14:paraId="77EE9ED3" w14:textId="77777777" w:rsidR="00772DDA" w:rsidRPr="00772DDA" w:rsidRDefault="00772DDA" w:rsidP="00F116AB">
      <w:pPr>
        <w:numPr>
          <w:ilvl w:val="1"/>
          <w:numId w:val="48"/>
        </w:numPr>
        <w:spacing w:before="100" w:beforeAutospacing="1" w:after="100" w:afterAutospacing="1" w:line="240" w:lineRule="auto"/>
        <w:ind w:left="1094" w:hanging="357"/>
        <w:contextualSpacing/>
        <w:jc w:val="left"/>
        <w:rPr>
          <w:rFonts w:ascii="Calibri" w:eastAsia="Malgun Gothic" w:hAnsi="Calibri" w:cs="Times New Roman"/>
          <w:color w:val="0000FF"/>
          <w:szCs w:val="22"/>
          <w:u w:val="single"/>
          <w:lang w:val="en-AU" w:eastAsia="ko-KR"/>
        </w:rPr>
      </w:pPr>
      <w:r w:rsidRPr="00772DDA">
        <w:rPr>
          <w:rFonts w:ascii="Calibri" w:eastAsia="Malgun Gothic" w:hAnsi="Calibri" w:cs="Times New Roman"/>
          <w:szCs w:val="22"/>
          <w:lang w:val="en-AU" w:eastAsia="ko-KR"/>
        </w:rPr>
        <w:fldChar w:fldCharType="end"/>
      </w:r>
      <w:r w:rsidRPr="00772DDA">
        <w:rPr>
          <w:rFonts w:ascii="Calibri" w:eastAsia="Malgun Gothic" w:hAnsi="Calibri" w:cs="Times New Roman"/>
          <w:szCs w:val="22"/>
          <w:lang w:val="en-AU" w:eastAsia="ko-KR"/>
        </w:rPr>
        <w:fldChar w:fldCharType="begin"/>
      </w:r>
      <w:r w:rsidRPr="00772DDA">
        <w:rPr>
          <w:rFonts w:ascii="Calibri" w:eastAsia="Malgun Gothic" w:hAnsi="Calibri" w:cs="Times New Roman"/>
          <w:szCs w:val="22"/>
          <w:lang w:val="en-AU" w:eastAsia="ko-KR"/>
        </w:rPr>
        <w:instrText xml:space="preserve"> HYPERLINK "https://www.csyw.qld.gov.au/campaign/womens-strategy/queensland-womens-strategy" </w:instrText>
      </w:r>
      <w:r w:rsidRPr="00772DDA">
        <w:rPr>
          <w:rFonts w:ascii="Calibri" w:eastAsia="Malgun Gothic" w:hAnsi="Calibri" w:cs="Times New Roman"/>
          <w:szCs w:val="22"/>
          <w:lang w:val="en-AU" w:eastAsia="ko-KR"/>
        </w:rPr>
        <w:fldChar w:fldCharType="separate"/>
      </w:r>
      <w:r w:rsidRPr="00772DDA">
        <w:rPr>
          <w:rFonts w:ascii="Calibri" w:eastAsia="Malgun Gothic" w:hAnsi="Calibri" w:cs="Times New Roman"/>
          <w:color w:val="0000FF"/>
          <w:szCs w:val="22"/>
          <w:u w:val="single"/>
          <w:lang w:val="en-AU" w:eastAsia="ko-KR"/>
        </w:rPr>
        <w:t>Queensland gender equality report cards</w:t>
      </w:r>
    </w:p>
    <w:p w14:paraId="18500A41" w14:textId="77777777" w:rsidR="00772DDA" w:rsidRPr="00772DDA" w:rsidRDefault="00772DDA" w:rsidP="00F116AB">
      <w:pPr>
        <w:numPr>
          <w:ilvl w:val="0"/>
          <w:numId w:val="48"/>
        </w:numPr>
        <w:spacing w:before="100" w:beforeAutospacing="1" w:after="100" w:afterAutospacing="1" w:line="240" w:lineRule="auto"/>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fldChar w:fldCharType="end"/>
      </w:r>
      <w:r w:rsidRPr="00772DDA">
        <w:rPr>
          <w:rFonts w:ascii="Calibri" w:eastAsia="Malgun Gothic" w:hAnsi="Calibri" w:cs="Times New Roman"/>
          <w:szCs w:val="22"/>
          <w:lang w:val="en-AU" w:eastAsia="ko-KR"/>
        </w:rPr>
        <w:t xml:space="preserve">New South Wales Government </w:t>
      </w:r>
      <w:hyperlink r:id="rId152" w:history="1">
        <w:r w:rsidRPr="00772DDA">
          <w:rPr>
            <w:rFonts w:ascii="Calibri" w:eastAsia="Malgun Gothic" w:hAnsi="Calibri" w:cs="Times New Roman"/>
            <w:color w:val="0000FF"/>
            <w:szCs w:val="22"/>
            <w:u w:val="single"/>
            <w:lang w:val="en-AU" w:eastAsia="ko-KR"/>
          </w:rPr>
          <w:t>Women in NSW reports</w:t>
        </w:r>
      </w:hyperlink>
      <w:r w:rsidRPr="00772DDA">
        <w:rPr>
          <w:rFonts w:ascii="Calibri" w:eastAsia="Malgun Gothic" w:hAnsi="Calibri" w:cs="Times New Roman"/>
          <w:szCs w:val="22"/>
          <w:lang w:val="en-AU" w:eastAsia="ko-KR"/>
        </w:rPr>
        <w:t xml:space="preserve"> </w:t>
      </w:r>
    </w:p>
    <w:p w14:paraId="51A60DFE" w14:textId="0EEA6715" w:rsidR="00772DDA" w:rsidRPr="00772DDA" w:rsidRDefault="00772DDA" w:rsidP="00F116AB">
      <w:pPr>
        <w:numPr>
          <w:ilvl w:val="0"/>
          <w:numId w:val="48"/>
        </w:numPr>
        <w:spacing w:before="100" w:beforeAutospacing="1" w:after="100" w:afterAutospacing="1" w:line="240" w:lineRule="auto"/>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Australian Government</w:t>
      </w:r>
      <w:r w:rsidR="00EE33FC">
        <w:rPr>
          <w:rFonts w:ascii="Calibri" w:eastAsia="Malgun Gothic" w:hAnsi="Calibri" w:cs="Times New Roman"/>
          <w:szCs w:val="22"/>
          <w:lang w:val="en-AU" w:eastAsia="ko-KR"/>
        </w:rPr>
        <w:t>:</w:t>
      </w:r>
      <w:r w:rsidRPr="00772DDA">
        <w:rPr>
          <w:rFonts w:ascii="Calibri" w:eastAsia="Malgun Gothic" w:hAnsi="Calibri" w:cs="Times New Roman"/>
          <w:szCs w:val="22"/>
          <w:lang w:val="en-AU" w:eastAsia="ko-KR"/>
        </w:rPr>
        <w:t xml:space="preserve"> </w:t>
      </w:r>
    </w:p>
    <w:p w14:paraId="6A73B3D2" w14:textId="77777777" w:rsidR="00772DDA" w:rsidRPr="00772DDA" w:rsidRDefault="00991751" w:rsidP="00F116AB">
      <w:pPr>
        <w:numPr>
          <w:ilvl w:val="1"/>
          <w:numId w:val="48"/>
        </w:numPr>
        <w:spacing w:before="100" w:beforeAutospacing="1" w:after="100" w:afterAutospacing="1" w:line="240" w:lineRule="auto"/>
        <w:ind w:left="1094" w:hanging="357"/>
        <w:contextualSpacing/>
        <w:jc w:val="left"/>
        <w:rPr>
          <w:rFonts w:ascii="Calibri" w:eastAsia="Malgun Gothic" w:hAnsi="Calibri" w:cs="Times New Roman"/>
          <w:szCs w:val="22"/>
          <w:lang w:val="en-AU" w:eastAsia="ko-KR"/>
        </w:rPr>
      </w:pPr>
      <w:hyperlink r:id="rId153" w:history="1">
        <w:r w:rsidR="00772DDA" w:rsidRPr="00772DDA">
          <w:rPr>
            <w:rFonts w:ascii="Calibri" w:eastAsia="Malgun Gothic" w:hAnsi="Calibri" w:cs="Times New Roman"/>
            <w:color w:val="0000FF"/>
            <w:szCs w:val="22"/>
            <w:u w:val="single"/>
            <w:lang w:val="en-AU" w:eastAsia="ko-KR"/>
          </w:rPr>
          <w:t>Gender balance on Australian Government Boards reports</w:t>
        </w:r>
      </w:hyperlink>
    </w:p>
    <w:p w14:paraId="73C6645D" w14:textId="77777777" w:rsidR="00772DDA" w:rsidRPr="00772DDA" w:rsidRDefault="00991751" w:rsidP="00F116AB">
      <w:pPr>
        <w:numPr>
          <w:ilvl w:val="1"/>
          <w:numId w:val="48"/>
        </w:numPr>
        <w:spacing w:before="100" w:beforeAutospacing="1" w:after="100" w:afterAutospacing="1" w:line="240" w:lineRule="auto"/>
        <w:ind w:left="1094" w:hanging="357"/>
        <w:contextualSpacing/>
        <w:jc w:val="left"/>
        <w:rPr>
          <w:rFonts w:ascii="Calibri" w:eastAsia="Malgun Gothic" w:hAnsi="Calibri" w:cs="Times New Roman"/>
          <w:szCs w:val="22"/>
          <w:lang w:val="en-AU" w:eastAsia="ko-KR"/>
        </w:rPr>
      </w:pPr>
      <w:hyperlink r:id="rId154" w:history="1">
        <w:r w:rsidR="00772DDA" w:rsidRPr="00772DDA">
          <w:rPr>
            <w:rFonts w:ascii="Calibri" w:eastAsia="Malgun Gothic" w:hAnsi="Calibri" w:cs="Times New Roman"/>
            <w:color w:val="0000FF"/>
            <w:szCs w:val="22"/>
            <w:u w:val="single"/>
            <w:lang w:val="en-AU" w:eastAsia="ko-KR"/>
          </w:rPr>
          <w:t>A profile of Australian women in business</w:t>
        </w:r>
      </w:hyperlink>
    </w:p>
    <w:p w14:paraId="1D054544" w14:textId="77777777" w:rsidR="00772DDA" w:rsidRPr="00772DDA" w:rsidRDefault="00772DDA" w:rsidP="00F116AB">
      <w:pPr>
        <w:numPr>
          <w:ilvl w:val="0"/>
          <w:numId w:val="48"/>
        </w:numPr>
        <w:spacing w:before="100" w:beforeAutospacing="1" w:after="100" w:afterAutospacing="1" w:line="240" w:lineRule="auto"/>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Women’s Health Victoria, </w:t>
      </w:r>
      <w:hyperlink r:id="rId155" w:anchor="!/" w:history="1">
        <w:r w:rsidRPr="00772DDA">
          <w:rPr>
            <w:rFonts w:ascii="Calibri" w:eastAsia="Malgun Gothic" w:hAnsi="Calibri" w:cs="Times New Roman"/>
            <w:color w:val="0000FF"/>
            <w:szCs w:val="22"/>
            <w:u w:val="single"/>
            <w:lang w:val="en-AU" w:eastAsia="ko-KR"/>
          </w:rPr>
          <w:t>Victorian women’s health atlas</w:t>
        </w:r>
      </w:hyperlink>
      <w:r w:rsidRPr="00772DDA">
        <w:rPr>
          <w:rFonts w:ascii="Calibri" w:eastAsia="Malgun Gothic" w:hAnsi="Calibri" w:cs="Times New Roman"/>
          <w:szCs w:val="22"/>
          <w:lang w:val="en-AU" w:eastAsia="ko-KR"/>
        </w:rPr>
        <w:t xml:space="preserve"> </w:t>
      </w:r>
    </w:p>
    <w:p w14:paraId="6E3EF062" w14:textId="518150EB" w:rsidR="00772DDA" w:rsidRPr="00772DDA" w:rsidRDefault="00772DDA" w:rsidP="00F116AB">
      <w:pPr>
        <w:numPr>
          <w:ilvl w:val="0"/>
          <w:numId w:val="48"/>
        </w:numPr>
        <w:spacing w:before="100" w:beforeAutospacing="1" w:after="100" w:afterAutospacing="1" w:line="240" w:lineRule="auto"/>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UN, </w:t>
      </w:r>
      <w:hyperlink r:id="rId156" w:history="1">
        <w:r w:rsidRPr="00772DDA">
          <w:rPr>
            <w:rFonts w:ascii="Calibri" w:eastAsia="Malgun Gothic" w:hAnsi="Calibri" w:cs="Times New Roman"/>
            <w:color w:val="0000FF"/>
            <w:szCs w:val="22"/>
            <w:u w:val="single"/>
            <w:lang w:val="en-AU" w:eastAsia="ko-KR"/>
          </w:rPr>
          <w:t>Gender statistics</w:t>
        </w:r>
      </w:hyperlink>
      <w:r w:rsidR="00EE33FC">
        <w:rPr>
          <w:rFonts w:ascii="Calibri" w:eastAsia="Malgun Gothic" w:hAnsi="Calibri" w:cs="Times New Roman"/>
          <w:color w:val="0000FF"/>
          <w:szCs w:val="22"/>
          <w:u w:val="single"/>
          <w:lang w:val="en-AU" w:eastAsia="ko-KR"/>
        </w:rPr>
        <w:t>:</w:t>
      </w:r>
      <w:r w:rsidRPr="00772DDA">
        <w:rPr>
          <w:rFonts w:ascii="Calibri" w:eastAsia="Malgun Gothic" w:hAnsi="Calibri" w:cs="Times New Roman"/>
          <w:szCs w:val="22"/>
          <w:lang w:val="en-AU" w:eastAsia="ko-KR"/>
        </w:rPr>
        <w:t xml:space="preserve"> </w:t>
      </w:r>
    </w:p>
    <w:p w14:paraId="7F98BFA8" w14:textId="77777777" w:rsidR="00772DDA" w:rsidRPr="00772DDA" w:rsidRDefault="00772DDA" w:rsidP="00F116AB">
      <w:pPr>
        <w:numPr>
          <w:ilvl w:val="1"/>
          <w:numId w:val="48"/>
        </w:numPr>
        <w:spacing w:before="100" w:beforeAutospacing="1" w:after="100" w:afterAutospacing="1" w:line="240" w:lineRule="auto"/>
        <w:ind w:left="1094" w:hanging="357"/>
        <w:contextualSpacing/>
        <w:jc w:val="left"/>
        <w:rPr>
          <w:rFonts w:ascii="Calibri" w:eastAsia="Malgun Gothic" w:hAnsi="Calibri" w:cs="Times New Roman"/>
          <w:color w:val="0000FF"/>
          <w:szCs w:val="22"/>
          <w:u w:val="single"/>
          <w:lang w:val="en-AU" w:eastAsia="ko-KR"/>
        </w:rPr>
      </w:pPr>
      <w:r w:rsidRPr="00772DDA">
        <w:rPr>
          <w:rFonts w:ascii="Calibri" w:eastAsia="Malgun Gothic" w:hAnsi="Calibri" w:cs="Times New Roman"/>
          <w:szCs w:val="22"/>
          <w:lang w:val="en-AU" w:eastAsia="ko-KR"/>
        </w:rPr>
        <w:fldChar w:fldCharType="begin"/>
      </w:r>
      <w:r w:rsidRPr="00772DDA">
        <w:rPr>
          <w:rFonts w:ascii="Calibri" w:eastAsia="Malgun Gothic" w:hAnsi="Calibri" w:cs="Times New Roman"/>
          <w:szCs w:val="22"/>
          <w:lang w:val="en-AU" w:eastAsia="ko-KR"/>
        </w:rPr>
        <w:instrText xml:space="preserve"> HYPERLINK "https://unstats.un.org/unsd/demographic-social/Standards-and-Methods/files/Handbooks/gender/Integrating-a-Gender-Perspective-into-Statistics-E.pdf" </w:instrText>
      </w:r>
      <w:r w:rsidRPr="00772DDA">
        <w:rPr>
          <w:rFonts w:ascii="Calibri" w:eastAsia="Malgun Gothic" w:hAnsi="Calibri" w:cs="Times New Roman"/>
          <w:szCs w:val="22"/>
          <w:lang w:val="en-AU" w:eastAsia="ko-KR"/>
        </w:rPr>
        <w:fldChar w:fldCharType="separate"/>
      </w:r>
      <w:r w:rsidRPr="00772DDA">
        <w:rPr>
          <w:rFonts w:ascii="Calibri" w:eastAsia="Malgun Gothic" w:hAnsi="Calibri" w:cs="Times New Roman"/>
          <w:color w:val="0000FF"/>
          <w:szCs w:val="22"/>
          <w:u w:val="single"/>
          <w:lang w:val="en-AU" w:eastAsia="ko-KR"/>
        </w:rPr>
        <w:t>Integrating a gender perspective into statistics</w:t>
      </w:r>
    </w:p>
    <w:p w14:paraId="21FD8B24" w14:textId="77777777" w:rsidR="00772DDA" w:rsidRPr="00772DDA" w:rsidRDefault="00772DDA" w:rsidP="00F116AB">
      <w:pPr>
        <w:numPr>
          <w:ilvl w:val="1"/>
          <w:numId w:val="48"/>
        </w:numPr>
        <w:spacing w:before="100" w:beforeAutospacing="1" w:after="100" w:afterAutospacing="1" w:line="240" w:lineRule="auto"/>
        <w:ind w:left="1094" w:hanging="357"/>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fldChar w:fldCharType="end"/>
      </w:r>
      <w:hyperlink r:id="rId157" w:history="1">
        <w:r w:rsidRPr="00772DDA">
          <w:rPr>
            <w:rFonts w:ascii="Calibri" w:eastAsia="Malgun Gothic" w:hAnsi="Calibri" w:cs="Times New Roman"/>
            <w:color w:val="0000FF"/>
            <w:szCs w:val="22"/>
            <w:u w:val="single"/>
            <w:lang w:val="en-AU" w:eastAsia="ko-KR"/>
          </w:rPr>
          <w:t>Guidelines on producing statistics on violence against women</w:t>
        </w:r>
      </w:hyperlink>
    </w:p>
    <w:p w14:paraId="16CFA857" w14:textId="77777777" w:rsidR="00772DDA" w:rsidRPr="00772DDA" w:rsidRDefault="00991751" w:rsidP="00F116AB">
      <w:pPr>
        <w:numPr>
          <w:ilvl w:val="1"/>
          <w:numId w:val="48"/>
        </w:numPr>
        <w:spacing w:before="100" w:beforeAutospacing="1" w:after="100" w:afterAutospacing="1" w:line="240" w:lineRule="auto"/>
        <w:ind w:left="1094" w:hanging="357"/>
        <w:contextualSpacing/>
        <w:jc w:val="left"/>
        <w:rPr>
          <w:rFonts w:ascii="Calibri" w:eastAsia="Malgun Gothic" w:hAnsi="Calibri" w:cs="Times New Roman"/>
          <w:szCs w:val="22"/>
          <w:lang w:val="en-AU" w:eastAsia="ko-KR"/>
        </w:rPr>
      </w:pPr>
      <w:hyperlink r:id="rId158" w:history="1">
        <w:r w:rsidR="00772DDA" w:rsidRPr="00772DDA">
          <w:rPr>
            <w:rFonts w:ascii="Calibri" w:eastAsia="Malgun Gothic" w:hAnsi="Calibri" w:cs="Times New Roman"/>
            <w:color w:val="0000FF"/>
            <w:szCs w:val="22"/>
            <w:u w:val="single"/>
            <w:lang w:val="en-AU" w:eastAsia="ko-KR"/>
          </w:rPr>
          <w:t>Time use statistics</w:t>
        </w:r>
      </w:hyperlink>
    </w:p>
    <w:p w14:paraId="3779D74A" w14:textId="77777777" w:rsidR="00772DDA" w:rsidRPr="00772DDA" w:rsidRDefault="00991751" w:rsidP="00F116AB">
      <w:pPr>
        <w:numPr>
          <w:ilvl w:val="1"/>
          <w:numId w:val="48"/>
        </w:numPr>
        <w:spacing w:before="100" w:beforeAutospacing="1" w:after="100" w:afterAutospacing="1" w:line="240" w:lineRule="auto"/>
        <w:ind w:left="1094" w:hanging="357"/>
        <w:contextualSpacing/>
        <w:jc w:val="left"/>
        <w:rPr>
          <w:rFonts w:ascii="Calibri" w:eastAsia="Malgun Gothic" w:hAnsi="Calibri" w:cs="Times New Roman"/>
          <w:szCs w:val="22"/>
          <w:lang w:val="en-AU" w:eastAsia="ko-KR"/>
        </w:rPr>
      </w:pPr>
      <w:hyperlink r:id="rId159" w:history="1">
        <w:r w:rsidR="00772DDA" w:rsidRPr="00772DDA">
          <w:rPr>
            <w:rFonts w:ascii="Calibri" w:eastAsia="Malgun Gothic" w:hAnsi="Calibri" w:cs="Times New Roman"/>
            <w:color w:val="0000FF"/>
            <w:szCs w:val="22"/>
            <w:u w:val="single"/>
            <w:lang w:val="en-AU" w:eastAsia="ko-KR"/>
          </w:rPr>
          <w:t>Minimum set of gender indicators</w:t>
        </w:r>
      </w:hyperlink>
    </w:p>
    <w:p w14:paraId="584508E0" w14:textId="43C8B060" w:rsidR="00772DDA" w:rsidRPr="00772DDA" w:rsidRDefault="00772DDA" w:rsidP="00F116AB">
      <w:pPr>
        <w:numPr>
          <w:ilvl w:val="0"/>
          <w:numId w:val="48"/>
        </w:numPr>
        <w:spacing w:before="100" w:beforeAutospacing="1" w:after="100" w:afterAutospacing="1" w:line="240" w:lineRule="auto"/>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World Bank</w:t>
      </w:r>
      <w:r w:rsidR="00EE33FC">
        <w:rPr>
          <w:rFonts w:ascii="Calibri" w:eastAsia="Malgun Gothic" w:hAnsi="Calibri" w:cs="Times New Roman"/>
          <w:szCs w:val="22"/>
          <w:lang w:val="en-AU" w:eastAsia="ko-KR"/>
        </w:rPr>
        <w:t>:</w:t>
      </w:r>
      <w:r w:rsidRPr="00772DDA">
        <w:rPr>
          <w:rFonts w:ascii="Calibri" w:eastAsia="Malgun Gothic" w:hAnsi="Calibri" w:cs="Times New Roman"/>
          <w:szCs w:val="22"/>
          <w:lang w:val="en-AU" w:eastAsia="ko-KR"/>
        </w:rPr>
        <w:t xml:space="preserve"> </w:t>
      </w:r>
    </w:p>
    <w:p w14:paraId="6B724ECA" w14:textId="77777777" w:rsidR="00772DDA" w:rsidRPr="00772DDA" w:rsidRDefault="00772DDA" w:rsidP="00F116AB">
      <w:pPr>
        <w:numPr>
          <w:ilvl w:val="1"/>
          <w:numId w:val="48"/>
        </w:numPr>
        <w:spacing w:before="100" w:beforeAutospacing="1" w:after="100" w:afterAutospacing="1" w:line="240" w:lineRule="auto"/>
        <w:ind w:left="1094" w:hanging="357"/>
        <w:contextualSpacing/>
        <w:jc w:val="left"/>
        <w:rPr>
          <w:rFonts w:ascii="Calibri" w:eastAsia="Malgun Gothic" w:hAnsi="Calibri" w:cs="Times New Roman"/>
          <w:color w:val="0000FF"/>
          <w:szCs w:val="22"/>
          <w:u w:val="single"/>
          <w:lang w:val="en-AU" w:eastAsia="ko-KR"/>
        </w:rPr>
      </w:pPr>
      <w:r w:rsidRPr="00772DDA">
        <w:rPr>
          <w:rFonts w:ascii="Calibri" w:eastAsia="Malgun Gothic" w:hAnsi="Calibri" w:cs="Times New Roman"/>
          <w:szCs w:val="22"/>
          <w:lang w:val="en-AU" w:eastAsia="ko-KR"/>
        </w:rPr>
        <w:fldChar w:fldCharType="begin"/>
      </w:r>
      <w:r w:rsidRPr="00772DDA">
        <w:rPr>
          <w:rFonts w:ascii="Calibri" w:eastAsia="Malgun Gothic" w:hAnsi="Calibri" w:cs="Times New Roman"/>
          <w:szCs w:val="22"/>
          <w:lang w:val="en-AU" w:eastAsia="ko-KR"/>
        </w:rPr>
        <w:instrText xml:space="preserve"> HYPERLINK "https://datacatalog.worldbank.org/dataset/gender-statistics" </w:instrText>
      </w:r>
      <w:r w:rsidRPr="00772DDA">
        <w:rPr>
          <w:rFonts w:ascii="Calibri" w:eastAsia="Malgun Gothic" w:hAnsi="Calibri" w:cs="Times New Roman"/>
          <w:szCs w:val="22"/>
          <w:lang w:val="en-AU" w:eastAsia="ko-KR"/>
        </w:rPr>
        <w:fldChar w:fldCharType="separate"/>
      </w:r>
      <w:r w:rsidRPr="00772DDA">
        <w:rPr>
          <w:rFonts w:ascii="Calibri" w:eastAsia="Malgun Gothic" w:hAnsi="Calibri" w:cs="Times New Roman"/>
          <w:color w:val="0000FF"/>
          <w:szCs w:val="22"/>
          <w:u w:val="single"/>
          <w:lang w:val="en-AU" w:eastAsia="ko-KR"/>
        </w:rPr>
        <w:t>Gender statistics database</w:t>
      </w:r>
    </w:p>
    <w:p w14:paraId="1B459E49" w14:textId="77777777" w:rsidR="00772DDA" w:rsidRPr="00772DDA" w:rsidRDefault="00772DDA" w:rsidP="00F116AB">
      <w:pPr>
        <w:numPr>
          <w:ilvl w:val="1"/>
          <w:numId w:val="48"/>
        </w:numPr>
        <w:spacing w:before="100" w:beforeAutospacing="1" w:after="100" w:afterAutospacing="1" w:line="240" w:lineRule="auto"/>
        <w:ind w:left="1094" w:hanging="357"/>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fldChar w:fldCharType="end"/>
      </w:r>
      <w:hyperlink r:id="rId160" w:history="1">
        <w:r w:rsidRPr="00772DDA">
          <w:rPr>
            <w:rFonts w:ascii="Calibri" w:eastAsia="Malgun Gothic" w:hAnsi="Calibri" w:cs="Times New Roman"/>
            <w:color w:val="0000FF"/>
            <w:szCs w:val="22"/>
            <w:u w:val="single"/>
            <w:lang w:val="en-AU" w:eastAsia="ko-KR"/>
          </w:rPr>
          <w:t>Gender data portal</w:t>
        </w:r>
      </w:hyperlink>
      <w:r w:rsidRPr="00772DDA">
        <w:rPr>
          <w:rFonts w:ascii="Calibri" w:eastAsia="Malgun Gothic" w:hAnsi="Calibri" w:cs="Times New Roman"/>
          <w:szCs w:val="22"/>
          <w:lang w:val="en-AU" w:eastAsia="ko-KR"/>
        </w:rPr>
        <w:t xml:space="preserve">  </w:t>
      </w:r>
    </w:p>
    <w:p w14:paraId="58D61695" w14:textId="77777777" w:rsidR="00772DDA" w:rsidRPr="00772DDA" w:rsidRDefault="00991751" w:rsidP="00F116AB">
      <w:pPr>
        <w:numPr>
          <w:ilvl w:val="1"/>
          <w:numId w:val="48"/>
        </w:numPr>
        <w:spacing w:before="100" w:beforeAutospacing="1" w:after="100" w:afterAutospacing="1" w:line="240" w:lineRule="auto"/>
        <w:ind w:left="1094" w:hanging="357"/>
        <w:contextualSpacing/>
        <w:jc w:val="left"/>
        <w:rPr>
          <w:rFonts w:ascii="Calibri" w:eastAsia="Malgun Gothic" w:hAnsi="Calibri" w:cs="Times New Roman"/>
          <w:szCs w:val="22"/>
          <w:lang w:val="en-AU" w:eastAsia="ko-KR"/>
        </w:rPr>
      </w:pPr>
      <w:hyperlink r:id="rId161" w:history="1">
        <w:r w:rsidR="00772DDA" w:rsidRPr="00772DDA">
          <w:rPr>
            <w:rFonts w:ascii="Calibri" w:eastAsia="Malgun Gothic" w:hAnsi="Calibri" w:cs="Times New Roman"/>
            <w:color w:val="0000FF"/>
            <w:szCs w:val="22"/>
            <w:u w:val="single"/>
            <w:lang w:val="en-AU" w:eastAsia="ko-KR"/>
          </w:rPr>
          <w:t>The little data book on gender</w:t>
        </w:r>
      </w:hyperlink>
      <w:r w:rsidR="00772DDA" w:rsidRPr="00772DDA">
        <w:rPr>
          <w:rFonts w:ascii="Calibri" w:eastAsia="Malgun Gothic" w:hAnsi="Calibri" w:cs="Times New Roman"/>
          <w:szCs w:val="22"/>
          <w:lang w:val="en-AU" w:eastAsia="ko-KR"/>
        </w:rPr>
        <w:t xml:space="preserve"> </w:t>
      </w:r>
    </w:p>
    <w:p w14:paraId="282D3795" w14:textId="77777777" w:rsidR="00772DDA" w:rsidRPr="00772DDA" w:rsidRDefault="00772DDA" w:rsidP="00F116AB">
      <w:pPr>
        <w:numPr>
          <w:ilvl w:val="0"/>
          <w:numId w:val="48"/>
        </w:numPr>
        <w:spacing w:before="100" w:beforeAutospacing="1" w:after="100" w:afterAutospacing="1" w:line="240" w:lineRule="auto"/>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UN Economic Commission for Europe (UNECE), </w:t>
      </w:r>
      <w:hyperlink r:id="rId162" w:history="1">
        <w:r w:rsidRPr="00772DDA">
          <w:rPr>
            <w:rFonts w:ascii="Calibri" w:eastAsia="Malgun Gothic" w:hAnsi="Calibri" w:cs="Times New Roman"/>
            <w:color w:val="0000FF"/>
            <w:szCs w:val="22"/>
            <w:u w:val="single"/>
            <w:lang w:val="en-AU" w:eastAsia="ko-KR"/>
          </w:rPr>
          <w:t>Gender statistics</w:t>
        </w:r>
      </w:hyperlink>
      <w:r w:rsidRPr="00772DDA">
        <w:rPr>
          <w:rFonts w:ascii="Calibri" w:eastAsia="Malgun Gothic" w:hAnsi="Calibri" w:cs="Times New Roman"/>
          <w:szCs w:val="22"/>
          <w:lang w:val="en-AU" w:eastAsia="ko-KR"/>
        </w:rPr>
        <w:t xml:space="preserve"> </w:t>
      </w:r>
    </w:p>
    <w:p w14:paraId="69BA26B8" w14:textId="77777777" w:rsidR="00772DDA" w:rsidRPr="00772DDA" w:rsidRDefault="00772DDA" w:rsidP="00F116AB">
      <w:pPr>
        <w:numPr>
          <w:ilvl w:val="0"/>
          <w:numId w:val="48"/>
        </w:numPr>
        <w:spacing w:before="100" w:beforeAutospacing="1" w:after="100" w:afterAutospacing="1" w:line="240" w:lineRule="auto"/>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Food and Agriculture Organization of the UN, </w:t>
      </w:r>
      <w:hyperlink r:id="rId163" w:history="1">
        <w:r w:rsidRPr="00772DDA">
          <w:rPr>
            <w:rFonts w:ascii="Calibri" w:eastAsia="Malgun Gothic" w:hAnsi="Calibri" w:cs="Times New Roman"/>
            <w:color w:val="0000FF"/>
            <w:szCs w:val="22"/>
            <w:u w:val="single"/>
            <w:lang w:val="en-AU" w:eastAsia="ko-KR"/>
          </w:rPr>
          <w:t>Agri-Gender statistics toolkit</w:t>
        </w:r>
      </w:hyperlink>
      <w:r w:rsidRPr="00772DDA">
        <w:rPr>
          <w:rFonts w:ascii="Calibri" w:eastAsia="Malgun Gothic" w:hAnsi="Calibri" w:cs="Times New Roman"/>
          <w:szCs w:val="22"/>
          <w:lang w:val="en-AU" w:eastAsia="ko-KR"/>
        </w:rPr>
        <w:t xml:space="preserve"> </w:t>
      </w:r>
    </w:p>
    <w:p w14:paraId="256C47A6" w14:textId="3393A1D7" w:rsidR="00772DDA" w:rsidRPr="00772DDA" w:rsidRDefault="00772DDA" w:rsidP="00F116AB">
      <w:pPr>
        <w:numPr>
          <w:ilvl w:val="0"/>
          <w:numId w:val="48"/>
        </w:numPr>
        <w:spacing w:before="100" w:beforeAutospacing="1" w:after="100" w:afterAutospacing="1" w:line="240" w:lineRule="auto"/>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OECD</w:t>
      </w:r>
      <w:r w:rsidR="00EE33FC">
        <w:rPr>
          <w:rFonts w:ascii="Calibri" w:eastAsia="Malgun Gothic" w:hAnsi="Calibri" w:cs="Times New Roman"/>
          <w:szCs w:val="22"/>
          <w:lang w:val="en-AU" w:eastAsia="ko-KR"/>
        </w:rPr>
        <w:t>:</w:t>
      </w:r>
      <w:r w:rsidRPr="00772DDA">
        <w:rPr>
          <w:rFonts w:ascii="Calibri" w:eastAsia="Malgun Gothic" w:hAnsi="Calibri" w:cs="Times New Roman"/>
          <w:szCs w:val="22"/>
          <w:lang w:val="en-AU" w:eastAsia="ko-KR"/>
        </w:rPr>
        <w:t xml:space="preserve"> </w:t>
      </w:r>
    </w:p>
    <w:p w14:paraId="460566DF" w14:textId="77777777" w:rsidR="00772DDA" w:rsidRPr="00772DDA" w:rsidRDefault="00991751" w:rsidP="00F116AB">
      <w:pPr>
        <w:numPr>
          <w:ilvl w:val="1"/>
          <w:numId w:val="48"/>
        </w:numPr>
        <w:spacing w:before="100" w:beforeAutospacing="1" w:after="100" w:afterAutospacing="1" w:line="240" w:lineRule="auto"/>
        <w:ind w:left="1094" w:hanging="357"/>
        <w:contextualSpacing/>
        <w:jc w:val="left"/>
        <w:rPr>
          <w:rFonts w:ascii="Calibri" w:eastAsia="Malgun Gothic" w:hAnsi="Calibri" w:cs="Times New Roman"/>
          <w:szCs w:val="22"/>
          <w:lang w:val="en-AU" w:eastAsia="ko-KR"/>
        </w:rPr>
      </w:pPr>
      <w:hyperlink r:id="rId164" w:history="1">
        <w:r w:rsidR="00772DDA" w:rsidRPr="00772DDA">
          <w:rPr>
            <w:rFonts w:ascii="Calibri" w:eastAsia="Malgun Gothic" w:hAnsi="Calibri" w:cs="Times New Roman"/>
            <w:color w:val="0000FF"/>
            <w:szCs w:val="22"/>
            <w:u w:val="single"/>
            <w:lang w:val="en-AU" w:eastAsia="ko-KR"/>
          </w:rPr>
          <w:t>Social Institutions and Gender Index</w:t>
        </w:r>
      </w:hyperlink>
      <w:r w:rsidR="00772DDA" w:rsidRPr="00772DDA">
        <w:rPr>
          <w:rFonts w:ascii="Calibri" w:eastAsia="Malgun Gothic" w:hAnsi="Calibri" w:cs="Times New Roman"/>
          <w:szCs w:val="22"/>
          <w:lang w:val="en-AU" w:eastAsia="ko-KR"/>
        </w:rPr>
        <w:t xml:space="preserve">,   </w:t>
      </w:r>
    </w:p>
    <w:p w14:paraId="5848625C" w14:textId="77777777" w:rsidR="00772DDA" w:rsidRPr="00772DDA" w:rsidRDefault="00991751" w:rsidP="00F116AB">
      <w:pPr>
        <w:numPr>
          <w:ilvl w:val="1"/>
          <w:numId w:val="48"/>
        </w:numPr>
        <w:spacing w:before="100" w:beforeAutospacing="1" w:after="100" w:afterAutospacing="1" w:line="240" w:lineRule="auto"/>
        <w:ind w:left="1094" w:hanging="357"/>
        <w:contextualSpacing/>
        <w:jc w:val="left"/>
        <w:rPr>
          <w:rFonts w:ascii="Calibri" w:eastAsia="Malgun Gothic" w:hAnsi="Calibri" w:cs="Times New Roman"/>
          <w:szCs w:val="22"/>
          <w:lang w:val="en-AU" w:eastAsia="ko-KR"/>
        </w:rPr>
      </w:pPr>
      <w:hyperlink r:id="rId165" w:history="1">
        <w:r w:rsidR="00772DDA" w:rsidRPr="00772DDA">
          <w:rPr>
            <w:rFonts w:ascii="Calibri" w:eastAsia="Malgun Gothic" w:hAnsi="Calibri" w:cs="Times New Roman"/>
            <w:color w:val="0000FF"/>
            <w:szCs w:val="22"/>
            <w:u w:val="single"/>
            <w:lang w:val="en-AU" w:eastAsia="ko-KR"/>
          </w:rPr>
          <w:t>Gender data portal</w:t>
        </w:r>
      </w:hyperlink>
    </w:p>
    <w:p w14:paraId="6BF24C18" w14:textId="77777777" w:rsidR="00772DDA" w:rsidRPr="00772DDA" w:rsidRDefault="00772DDA" w:rsidP="00F116AB">
      <w:pPr>
        <w:numPr>
          <w:ilvl w:val="1"/>
          <w:numId w:val="48"/>
        </w:numPr>
        <w:spacing w:before="100" w:beforeAutospacing="1" w:after="100" w:afterAutospacing="1" w:line="240" w:lineRule="auto"/>
        <w:ind w:left="1094" w:hanging="357"/>
        <w:contextualSpacing/>
        <w:jc w:val="left"/>
        <w:rPr>
          <w:rFonts w:ascii="Calibri" w:eastAsia="Malgun Gothic" w:hAnsi="Calibri" w:cs="Times New Roman"/>
          <w:color w:val="0000FF"/>
          <w:szCs w:val="22"/>
          <w:u w:val="single"/>
          <w:lang w:val="en-AU" w:eastAsia="ko-KR"/>
        </w:rPr>
      </w:pPr>
      <w:r w:rsidRPr="00772DDA">
        <w:rPr>
          <w:rFonts w:ascii="Calibri" w:eastAsia="Malgun Gothic" w:hAnsi="Calibri" w:cs="Times New Roman"/>
          <w:szCs w:val="22"/>
          <w:lang w:val="en-AU" w:eastAsia="ko-KR"/>
        </w:rPr>
        <w:fldChar w:fldCharType="begin"/>
      </w:r>
      <w:r w:rsidRPr="00772DDA">
        <w:rPr>
          <w:rFonts w:ascii="Calibri" w:eastAsia="Malgun Gothic" w:hAnsi="Calibri" w:cs="Times New Roman"/>
          <w:szCs w:val="22"/>
          <w:lang w:val="en-AU" w:eastAsia="ko-KR"/>
        </w:rPr>
        <w:instrText xml:space="preserve"> HYPERLINK "http://www.oecd.org/dac/gender-development/43041409.pdf" </w:instrText>
      </w:r>
      <w:r w:rsidRPr="00772DDA">
        <w:rPr>
          <w:rFonts w:ascii="Calibri" w:eastAsia="Malgun Gothic" w:hAnsi="Calibri" w:cs="Times New Roman"/>
          <w:szCs w:val="22"/>
          <w:lang w:val="en-AU" w:eastAsia="ko-KR"/>
        </w:rPr>
        <w:fldChar w:fldCharType="separate"/>
      </w:r>
      <w:r w:rsidRPr="00772DDA">
        <w:rPr>
          <w:rFonts w:ascii="Calibri" w:eastAsia="Malgun Gothic" w:hAnsi="Calibri" w:cs="Times New Roman"/>
          <w:color w:val="0000FF"/>
          <w:szCs w:val="22"/>
          <w:u w:val="single"/>
          <w:lang w:val="en-AU" w:eastAsia="ko-KR"/>
        </w:rPr>
        <w:t>Gender indicators: what, why and how</w:t>
      </w:r>
    </w:p>
    <w:p w14:paraId="495E2B68" w14:textId="77777777" w:rsidR="00772DDA" w:rsidRPr="00772DDA" w:rsidRDefault="00772DDA" w:rsidP="00F116AB">
      <w:pPr>
        <w:numPr>
          <w:ilvl w:val="0"/>
          <w:numId w:val="48"/>
        </w:numPr>
        <w:spacing w:before="100" w:beforeAutospacing="1" w:after="100" w:afterAutospacing="1" w:line="240" w:lineRule="auto"/>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fldChar w:fldCharType="end"/>
      </w:r>
      <w:r w:rsidRPr="00772DDA">
        <w:rPr>
          <w:rFonts w:ascii="Calibri" w:eastAsia="Malgun Gothic" w:hAnsi="Calibri" w:cs="Times New Roman"/>
          <w:szCs w:val="22"/>
          <w:lang w:val="en-AU" w:eastAsia="ko-KR"/>
        </w:rPr>
        <w:t xml:space="preserve">EUROSTAT, </w:t>
      </w:r>
      <w:hyperlink r:id="rId166" w:history="1">
        <w:r w:rsidRPr="00772DDA">
          <w:rPr>
            <w:rFonts w:ascii="Calibri" w:eastAsia="Malgun Gothic" w:hAnsi="Calibri" w:cs="Times New Roman"/>
            <w:color w:val="0000FF"/>
            <w:szCs w:val="22"/>
            <w:u w:val="single"/>
            <w:lang w:val="en-AU" w:eastAsia="ko-KR"/>
          </w:rPr>
          <w:t>Gender statistics</w:t>
        </w:r>
      </w:hyperlink>
      <w:r w:rsidRPr="00772DDA">
        <w:rPr>
          <w:rFonts w:ascii="Calibri" w:eastAsia="Malgun Gothic" w:hAnsi="Calibri" w:cs="Times New Roman"/>
          <w:szCs w:val="22"/>
          <w:lang w:val="en-AU" w:eastAsia="ko-KR"/>
        </w:rPr>
        <w:t xml:space="preserve"> </w:t>
      </w:r>
    </w:p>
    <w:p w14:paraId="45ABF94B" w14:textId="77777777" w:rsidR="00EE33FC" w:rsidRDefault="00EE33FC" w:rsidP="00F116AB">
      <w:pPr>
        <w:numPr>
          <w:ilvl w:val="0"/>
          <w:numId w:val="48"/>
        </w:numPr>
        <w:spacing w:before="100" w:beforeAutospacing="1" w:after="100" w:afterAutospacing="1" w:line="240" w:lineRule="auto"/>
        <w:contextualSpacing/>
        <w:jc w:val="left"/>
        <w:rPr>
          <w:rFonts w:ascii="Calibri" w:eastAsia="Malgun Gothic" w:hAnsi="Calibri" w:cs="Times New Roman"/>
          <w:szCs w:val="22"/>
          <w:lang w:val="en-AU" w:eastAsia="ko-KR"/>
        </w:rPr>
      </w:pPr>
      <w:r>
        <w:rPr>
          <w:rFonts w:ascii="Calibri" w:eastAsia="Malgun Gothic" w:hAnsi="Calibri" w:cs="Times New Roman"/>
          <w:szCs w:val="22"/>
          <w:lang w:val="en-AU" w:eastAsia="ko-KR"/>
        </w:rPr>
        <w:t>UNDP:</w:t>
      </w:r>
    </w:p>
    <w:p w14:paraId="3CB403D5" w14:textId="582A8017" w:rsidR="00772DDA" w:rsidRPr="00EE33FC" w:rsidRDefault="00772DDA" w:rsidP="00F116AB">
      <w:pPr>
        <w:pStyle w:val="ListParagraph"/>
        <w:numPr>
          <w:ilvl w:val="1"/>
          <w:numId w:val="48"/>
        </w:numPr>
        <w:spacing w:before="100" w:beforeAutospacing="1" w:after="100" w:afterAutospacing="1" w:line="240" w:lineRule="auto"/>
        <w:ind w:left="1094" w:hanging="357"/>
        <w:jc w:val="left"/>
        <w:rPr>
          <w:rFonts w:ascii="Calibri" w:eastAsia="Malgun Gothic" w:hAnsi="Calibri" w:cs="Times New Roman"/>
          <w:szCs w:val="22"/>
          <w:lang w:val="en-AU" w:eastAsia="ko-KR"/>
        </w:rPr>
      </w:pPr>
      <w:r w:rsidRPr="00EE33FC">
        <w:rPr>
          <w:rFonts w:ascii="Calibri" w:eastAsia="Malgun Gothic" w:hAnsi="Calibri" w:cs="Times New Roman"/>
          <w:szCs w:val="22"/>
          <w:lang w:val="en-AU" w:eastAsia="ko-KR"/>
        </w:rPr>
        <w:t xml:space="preserve"> </w:t>
      </w:r>
      <w:hyperlink r:id="rId167" w:history="1">
        <w:r w:rsidRPr="00EE33FC">
          <w:rPr>
            <w:rFonts w:ascii="Calibri" w:eastAsia="Malgun Gothic" w:hAnsi="Calibri" w:cs="Times New Roman"/>
            <w:color w:val="0000FF"/>
            <w:szCs w:val="22"/>
            <w:u w:val="single"/>
            <w:lang w:val="en-AU" w:eastAsia="ko-KR"/>
          </w:rPr>
          <w:t>Human development reports</w:t>
        </w:r>
      </w:hyperlink>
      <w:r w:rsidRPr="00EE33FC">
        <w:rPr>
          <w:rFonts w:ascii="Calibri" w:eastAsia="Malgun Gothic" w:hAnsi="Calibri" w:cs="Times New Roman"/>
          <w:szCs w:val="22"/>
          <w:lang w:val="en-AU" w:eastAsia="ko-KR"/>
        </w:rPr>
        <w:t xml:space="preserve"> </w:t>
      </w:r>
    </w:p>
    <w:p w14:paraId="6103CE0E" w14:textId="77777777" w:rsidR="00772DDA" w:rsidRPr="00772DDA" w:rsidRDefault="00991751" w:rsidP="00F116AB">
      <w:pPr>
        <w:numPr>
          <w:ilvl w:val="1"/>
          <w:numId w:val="48"/>
        </w:numPr>
        <w:spacing w:before="100" w:beforeAutospacing="1" w:after="100" w:afterAutospacing="1" w:line="240" w:lineRule="auto"/>
        <w:ind w:left="1094" w:hanging="357"/>
        <w:contextualSpacing/>
        <w:jc w:val="left"/>
        <w:rPr>
          <w:rFonts w:ascii="Calibri" w:eastAsia="Malgun Gothic" w:hAnsi="Calibri" w:cs="Times New Roman"/>
          <w:szCs w:val="22"/>
          <w:lang w:val="en-AU" w:eastAsia="ko-KR"/>
        </w:rPr>
      </w:pPr>
      <w:hyperlink r:id="rId168" w:history="1">
        <w:r w:rsidR="00772DDA" w:rsidRPr="00772DDA">
          <w:rPr>
            <w:rFonts w:ascii="Calibri" w:eastAsia="Malgun Gothic" w:hAnsi="Calibri" w:cs="Times New Roman"/>
            <w:color w:val="0000FF"/>
            <w:szCs w:val="22"/>
            <w:u w:val="single"/>
            <w:lang w:val="en-AU" w:eastAsia="ko-KR"/>
          </w:rPr>
          <w:t>Gender development index</w:t>
        </w:r>
      </w:hyperlink>
    </w:p>
    <w:p w14:paraId="6A04DA75" w14:textId="77777777" w:rsidR="00772DDA" w:rsidRPr="00772DDA" w:rsidRDefault="00991751" w:rsidP="00F116AB">
      <w:pPr>
        <w:numPr>
          <w:ilvl w:val="1"/>
          <w:numId w:val="48"/>
        </w:numPr>
        <w:spacing w:before="100" w:beforeAutospacing="1" w:after="100" w:afterAutospacing="1" w:line="240" w:lineRule="auto"/>
        <w:ind w:left="1094" w:hanging="357"/>
        <w:contextualSpacing/>
        <w:jc w:val="left"/>
        <w:rPr>
          <w:rFonts w:ascii="Calibri" w:eastAsia="Malgun Gothic" w:hAnsi="Calibri" w:cs="Times New Roman"/>
          <w:szCs w:val="22"/>
          <w:lang w:val="en-AU" w:eastAsia="ko-KR"/>
        </w:rPr>
      </w:pPr>
      <w:hyperlink r:id="rId169" w:history="1">
        <w:r w:rsidR="00772DDA" w:rsidRPr="00772DDA">
          <w:rPr>
            <w:rFonts w:ascii="Calibri" w:eastAsia="Malgun Gothic" w:hAnsi="Calibri" w:cs="Times New Roman"/>
            <w:color w:val="0000FF"/>
            <w:szCs w:val="22"/>
            <w:u w:val="single"/>
            <w:lang w:val="en-AU" w:eastAsia="ko-KR"/>
          </w:rPr>
          <w:t>Gender inequality index</w:t>
        </w:r>
      </w:hyperlink>
    </w:p>
    <w:p w14:paraId="573D9F82" w14:textId="77777777" w:rsidR="00772DDA" w:rsidRPr="00772DDA" w:rsidRDefault="00991751" w:rsidP="00F116AB">
      <w:pPr>
        <w:numPr>
          <w:ilvl w:val="1"/>
          <w:numId w:val="48"/>
        </w:numPr>
        <w:spacing w:before="100" w:beforeAutospacing="1" w:after="100" w:afterAutospacing="1" w:line="240" w:lineRule="auto"/>
        <w:ind w:left="1094" w:hanging="357"/>
        <w:contextualSpacing/>
        <w:jc w:val="left"/>
        <w:rPr>
          <w:rFonts w:ascii="Calibri" w:eastAsia="Malgun Gothic" w:hAnsi="Calibri" w:cs="Times New Roman"/>
          <w:szCs w:val="22"/>
          <w:lang w:val="en-AU" w:eastAsia="ko-KR"/>
        </w:rPr>
      </w:pPr>
      <w:hyperlink r:id="rId170" w:history="1">
        <w:r w:rsidR="00772DDA" w:rsidRPr="00772DDA">
          <w:rPr>
            <w:rFonts w:ascii="Calibri" w:eastAsia="Malgun Gothic" w:hAnsi="Calibri" w:cs="Times New Roman"/>
            <w:color w:val="0000FF"/>
            <w:szCs w:val="22"/>
            <w:u w:val="single"/>
            <w:lang w:val="en-AU" w:eastAsia="ko-KR"/>
          </w:rPr>
          <w:t>Life-course gender gap</w:t>
        </w:r>
      </w:hyperlink>
      <w:r w:rsidR="00772DDA" w:rsidRPr="00772DDA">
        <w:rPr>
          <w:rFonts w:ascii="Calibri" w:eastAsia="Malgun Gothic" w:hAnsi="Calibri" w:cs="Times New Roman"/>
          <w:szCs w:val="22"/>
          <w:lang w:val="en-AU" w:eastAsia="ko-KR"/>
        </w:rPr>
        <w:t xml:space="preserve"> </w:t>
      </w:r>
    </w:p>
    <w:p w14:paraId="721D125E" w14:textId="77777777" w:rsidR="00772DDA" w:rsidRPr="00772DDA" w:rsidRDefault="00772DDA" w:rsidP="00F116AB">
      <w:pPr>
        <w:numPr>
          <w:ilvl w:val="0"/>
          <w:numId w:val="48"/>
        </w:numPr>
        <w:spacing w:before="100" w:beforeAutospacing="1" w:after="100" w:afterAutospacing="1" w:line="240" w:lineRule="auto"/>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World Economic Forum, </w:t>
      </w:r>
      <w:hyperlink r:id="rId171" w:history="1">
        <w:r w:rsidRPr="00772DDA">
          <w:rPr>
            <w:rFonts w:ascii="Calibri" w:eastAsia="Malgun Gothic" w:hAnsi="Calibri" w:cs="Times New Roman"/>
            <w:color w:val="0000FF"/>
            <w:szCs w:val="22"/>
            <w:u w:val="single"/>
            <w:lang w:val="en-AU" w:eastAsia="ko-KR"/>
          </w:rPr>
          <w:t>Gender Parity</w:t>
        </w:r>
      </w:hyperlink>
      <w:r w:rsidRPr="00772DDA">
        <w:rPr>
          <w:rFonts w:ascii="Calibri" w:eastAsia="Malgun Gothic" w:hAnsi="Calibri" w:cs="Times New Roman"/>
          <w:szCs w:val="22"/>
          <w:lang w:val="en-AU" w:eastAsia="ko-KR"/>
        </w:rPr>
        <w:t xml:space="preserve"> </w:t>
      </w:r>
    </w:p>
    <w:p w14:paraId="60569FAD" w14:textId="77777777" w:rsidR="00772DDA" w:rsidRPr="00772DDA" w:rsidRDefault="00772DDA" w:rsidP="00EE33FC">
      <w:pPr>
        <w:spacing w:before="100" w:beforeAutospacing="1" w:after="100" w:afterAutospacing="1" w:line="360" w:lineRule="auto"/>
        <w:contextualSpacing/>
        <w:jc w:val="left"/>
        <w:rPr>
          <w:rFonts w:ascii="Calibri Light" w:eastAsia="Malgun Gothic" w:hAnsi="Calibri Light" w:cs="Times New Roman"/>
          <w:b/>
          <w:color w:val="385623"/>
          <w:sz w:val="28"/>
          <w:szCs w:val="28"/>
          <w:lang w:val="en-AU" w:eastAsia="ko-KR"/>
        </w:rPr>
      </w:pPr>
      <w:r w:rsidRPr="00772DDA">
        <w:rPr>
          <w:rFonts w:ascii="Calibri Light" w:eastAsia="Malgun Gothic" w:hAnsi="Calibri Light" w:cs="Times New Roman"/>
          <w:b/>
          <w:color w:val="385623"/>
          <w:sz w:val="28"/>
          <w:szCs w:val="28"/>
          <w:lang w:val="en-AU" w:eastAsia="ko-KR"/>
        </w:rPr>
        <w:t>Gender analysis and development</w:t>
      </w:r>
    </w:p>
    <w:p w14:paraId="76388FAE" w14:textId="77777777" w:rsidR="00772DDA" w:rsidRPr="00772DDA" w:rsidRDefault="00772DDA" w:rsidP="00F116AB">
      <w:pPr>
        <w:numPr>
          <w:ilvl w:val="0"/>
          <w:numId w:val="51"/>
        </w:numPr>
        <w:spacing w:before="100" w:beforeAutospacing="1" w:after="100" w:afterAutospacing="1" w:line="240" w:lineRule="auto"/>
        <w:ind w:left="714" w:hanging="357"/>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ILO, </w:t>
      </w:r>
      <w:hyperlink r:id="rId172" w:history="1">
        <w:r w:rsidRPr="00772DDA">
          <w:rPr>
            <w:rFonts w:ascii="Calibri" w:eastAsia="Malgun Gothic" w:hAnsi="Calibri" w:cs="Times New Roman"/>
            <w:color w:val="0000FF"/>
            <w:szCs w:val="22"/>
            <w:u w:val="single"/>
            <w:lang w:val="en-AU" w:eastAsia="ko-KR"/>
          </w:rPr>
          <w:t>Gender and development</w:t>
        </w:r>
      </w:hyperlink>
    </w:p>
    <w:p w14:paraId="72ECEC43" w14:textId="77777777" w:rsidR="00772DDA" w:rsidRPr="00772DDA" w:rsidRDefault="00772DDA" w:rsidP="00F116AB">
      <w:pPr>
        <w:numPr>
          <w:ilvl w:val="0"/>
          <w:numId w:val="51"/>
        </w:numPr>
        <w:spacing w:before="100" w:beforeAutospacing="1" w:after="100" w:afterAutospacing="1" w:line="240" w:lineRule="auto"/>
        <w:ind w:left="714" w:hanging="357"/>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UNDP, </w:t>
      </w:r>
      <w:hyperlink r:id="rId173" w:history="1">
        <w:r w:rsidRPr="00772DDA">
          <w:rPr>
            <w:rFonts w:ascii="Calibri" w:eastAsia="Malgun Gothic" w:hAnsi="Calibri" w:cs="Times New Roman"/>
            <w:color w:val="0000FF"/>
            <w:szCs w:val="22"/>
            <w:u w:val="single"/>
            <w:lang w:val="en-AU" w:eastAsia="ko-KR"/>
          </w:rPr>
          <w:t>Gender equality</w:t>
        </w:r>
      </w:hyperlink>
      <w:r w:rsidRPr="00772DDA">
        <w:rPr>
          <w:rFonts w:ascii="Calibri" w:eastAsia="Malgun Gothic" w:hAnsi="Calibri" w:cs="Times New Roman"/>
          <w:szCs w:val="22"/>
          <w:lang w:val="en-AU" w:eastAsia="ko-KR"/>
        </w:rPr>
        <w:t xml:space="preserve"> </w:t>
      </w:r>
    </w:p>
    <w:p w14:paraId="0630AF78" w14:textId="77777777" w:rsidR="00772DDA" w:rsidRPr="00772DDA" w:rsidRDefault="00772DDA" w:rsidP="00F116AB">
      <w:pPr>
        <w:numPr>
          <w:ilvl w:val="0"/>
          <w:numId w:val="51"/>
        </w:numPr>
        <w:spacing w:before="100" w:beforeAutospacing="1" w:after="100" w:afterAutospacing="1" w:line="240" w:lineRule="auto"/>
        <w:ind w:left="714" w:hanging="357"/>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World Bank, </w:t>
      </w:r>
      <w:hyperlink r:id="rId174" w:history="1">
        <w:r w:rsidRPr="00772DDA">
          <w:rPr>
            <w:rFonts w:ascii="Calibri" w:eastAsia="Malgun Gothic" w:hAnsi="Calibri" w:cs="Times New Roman"/>
            <w:color w:val="0000FF"/>
            <w:szCs w:val="22"/>
            <w:u w:val="single"/>
            <w:lang w:val="en-AU" w:eastAsia="ko-KR"/>
          </w:rPr>
          <w:t>The World Bank in gender</w:t>
        </w:r>
      </w:hyperlink>
    </w:p>
    <w:p w14:paraId="14C83C14" w14:textId="77777777" w:rsidR="00772DDA" w:rsidRPr="00772DDA" w:rsidRDefault="00772DDA" w:rsidP="00F116AB">
      <w:pPr>
        <w:numPr>
          <w:ilvl w:val="0"/>
          <w:numId w:val="51"/>
        </w:numPr>
        <w:spacing w:before="100" w:beforeAutospacing="1" w:after="100" w:afterAutospacing="1" w:line="240" w:lineRule="auto"/>
        <w:ind w:left="714" w:hanging="357"/>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International Development Research Centre, </w:t>
      </w:r>
      <w:hyperlink r:id="rId175" w:history="1">
        <w:r w:rsidRPr="00772DDA">
          <w:rPr>
            <w:rFonts w:ascii="Calibri" w:eastAsia="Malgun Gothic" w:hAnsi="Calibri" w:cs="Times New Roman"/>
            <w:color w:val="0000FF"/>
            <w:szCs w:val="22"/>
            <w:u w:val="single"/>
            <w:lang w:val="en-AU" w:eastAsia="ko-KR"/>
          </w:rPr>
          <w:t>Empowering women</w:t>
        </w:r>
      </w:hyperlink>
      <w:r w:rsidRPr="00772DDA">
        <w:rPr>
          <w:rFonts w:ascii="Calibri" w:eastAsia="Malgun Gothic" w:hAnsi="Calibri" w:cs="Times New Roman"/>
          <w:szCs w:val="22"/>
          <w:lang w:val="en-AU" w:eastAsia="ko-KR"/>
        </w:rPr>
        <w:t xml:space="preserve"> </w:t>
      </w:r>
    </w:p>
    <w:p w14:paraId="60B5888E" w14:textId="77777777" w:rsidR="00772DDA" w:rsidRPr="00772DDA" w:rsidRDefault="00772DDA" w:rsidP="00F116AB">
      <w:pPr>
        <w:numPr>
          <w:ilvl w:val="0"/>
          <w:numId w:val="51"/>
        </w:numPr>
        <w:spacing w:before="100" w:beforeAutospacing="1" w:after="100" w:afterAutospacing="1" w:line="240" w:lineRule="auto"/>
        <w:ind w:left="714" w:hanging="357"/>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UN University, </w:t>
      </w:r>
      <w:hyperlink r:id="rId176" w:history="1">
        <w:r w:rsidRPr="00772DDA">
          <w:rPr>
            <w:rFonts w:ascii="Calibri" w:eastAsia="Malgun Gothic" w:hAnsi="Calibri" w:cs="Times New Roman"/>
            <w:color w:val="0000FF"/>
            <w:szCs w:val="22"/>
            <w:u w:val="single"/>
            <w:lang w:val="en-AU" w:eastAsia="ko-KR"/>
          </w:rPr>
          <w:t>Promotion of gender equality through research and education</w:t>
        </w:r>
      </w:hyperlink>
    </w:p>
    <w:p w14:paraId="2F449FC1" w14:textId="77777777" w:rsidR="00772DDA" w:rsidRPr="00772DDA" w:rsidRDefault="00772DDA" w:rsidP="00F116AB">
      <w:pPr>
        <w:numPr>
          <w:ilvl w:val="0"/>
          <w:numId w:val="51"/>
        </w:numPr>
        <w:spacing w:before="100" w:beforeAutospacing="1" w:after="100" w:afterAutospacing="1" w:line="240" w:lineRule="auto"/>
        <w:ind w:left="714" w:hanging="357"/>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Swedish International Development Cooperation Agency, </w:t>
      </w:r>
      <w:hyperlink r:id="rId177" w:history="1">
        <w:r w:rsidRPr="00772DDA">
          <w:rPr>
            <w:rFonts w:ascii="Calibri" w:eastAsia="Malgun Gothic" w:hAnsi="Calibri" w:cs="Times New Roman"/>
            <w:color w:val="0000FF"/>
            <w:szCs w:val="22"/>
            <w:u w:val="single"/>
            <w:lang w:val="en-AU" w:eastAsia="ko-KR"/>
          </w:rPr>
          <w:t>Gender equality</w:t>
        </w:r>
      </w:hyperlink>
    </w:p>
    <w:p w14:paraId="76B185BA" w14:textId="77777777" w:rsidR="00772DDA" w:rsidRPr="00772DDA" w:rsidRDefault="00772DDA" w:rsidP="00F116AB">
      <w:pPr>
        <w:numPr>
          <w:ilvl w:val="0"/>
          <w:numId w:val="51"/>
        </w:numPr>
        <w:spacing w:before="100" w:beforeAutospacing="1" w:after="100" w:afterAutospacing="1" w:line="240" w:lineRule="auto"/>
        <w:ind w:left="714" w:hanging="357"/>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Moser, C., 1993, </w:t>
      </w:r>
      <w:hyperlink r:id="rId178" w:history="1">
        <w:r w:rsidRPr="00772DDA">
          <w:rPr>
            <w:rFonts w:ascii="Calibri" w:eastAsia="Malgun Gothic" w:hAnsi="Calibri" w:cs="Times New Roman"/>
            <w:i/>
            <w:color w:val="0000FF"/>
            <w:szCs w:val="22"/>
            <w:u w:val="single"/>
            <w:lang w:val="en-AU" w:eastAsia="ko-KR"/>
          </w:rPr>
          <w:t>Gender planning</w:t>
        </w:r>
      </w:hyperlink>
      <w:r w:rsidRPr="00772DDA">
        <w:rPr>
          <w:rFonts w:ascii="Calibri" w:eastAsia="Malgun Gothic" w:hAnsi="Calibri" w:cs="Times New Roman"/>
          <w:szCs w:val="22"/>
          <w:lang w:val="en-AU" w:eastAsia="ko-KR"/>
        </w:rPr>
        <w:t>, Routledge, London.</w:t>
      </w:r>
    </w:p>
    <w:p w14:paraId="22058A36" w14:textId="77777777" w:rsidR="00EE33FC" w:rsidRDefault="00EE33FC" w:rsidP="00EE33FC">
      <w:pPr>
        <w:spacing w:before="100" w:beforeAutospacing="1" w:after="100" w:afterAutospacing="1" w:line="240" w:lineRule="auto"/>
        <w:contextualSpacing/>
        <w:jc w:val="left"/>
        <w:rPr>
          <w:rFonts w:ascii="Calibri Light" w:eastAsia="Malgun Gothic" w:hAnsi="Calibri Light" w:cs="Times New Roman"/>
          <w:b/>
          <w:color w:val="385623"/>
          <w:sz w:val="28"/>
          <w:szCs w:val="28"/>
          <w:lang w:val="en-AU" w:eastAsia="ko-KR"/>
        </w:rPr>
      </w:pPr>
    </w:p>
    <w:p w14:paraId="13642FE0" w14:textId="77777777" w:rsidR="00772DDA" w:rsidRPr="00772DDA" w:rsidRDefault="00772DDA" w:rsidP="00EE33FC">
      <w:pPr>
        <w:spacing w:before="100" w:beforeAutospacing="1" w:after="100" w:afterAutospacing="1" w:line="360" w:lineRule="auto"/>
        <w:contextualSpacing/>
        <w:jc w:val="left"/>
        <w:rPr>
          <w:rFonts w:ascii="Calibri Light" w:eastAsia="Malgun Gothic" w:hAnsi="Calibri Light" w:cs="Times New Roman"/>
          <w:b/>
          <w:color w:val="385623"/>
          <w:sz w:val="28"/>
          <w:szCs w:val="28"/>
          <w:lang w:val="en-AU" w:eastAsia="ko-KR"/>
        </w:rPr>
      </w:pPr>
      <w:r w:rsidRPr="00772DDA">
        <w:rPr>
          <w:rFonts w:ascii="Calibri Light" w:eastAsia="Malgun Gothic" w:hAnsi="Calibri Light" w:cs="Times New Roman"/>
          <w:b/>
          <w:color w:val="385623"/>
          <w:sz w:val="28"/>
          <w:szCs w:val="28"/>
          <w:lang w:val="en-AU" w:eastAsia="ko-KR"/>
        </w:rPr>
        <w:t>Gender budgets</w:t>
      </w:r>
    </w:p>
    <w:p w14:paraId="058D6F3B" w14:textId="77777777" w:rsidR="00772DDA" w:rsidRPr="00772DDA" w:rsidRDefault="00772DDA" w:rsidP="00F116AB">
      <w:pPr>
        <w:numPr>
          <w:ilvl w:val="0"/>
          <w:numId w:val="48"/>
        </w:numPr>
        <w:spacing w:before="100" w:beforeAutospacing="1" w:after="100" w:afterAutospacing="1" w:line="240" w:lineRule="auto"/>
        <w:ind w:left="714" w:hanging="357"/>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Sharp, R. &amp; Broomhill, R., 2013,  </w:t>
      </w:r>
      <w:hyperlink r:id="rId179" w:history="1">
        <w:r w:rsidRPr="00772DDA">
          <w:rPr>
            <w:rFonts w:ascii="Calibri" w:eastAsia="Malgun Gothic" w:hAnsi="Calibri" w:cs="Times New Roman"/>
            <w:color w:val="0000FF"/>
            <w:szCs w:val="22"/>
            <w:u w:val="single"/>
            <w:lang w:val="en-AU" w:eastAsia="ko-KR"/>
          </w:rPr>
          <w:t xml:space="preserve">A case study of gender responsive budgeting in Australia </w:t>
        </w:r>
      </w:hyperlink>
      <w:r w:rsidRPr="00772DDA">
        <w:rPr>
          <w:rFonts w:ascii="Calibri" w:eastAsia="Malgun Gothic" w:hAnsi="Calibri" w:cs="Times New Roman"/>
          <w:szCs w:val="22"/>
          <w:lang w:val="en-AU" w:eastAsia="ko-KR"/>
        </w:rPr>
        <w:t xml:space="preserve"> </w:t>
      </w:r>
      <w:hyperlink r:id="rId180" w:history="1">
        <w:r w:rsidRPr="00772DDA">
          <w:rPr>
            <w:rFonts w:ascii="Calibri" w:eastAsia="Malgun Gothic" w:hAnsi="Calibri" w:cs="Times New Roman"/>
            <w:color w:val="0000FF"/>
            <w:szCs w:val="22"/>
            <w:u w:val="single"/>
            <w:lang w:val="en-AU" w:eastAsia="ko-KR"/>
          </w:rPr>
          <w:t>f</w:t>
        </w:r>
      </w:hyperlink>
      <w:r w:rsidRPr="00772DDA">
        <w:rPr>
          <w:rFonts w:ascii="Calibri" w:eastAsia="Malgun Gothic" w:hAnsi="Calibri" w:cs="Times New Roman"/>
          <w:szCs w:val="22"/>
          <w:lang w:val="en-AU" w:eastAsia="ko-KR"/>
        </w:rPr>
        <w:t xml:space="preserve"> </w:t>
      </w:r>
    </w:p>
    <w:p w14:paraId="1DF0EF85" w14:textId="4E337757" w:rsidR="00772DDA" w:rsidRPr="00772DDA" w:rsidRDefault="00772DDA" w:rsidP="00F116AB">
      <w:pPr>
        <w:numPr>
          <w:ilvl w:val="0"/>
          <w:numId w:val="48"/>
        </w:numPr>
        <w:spacing w:before="100" w:beforeAutospacing="1" w:after="100" w:afterAutospacing="1" w:line="240" w:lineRule="auto"/>
        <w:ind w:left="714" w:hanging="357"/>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National Foundation for Australian Women, </w:t>
      </w:r>
      <w:hyperlink r:id="rId181" w:history="1">
        <w:r w:rsidRPr="00772DDA">
          <w:rPr>
            <w:rFonts w:ascii="Calibri" w:eastAsia="Malgun Gothic" w:hAnsi="Calibri" w:cs="Times New Roman"/>
            <w:color w:val="0000FF"/>
            <w:szCs w:val="22"/>
            <w:u w:val="single"/>
            <w:lang w:val="en-AU" w:eastAsia="ko-KR"/>
          </w:rPr>
          <w:t>A gender lens on the 2017-18 budget</w:t>
        </w:r>
      </w:hyperlink>
    </w:p>
    <w:p w14:paraId="3F2186ED" w14:textId="77777777" w:rsidR="00772DDA" w:rsidRPr="00772DDA" w:rsidRDefault="00772DDA" w:rsidP="00F116AB">
      <w:pPr>
        <w:numPr>
          <w:ilvl w:val="0"/>
          <w:numId w:val="48"/>
        </w:numPr>
        <w:spacing w:before="100" w:beforeAutospacing="1" w:after="100" w:afterAutospacing="1" w:line="240" w:lineRule="auto"/>
        <w:ind w:left="714" w:hanging="357"/>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OECD, </w:t>
      </w:r>
      <w:hyperlink r:id="rId182" w:history="1">
        <w:r w:rsidRPr="00772DDA">
          <w:rPr>
            <w:rFonts w:ascii="Calibri" w:eastAsia="Malgun Gothic" w:hAnsi="Calibri" w:cs="Times New Roman"/>
            <w:color w:val="0000FF"/>
            <w:szCs w:val="22"/>
            <w:u w:val="single"/>
            <w:lang w:val="en-AU" w:eastAsia="ko-KR"/>
          </w:rPr>
          <w:t>Gender budgeting</w:t>
        </w:r>
      </w:hyperlink>
    </w:p>
    <w:p w14:paraId="04420220" w14:textId="77777777" w:rsidR="00772DDA" w:rsidRPr="00772DDA" w:rsidRDefault="00772DDA" w:rsidP="00F116AB">
      <w:pPr>
        <w:numPr>
          <w:ilvl w:val="0"/>
          <w:numId w:val="48"/>
        </w:numPr>
        <w:spacing w:before="100" w:beforeAutospacing="1" w:after="100" w:afterAutospacing="1" w:line="240" w:lineRule="auto"/>
        <w:ind w:left="714" w:hanging="357"/>
        <w:contextualSpacing/>
        <w:jc w:val="left"/>
        <w:rPr>
          <w:rFonts w:ascii="Calibri" w:eastAsia="Malgun Gothic" w:hAnsi="Calibri" w:cs="Times New Roman"/>
          <w:szCs w:val="22"/>
          <w:lang w:val="en-AU" w:eastAsia="ko-KR"/>
        </w:rPr>
      </w:pPr>
      <w:r w:rsidRPr="00772DDA">
        <w:rPr>
          <w:rFonts w:ascii="Calibri" w:eastAsia="Malgun Gothic" w:hAnsi="Calibri" w:cs="Times New Roman"/>
          <w:szCs w:val="22"/>
          <w:lang w:val="en-AU" w:eastAsia="ko-KR"/>
        </w:rPr>
        <w:t xml:space="preserve">Austrian Development Cooperation, </w:t>
      </w:r>
      <w:hyperlink r:id="rId183" w:history="1">
        <w:r w:rsidRPr="00772DDA">
          <w:rPr>
            <w:rFonts w:ascii="Calibri" w:eastAsia="Malgun Gothic" w:hAnsi="Calibri" w:cs="Times New Roman"/>
            <w:color w:val="0000FF"/>
            <w:szCs w:val="22"/>
            <w:u w:val="single"/>
            <w:lang w:val="en-AU" w:eastAsia="ko-KR"/>
          </w:rPr>
          <w:t>Making budgets gender-sensitive: a checklist for programme-based aid</w:t>
        </w:r>
      </w:hyperlink>
    </w:p>
    <w:p w14:paraId="4993EBBE" w14:textId="77777777" w:rsidR="00EE33FC" w:rsidRDefault="00EE33FC" w:rsidP="00EE33FC">
      <w:pPr>
        <w:spacing w:before="100" w:beforeAutospacing="1" w:after="100" w:afterAutospacing="1" w:line="240" w:lineRule="auto"/>
        <w:contextualSpacing/>
        <w:jc w:val="left"/>
        <w:rPr>
          <w:rFonts w:ascii="Calibri Light" w:eastAsia="Malgun Gothic" w:hAnsi="Calibri Light" w:cs="Times New Roman"/>
          <w:b/>
          <w:color w:val="385623"/>
          <w:sz w:val="28"/>
          <w:szCs w:val="28"/>
          <w:lang w:val="en-AU" w:eastAsia="ko-KR"/>
        </w:rPr>
      </w:pPr>
    </w:p>
    <w:p w14:paraId="735838CC" w14:textId="77777777" w:rsidR="00772DDA" w:rsidRPr="00772DDA" w:rsidRDefault="00772DDA" w:rsidP="00EE33FC">
      <w:pPr>
        <w:spacing w:before="100" w:beforeAutospacing="1" w:after="100" w:afterAutospacing="1" w:line="360" w:lineRule="auto"/>
        <w:contextualSpacing/>
        <w:jc w:val="left"/>
        <w:rPr>
          <w:rFonts w:ascii="Calibri Light" w:eastAsia="Malgun Gothic" w:hAnsi="Calibri Light" w:cs="Times New Roman"/>
          <w:b/>
          <w:color w:val="385623"/>
          <w:sz w:val="28"/>
          <w:szCs w:val="28"/>
          <w:lang w:val="en-AU" w:eastAsia="ko-KR"/>
        </w:rPr>
      </w:pPr>
      <w:r w:rsidRPr="00772DDA">
        <w:rPr>
          <w:rFonts w:ascii="Calibri Light" w:eastAsia="Malgun Gothic" w:hAnsi="Calibri Light" w:cs="Times New Roman"/>
          <w:b/>
          <w:color w:val="385623"/>
          <w:sz w:val="28"/>
          <w:szCs w:val="28"/>
          <w:lang w:val="en-AU" w:eastAsia="ko-KR"/>
        </w:rPr>
        <w:t>Other useful links</w:t>
      </w:r>
    </w:p>
    <w:p w14:paraId="1A87ECA3" w14:textId="77777777" w:rsidR="00772DDA" w:rsidRPr="00772DDA" w:rsidRDefault="00991751" w:rsidP="00F116AB">
      <w:pPr>
        <w:numPr>
          <w:ilvl w:val="0"/>
          <w:numId w:val="54"/>
        </w:numPr>
        <w:spacing w:before="100" w:beforeAutospacing="1" w:after="100" w:afterAutospacing="1" w:line="240" w:lineRule="auto"/>
        <w:ind w:left="714" w:hanging="357"/>
        <w:contextualSpacing/>
        <w:jc w:val="left"/>
        <w:rPr>
          <w:rFonts w:ascii="Calibri" w:eastAsia="Malgun Gothic" w:hAnsi="Calibri" w:cs="Times New Roman"/>
          <w:szCs w:val="22"/>
          <w:lang w:val="en-AU" w:eastAsia="ko-KR"/>
        </w:rPr>
      </w:pPr>
      <w:hyperlink r:id="rId184" w:history="1">
        <w:r w:rsidR="00772DDA" w:rsidRPr="00772DDA">
          <w:rPr>
            <w:rFonts w:ascii="Calibri" w:eastAsia="Malgun Gothic" w:hAnsi="Calibri" w:cs="Times New Roman"/>
            <w:color w:val="0000FF"/>
            <w:szCs w:val="22"/>
            <w:u w:val="single"/>
            <w:lang w:val="en-AU" w:eastAsia="ko-KR"/>
          </w:rPr>
          <w:t>Anti-Discrimination Commission, Queensland</w:t>
        </w:r>
      </w:hyperlink>
    </w:p>
    <w:p w14:paraId="6B8DECDF" w14:textId="77777777" w:rsidR="00772DDA" w:rsidRPr="00772DDA" w:rsidRDefault="00991751" w:rsidP="00F116AB">
      <w:pPr>
        <w:numPr>
          <w:ilvl w:val="0"/>
          <w:numId w:val="54"/>
        </w:numPr>
        <w:spacing w:before="100" w:beforeAutospacing="1" w:after="100" w:afterAutospacing="1" w:line="240" w:lineRule="auto"/>
        <w:ind w:left="714" w:hanging="357"/>
        <w:contextualSpacing/>
        <w:jc w:val="left"/>
        <w:rPr>
          <w:rFonts w:ascii="Calibri" w:eastAsia="Malgun Gothic" w:hAnsi="Calibri" w:cs="Times New Roman"/>
          <w:szCs w:val="22"/>
          <w:lang w:val="en-AU" w:eastAsia="ko-KR"/>
        </w:rPr>
      </w:pPr>
      <w:hyperlink r:id="rId185" w:history="1">
        <w:r w:rsidR="00772DDA" w:rsidRPr="00772DDA">
          <w:rPr>
            <w:rFonts w:ascii="Calibri" w:eastAsia="Malgun Gothic" w:hAnsi="Calibri" w:cs="Times New Roman"/>
            <w:color w:val="0000FF"/>
            <w:szCs w:val="22"/>
            <w:u w:val="single"/>
            <w:lang w:val="en-AU" w:eastAsia="ko-KR"/>
          </w:rPr>
          <w:t>Queensland Government Statistician’s Office</w:t>
        </w:r>
      </w:hyperlink>
    </w:p>
    <w:p w14:paraId="3EC5280A" w14:textId="77777777" w:rsidR="00772DDA" w:rsidRPr="00772DDA" w:rsidRDefault="00991751" w:rsidP="00F116AB">
      <w:pPr>
        <w:numPr>
          <w:ilvl w:val="0"/>
          <w:numId w:val="54"/>
        </w:numPr>
        <w:spacing w:before="100" w:beforeAutospacing="1" w:after="100" w:afterAutospacing="1" w:line="240" w:lineRule="auto"/>
        <w:contextualSpacing/>
        <w:jc w:val="left"/>
        <w:rPr>
          <w:rFonts w:ascii="Calibri" w:eastAsia="Malgun Gothic" w:hAnsi="Calibri" w:cs="Times New Roman"/>
          <w:szCs w:val="22"/>
          <w:lang w:val="en-AU" w:eastAsia="ko-KR"/>
        </w:rPr>
      </w:pPr>
      <w:hyperlink r:id="rId186" w:history="1">
        <w:r w:rsidR="00772DDA" w:rsidRPr="00772DDA">
          <w:rPr>
            <w:rFonts w:ascii="Calibri" w:eastAsia="Malgun Gothic" w:hAnsi="Calibri" w:cs="Times New Roman"/>
            <w:color w:val="0000FF"/>
            <w:szCs w:val="22"/>
            <w:u w:val="single"/>
            <w:lang w:val="en-AU" w:eastAsia="ko-KR"/>
          </w:rPr>
          <w:t>Multicultural Affairs Queensland</w:t>
        </w:r>
      </w:hyperlink>
    </w:p>
    <w:p w14:paraId="2C9DD962" w14:textId="77777777" w:rsidR="00772DDA" w:rsidRPr="00772DDA" w:rsidRDefault="00991751" w:rsidP="00F116AB">
      <w:pPr>
        <w:numPr>
          <w:ilvl w:val="0"/>
          <w:numId w:val="54"/>
        </w:numPr>
        <w:spacing w:before="100" w:beforeAutospacing="1" w:after="100" w:afterAutospacing="1" w:line="240" w:lineRule="auto"/>
        <w:ind w:left="714" w:hanging="357"/>
        <w:contextualSpacing/>
        <w:jc w:val="left"/>
        <w:rPr>
          <w:rFonts w:ascii="Calibri" w:eastAsia="Malgun Gothic" w:hAnsi="Calibri" w:cs="Times New Roman"/>
          <w:szCs w:val="22"/>
          <w:lang w:val="en-AU" w:eastAsia="ko-KR"/>
        </w:rPr>
      </w:pPr>
      <w:hyperlink r:id="rId187" w:history="1">
        <w:r w:rsidR="00772DDA" w:rsidRPr="00772DDA">
          <w:rPr>
            <w:rFonts w:ascii="Calibri" w:eastAsia="Malgun Gothic" w:hAnsi="Calibri" w:cs="Times New Roman"/>
            <w:color w:val="0000FF"/>
            <w:szCs w:val="22"/>
            <w:u w:val="single"/>
            <w:lang w:val="en-AU" w:eastAsia="ko-KR"/>
          </w:rPr>
          <w:t>Queensland Police Service</w:t>
        </w:r>
      </w:hyperlink>
    </w:p>
    <w:p w14:paraId="3EA93E99" w14:textId="77777777" w:rsidR="00772DDA" w:rsidRPr="00772DDA" w:rsidRDefault="00991751" w:rsidP="00F116AB">
      <w:pPr>
        <w:numPr>
          <w:ilvl w:val="0"/>
          <w:numId w:val="56"/>
        </w:numPr>
        <w:spacing w:before="100" w:beforeAutospacing="1" w:after="100" w:afterAutospacing="1" w:line="240" w:lineRule="auto"/>
        <w:contextualSpacing/>
        <w:jc w:val="left"/>
        <w:rPr>
          <w:rFonts w:ascii="Calibri" w:eastAsia="Malgun Gothic" w:hAnsi="Calibri" w:cs="Times New Roman"/>
          <w:szCs w:val="22"/>
          <w:lang w:val="en-AU" w:eastAsia="ko-KR"/>
        </w:rPr>
      </w:pPr>
      <w:hyperlink r:id="rId188" w:history="1">
        <w:r w:rsidR="00772DDA" w:rsidRPr="00772DDA">
          <w:rPr>
            <w:rFonts w:ascii="Calibri" w:eastAsia="Malgun Gothic" w:hAnsi="Calibri" w:cs="Times New Roman"/>
            <w:color w:val="0000FF"/>
            <w:szCs w:val="22"/>
            <w:u w:val="single"/>
            <w:lang w:val="en-AU" w:eastAsia="ko-KR"/>
          </w:rPr>
          <w:t>Australian Human Rights Commission</w:t>
        </w:r>
      </w:hyperlink>
    </w:p>
    <w:p w14:paraId="7DD33DAF" w14:textId="77777777" w:rsidR="00772DDA" w:rsidRPr="00772DDA" w:rsidRDefault="00991751" w:rsidP="00F116AB">
      <w:pPr>
        <w:numPr>
          <w:ilvl w:val="0"/>
          <w:numId w:val="56"/>
        </w:numPr>
        <w:spacing w:before="100" w:beforeAutospacing="1" w:after="100" w:afterAutospacing="1" w:line="240" w:lineRule="auto"/>
        <w:contextualSpacing/>
        <w:jc w:val="left"/>
        <w:rPr>
          <w:rFonts w:ascii="Calibri" w:eastAsia="Malgun Gothic" w:hAnsi="Calibri" w:cs="Times New Roman"/>
          <w:szCs w:val="22"/>
          <w:lang w:val="en-AU" w:eastAsia="ko-KR"/>
        </w:rPr>
      </w:pPr>
      <w:hyperlink r:id="rId189" w:history="1">
        <w:r w:rsidR="00772DDA" w:rsidRPr="00772DDA">
          <w:rPr>
            <w:rFonts w:ascii="Calibri" w:eastAsia="Malgun Gothic" w:hAnsi="Calibri" w:cs="Times New Roman"/>
            <w:color w:val="0000FF"/>
            <w:szCs w:val="22"/>
            <w:u w:val="single"/>
            <w:lang w:val="en-AU" w:eastAsia="ko-KR"/>
          </w:rPr>
          <w:t>Australian Government Office for Women</w:t>
        </w:r>
      </w:hyperlink>
    </w:p>
    <w:p w14:paraId="2BF25511" w14:textId="77777777" w:rsidR="00772DDA" w:rsidRPr="00772DDA" w:rsidRDefault="00991751" w:rsidP="00F116AB">
      <w:pPr>
        <w:numPr>
          <w:ilvl w:val="0"/>
          <w:numId w:val="61"/>
        </w:numPr>
        <w:spacing w:before="100" w:beforeAutospacing="1" w:after="100" w:afterAutospacing="1" w:line="240" w:lineRule="auto"/>
        <w:contextualSpacing/>
        <w:jc w:val="left"/>
        <w:rPr>
          <w:rFonts w:ascii="Calibri Light" w:eastAsia="Malgun Gothic" w:hAnsi="Calibri Light" w:cs="Times New Roman"/>
          <w:b/>
          <w:color w:val="385623"/>
          <w:sz w:val="28"/>
          <w:szCs w:val="28"/>
          <w:lang w:val="en-AU" w:eastAsia="ko-KR"/>
        </w:rPr>
      </w:pPr>
      <w:hyperlink r:id="rId190" w:history="1">
        <w:r w:rsidR="00772DDA" w:rsidRPr="00772DDA">
          <w:rPr>
            <w:rFonts w:ascii="Calibri" w:eastAsia="Malgun Gothic" w:hAnsi="Calibri" w:cs="Times New Roman"/>
            <w:color w:val="0000FF"/>
            <w:szCs w:val="22"/>
            <w:u w:val="single"/>
            <w:lang w:val="en-AU" w:eastAsia="ko-KR"/>
          </w:rPr>
          <w:t>Australian Government Workplace Gender Equality Agency</w:t>
        </w:r>
      </w:hyperlink>
    </w:p>
    <w:p w14:paraId="0AB635A3" w14:textId="77777777" w:rsidR="00772DDA" w:rsidRPr="00772DDA" w:rsidRDefault="00991751" w:rsidP="00F116AB">
      <w:pPr>
        <w:numPr>
          <w:ilvl w:val="0"/>
          <w:numId w:val="56"/>
        </w:numPr>
        <w:spacing w:before="100" w:beforeAutospacing="1" w:after="100" w:afterAutospacing="1" w:line="240" w:lineRule="auto"/>
        <w:contextualSpacing/>
        <w:jc w:val="left"/>
        <w:rPr>
          <w:rFonts w:ascii="Calibri" w:eastAsia="Malgun Gothic" w:hAnsi="Calibri" w:cs="Times New Roman"/>
          <w:szCs w:val="22"/>
          <w:lang w:val="en-AU" w:eastAsia="ko-KR"/>
        </w:rPr>
      </w:pPr>
      <w:hyperlink r:id="rId191" w:history="1">
        <w:r w:rsidR="00772DDA" w:rsidRPr="00772DDA">
          <w:rPr>
            <w:rFonts w:ascii="Calibri" w:eastAsia="Malgun Gothic" w:hAnsi="Calibri" w:cs="Times New Roman"/>
            <w:color w:val="0000FF"/>
            <w:szCs w:val="22"/>
            <w:u w:val="single"/>
            <w:lang w:val="en-AU" w:eastAsia="ko-KR"/>
          </w:rPr>
          <w:t>Australian Institute of Criminology</w:t>
        </w:r>
      </w:hyperlink>
    </w:p>
    <w:p w14:paraId="0B345422" w14:textId="77777777" w:rsidR="00772DDA" w:rsidRPr="00772DDA" w:rsidRDefault="00991751" w:rsidP="00F116AB">
      <w:pPr>
        <w:numPr>
          <w:ilvl w:val="0"/>
          <w:numId w:val="56"/>
        </w:numPr>
        <w:spacing w:before="100" w:beforeAutospacing="1" w:after="100" w:afterAutospacing="1" w:line="240" w:lineRule="auto"/>
        <w:contextualSpacing/>
        <w:jc w:val="left"/>
        <w:rPr>
          <w:rFonts w:ascii="Calibri" w:eastAsia="Malgun Gothic" w:hAnsi="Calibri" w:cs="Times New Roman"/>
          <w:szCs w:val="22"/>
          <w:lang w:val="en-AU" w:eastAsia="ko-KR"/>
        </w:rPr>
      </w:pPr>
      <w:hyperlink r:id="rId192" w:history="1">
        <w:r w:rsidR="00772DDA" w:rsidRPr="00772DDA">
          <w:rPr>
            <w:rFonts w:ascii="Calibri" w:eastAsia="Malgun Gothic" w:hAnsi="Calibri" w:cs="Times New Roman"/>
            <w:color w:val="0000FF"/>
            <w:szCs w:val="22"/>
            <w:u w:val="single"/>
            <w:lang w:val="en-AU" w:eastAsia="ko-KR"/>
          </w:rPr>
          <w:t>Australian Institute of Health and Welfare</w:t>
        </w:r>
      </w:hyperlink>
    </w:p>
    <w:p w14:paraId="718C4C61" w14:textId="77777777" w:rsidR="00772DDA" w:rsidRPr="00772DDA" w:rsidRDefault="00991751" w:rsidP="00F116AB">
      <w:pPr>
        <w:numPr>
          <w:ilvl w:val="0"/>
          <w:numId w:val="56"/>
        </w:numPr>
        <w:spacing w:before="100" w:beforeAutospacing="1" w:after="100" w:afterAutospacing="1" w:line="240" w:lineRule="auto"/>
        <w:contextualSpacing/>
        <w:jc w:val="left"/>
        <w:rPr>
          <w:rFonts w:ascii="Calibri" w:eastAsia="Malgun Gothic" w:hAnsi="Calibri" w:cs="Times New Roman"/>
          <w:szCs w:val="22"/>
          <w:lang w:val="en-AU" w:eastAsia="ko-KR"/>
        </w:rPr>
      </w:pPr>
      <w:hyperlink r:id="rId193" w:history="1">
        <w:r w:rsidR="00772DDA" w:rsidRPr="00772DDA">
          <w:rPr>
            <w:rFonts w:ascii="Calibri" w:eastAsia="Malgun Gothic" w:hAnsi="Calibri" w:cs="Times New Roman"/>
            <w:color w:val="0000FF"/>
            <w:szCs w:val="22"/>
            <w:u w:val="single"/>
            <w:lang w:val="en-AU" w:eastAsia="ko-KR"/>
          </w:rPr>
          <w:t>Australian Institute of Family Studies</w:t>
        </w:r>
      </w:hyperlink>
    </w:p>
    <w:p w14:paraId="3899A01A" w14:textId="3EED6458" w:rsidR="001C1BBB" w:rsidRDefault="001C1BBB">
      <w:pPr>
        <w:spacing w:after="0" w:line="240" w:lineRule="auto"/>
        <w:jc w:val="left"/>
        <w:rPr>
          <w:lang w:val="en-AU"/>
        </w:rPr>
      </w:pPr>
      <w:r>
        <w:rPr>
          <w:lang w:val="en-AU"/>
        </w:rPr>
        <w:br w:type="page"/>
      </w:r>
    </w:p>
    <w:p w14:paraId="7F2577AF" w14:textId="6C89B256" w:rsidR="001C1BBB" w:rsidRPr="00A33FFF" w:rsidRDefault="001C1BBB" w:rsidP="001C1BBB">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240" w:line="240" w:lineRule="auto"/>
        <w:jc w:val="left"/>
        <w:rPr>
          <w:rFonts w:eastAsia="Malgun Gothic" w:cs="Arial"/>
          <w:color w:val="385623"/>
          <w:szCs w:val="22"/>
          <w:lang w:val="en-AU" w:eastAsia="ko-KR"/>
        </w:rPr>
      </w:pPr>
      <w:r>
        <w:rPr>
          <w:rFonts w:ascii="Calibri" w:eastAsia="Malgun Gothic" w:hAnsi="Calibri" w:cs="Times New Roman"/>
          <w:b/>
          <w:color w:val="385623"/>
          <w:sz w:val="36"/>
          <w:szCs w:val="36"/>
          <w:lang w:val="en-AU" w:eastAsia="ko-KR"/>
        </w:rPr>
        <w:t xml:space="preserve">ABOUT THE OFFICE FOR WOMEN                                 </w:t>
      </w:r>
      <w:r>
        <w:rPr>
          <w:rFonts w:ascii="Calibri" w:eastAsia="Malgun Gothic" w:hAnsi="Calibri" w:cs="Times New Roman"/>
          <w:b/>
          <w:noProof/>
          <w:color w:val="385623"/>
          <w:sz w:val="40"/>
          <w:szCs w:val="40"/>
          <w:lang w:val="en-AU" w:eastAsia="ko-KR"/>
        </w:rPr>
        <w:drawing>
          <wp:inline distT="0" distB="0" distL="0" distR="0" wp14:anchorId="5B6D662A" wp14:editId="0EF54130">
            <wp:extent cx="871855" cy="871855"/>
            <wp:effectExtent l="0" t="0" r="4445" b="444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pic:spPr>
                </pic:pic>
              </a:graphicData>
            </a:graphic>
          </wp:inline>
        </w:drawing>
      </w:r>
    </w:p>
    <w:p w14:paraId="2252954B" w14:textId="77777777" w:rsidR="001C1BBB" w:rsidRPr="001C1BBB" w:rsidRDefault="001C1BBB" w:rsidP="001C1BBB">
      <w:pPr>
        <w:spacing w:before="100" w:beforeAutospacing="1" w:after="100" w:afterAutospacing="1" w:line="240" w:lineRule="auto"/>
        <w:jc w:val="left"/>
        <w:rPr>
          <w:rFonts w:ascii="Calibri" w:eastAsia="Malgun Gothic" w:hAnsi="Calibri" w:cs="Times New Roman"/>
          <w:szCs w:val="22"/>
          <w:lang w:val="en-AU" w:eastAsia="ko-KR"/>
        </w:rPr>
      </w:pPr>
      <w:r w:rsidRPr="001C1BBB">
        <w:rPr>
          <w:rFonts w:ascii="Calibri" w:eastAsia="Malgun Gothic" w:hAnsi="Calibri" w:cs="Times New Roman"/>
          <w:szCs w:val="22"/>
          <w:lang w:val="en-AU" w:eastAsia="ko-KR"/>
        </w:rPr>
        <w:t xml:space="preserve">The Queensland Government Office for Women plays a central role in carrying out the government’s commitment to gender equality in all aspect of Queensland society. </w:t>
      </w:r>
    </w:p>
    <w:p w14:paraId="55362859" w14:textId="77777777" w:rsidR="001C1BBB" w:rsidRPr="001C1BBB" w:rsidRDefault="001C1BBB" w:rsidP="001C1BBB">
      <w:pPr>
        <w:spacing w:before="100" w:beforeAutospacing="1" w:after="100" w:afterAutospacing="1" w:line="240" w:lineRule="auto"/>
        <w:jc w:val="left"/>
        <w:rPr>
          <w:rFonts w:ascii="Calibri" w:eastAsia="Malgun Gothic" w:hAnsi="Calibri" w:cs="Times New Roman"/>
          <w:szCs w:val="22"/>
          <w:lang w:val="en-AU" w:eastAsia="ko-KR"/>
        </w:rPr>
      </w:pPr>
      <w:r w:rsidRPr="001C1BBB">
        <w:rPr>
          <w:rFonts w:ascii="Calibri" w:eastAsia="Malgun Gothic" w:hAnsi="Calibri" w:cs="Times New Roman"/>
          <w:szCs w:val="22"/>
          <w:lang w:val="en-AU" w:eastAsia="ko-KR"/>
        </w:rPr>
        <w:t>The Office for Women leads gender equality reforms and delivers projects that support government and industry to promote and protect women’s rights, interests and wellbeing.</w:t>
      </w:r>
    </w:p>
    <w:p w14:paraId="19B6D0D3" w14:textId="77777777" w:rsidR="001C1BBB" w:rsidRPr="001C1BBB" w:rsidRDefault="001C1BBB" w:rsidP="001C1BBB">
      <w:pPr>
        <w:spacing w:before="100" w:beforeAutospacing="1" w:after="100" w:afterAutospacing="1" w:line="240" w:lineRule="auto"/>
        <w:jc w:val="left"/>
        <w:rPr>
          <w:rFonts w:ascii="Calibri" w:eastAsia="Malgun Gothic" w:hAnsi="Calibri" w:cs="Times New Roman"/>
          <w:szCs w:val="22"/>
          <w:lang w:val="en-GB" w:eastAsia="ko-KR"/>
        </w:rPr>
      </w:pPr>
      <w:r w:rsidRPr="001C1BBB">
        <w:rPr>
          <w:rFonts w:ascii="Calibri" w:eastAsia="Malgun Gothic" w:hAnsi="Calibri" w:cs="Times New Roman"/>
          <w:szCs w:val="22"/>
          <w:lang w:val="en-GB" w:eastAsia="ko-KR"/>
        </w:rPr>
        <w:t xml:space="preserve">One of our key functions is to support the whole of Queensland — government, businesses, community organisations and individuals — to strengthen gender considerations in all policies, programs and services and </w:t>
      </w:r>
      <w:r w:rsidRPr="001C1BBB">
        <w:rPr>
          <w:rFonts w:ascii="Calibri" w:eastAsia="Malgun Gothic" w:hAnsi="Calibri" w:cs="Times New Roman"/>
          <w:szCs w:val="22"/>
          <w:lang w:val="en-AU" w:eastAsia="ko-KR"/>
        </w:rPr>
        <w:t>find ways to address inequity, disadvantage and under-representation.</w:t>
      </w:r>
    </w:p>
    <w:p w14:paraId="1575F71C" w14:textId="77777777" w:rsidR="001C1BBB" w:rsidRPr="001C1BBB" w:rsidRDefault="001C1BBB" w:rsidP="001C1BBB">
      <w:pPr>
        <w:spacing w:before="100" w:beforeAutospacing="1" w:after="100" w:afterAutospacing="1" w:line="240" w:lineRule="auto"/>
        <w:jc w:val="left"/>
        <w:rPr>
          <w:rFonts w:ascii="Calibri" w:eastAsia="Malgun Gothic" w:hAnsi="Calibri" w:cs="Times New Roman"/>
          <w:szCs w:val="22"/>
          <w:lang w:val="en-GB" w:eastAsia="ko-KR"/>
        </w:rPr>
      </w:pPr>
      <w:r w:rsidRPr="001C1BBB">
        <w:rPr>
          <w:rFonts w:ascii="Calibri" w:eastAsia="Malgun Gothic" w:hAnsi="Calibri" w:cs="Times New Roman"/>
          <w:szCs w:val="22"/>
          <w:lang w:val="en-GB" w:eastAsia="ko-KR"/>
        </w:rPr>
        <w:t xml:space="preserve">Please visit our website </w:t>
      </w:r>
      <w:hyperlink r:id="rId194" w:history="1">
        <w:r w:rsidRPr="001C1BBB">
          <w:rPr>
            <w:rFonts w:ascii="Calibri" w:eastAsia="Malgun Gothic" w:hAnsi="Calibri" w:cs="Times New Roman"/>
            <w:color w:val="0000FF"/>
            <w:szCs w:val="22"/>
            <w:u w:val="single"/>
            <w:lang w:val="en-GB" w:eastAsia="ko-KR"/>
          </w:rPr>
          <w:t>https://www.qld.gov.au/community/women</w:t>
        </w:r>
      </w:hyperlink>
      <w:r w:rsidRPr="001C1BBB">
        <w:rPr>
          <w:rFonts w:ascii="Calibri" w:eastAsia="Malgun Gothic" w:hAnsi="Calibri" w:cs="Times New Roman"/>
          <w:szCs w:val="22"/>
          <w:lang w:val="en-GB" w:eastAsia="ko-KR"/>
        </w:rPr>
        <w:t xml:space="preserve"> for information about the office’s current work.</w:t>
      </w:r>
    </w:p>
    <w:p w14:paraId="6995B972" w14:textId="77777777" w:rsidR="001C1BBB" w:rsidRPr="001C1BBB" w:rsidRDefault="001C1BBB" w:rsidP="001C1BBB">
      <w:pPr>
        <w:spacing w:before="100" w:beforeAutospacing="1" w:after="100" w:afterAutospacing="1" w:line="240" w:lineRule="auto"/>
        <w:jc w:val="left"/>
        <w:rPr>
          <w:rFonts w:ascii="Calibri" w:eastAsia="Malgun Gothic" w:hAnsi="Calibri" w:cs="Times New Roman"/>
          <w:szCs w:val="22"/>
          <w:lang w:val="en-GB" w:eastAsia="ko-KR"/>
        </w:rPr>
      </w:pPr>
      <w:r w:rsidRPr="001C1BBB">
        <w:rPr>
          <w:rFonts w:ascii="Calibri" w:eastAsia="Malgun Gothic" w:hAnsi="Calibri" w:cs="Times New Roman"/>
          <w:szCs w:val="22"/>
          <w:lang w:val="en-GB" w:eastAsia="ko-KR"/>
        </w:rPr>
        <w:t xml:space="preserve">To ask a question or provide your comments about this Gender Analysis Toolkit, please email the Office for Women: </w:t>
      </w:r>
      <w:hyperlink r:id="rId195" w:history="1">
        <w:r w:rsidRPr="001C1BBB">
          <w:rPr>
            <w:rFonts w:ascii="Calibri" w:eastAsia="Malgun Gothic" w:hAnsi="Calibri" w:cs="Times New Roman"/>
            <w:color w:val="0000FF"/>
            <w:szCs w:val="22"/>
            <w:u w:val="single"/>
            <w:lang w:val="en-AU" w:eastAsia="ko-KR"/>
          </w:rPr>
          <w:t>women@qld.gov.au</w:t>
        </w:r>
      </w:hyperlink>
      <w:r w:rsidRPr="001C1BBB">
        <w:rPr>
          <w:rFonts w:ascii="Calibri" w:eastAsia="Malgun Gothic" w:hAnsi="Calibri" w:cs="Times New Roman"/>
          <w:szCs w:val="22"/>
          <w:lang w:val="en-AU" w:eastAsia="ko-KR"/>
        </w:rPr>
        <w:t xml:space="preserve"> </w:t>
      </w:r>
    </w:p>
    <w:p w14:paraId="2FF8472C" w14:textId="77777777" w:rsidR="001C1BBB" w:rsidRPr="001C1BBB" w:rsidRDefault="001C1BBB" w:rsidP="001C1BBB">
      <w:pPr>
        <w:spacing w:before="100" w:beforeAutospacing="1" w:after="100" w:afterAutospacing="1" w:line="240" w:lineRule="auto"/>
        <w:jc w:val="left"/>
        <w:rPr>
          <w:rFonts w:ascii="Calibri" w:eastAsia="Malgun Gothic" w:hAnsi="Calibri" w:cs="Times New Roman"/>
          <w:szCs w:val="22"/>
          <w:lang w:val="en-GB" w:eastAsia="ko-KR"/>
        </w:rPr>
      </w:pPr>
      <w:r w:rsidRPr="001C1BBB">
        <w:rPr>
          <w:rFonts w:ascii="Calibri" w:eastAsia="Malgun Gothic" w:hAnsi="Calibri" w:cs="Times New Roman"/>
          <w:szCs w:val="22"/>
          <w:lang w:val="en-GB" w:eastAsia="ko-KR"/>
        </w:rPr>
        <w:t>Alternatively, please contact us at:</w:t>
      </w:r>
    </w:p>
    <w:p w14:paraId="62CF2704" w14:textId="77777777" w:rsidR="001C1BBB" w:rsidRPr="001C1BBB" w:rsidRDefault="001C1BBB" w:rsidP="00F116AB">
      <w:pPr>
        <w:numPr>
          <w:ilvl w:val="0"/>
          <w:numId w:val="57"/>
        </w:numPr>
        <w:spacing w:before="100" w:beforeAutospacing="1" w:after="100" w:afterAutospacing="1" w:line="240" w:lineRule="auto"/>
        <w:ind w:left="714" w:hanging="357"/>
        <w:jc w:val="left"/>
        <w:rPr>
          <w:rFonts w:ascii="Calibri" w:eastAsia="Malgun Gothic" w:hAnsi="Calibri" w:cs="Times New Roman"/>
          <w:szCs w:val="22"/>
          <w:lang w:val="en-AU" w:eastAsia="ko-KR"/>
        </w:rPr>
      </w:pPr>
      <w:r w:rsidRPr="001C1BBB">
        <w:rPr>
          <w:rFonts w:ascii="Calibri" w:eastAsia="Malgun Gothic" w:hAnsi="Calibri" w:cs="Times New Roman"/>
          <w:szCs w:val="22"/>
          <w:lang w:val="en-AU" w:eastAsia="ko-KR"/>
        </w:rPr>
        <w:t>Phone:</w:t>
      </w:r>
      <w:r w:rsidRPr="001C1BBB">
        <w:rPr>
          <w:rFonts w:ascii="Calibri" w:eastAsia="Malgun Gothic" w:hAnsi="Calibri" w:cs="Times New Roman"/>
          <w:szCs w:val="22"/>
          <w:lang w:val="en-AU" w:eastAsia="ko-KR"/>
        </w:rPr>
        <w:tab/>
      </w:r>
      <w:r w:rsidRPr="001C1BBB">
        <w:rPr>
          <w:rFonts w:ascii="Calibri" w:eastAsia="Malgun Gothic" w:hAnsi="Calibri" w:cs="Times New Roman"/>
          <w:szCs w:val="22"/>
          <w:lang w:val="en-AU" w:eastAsia="ko-KR"/>
        </w:rPr>
        <w:tab/>
        <w:t>Women’s Infolink on 1800 177 577 (Free-call state-wide service)</w:t>
      </w:r>
    </w:p>
    <w:p w14:paraId="4018C1F5" w14:textId="77777777" w:rsidR="001C1BBB" w:rsidRPr="001C1BBB" w:rsidRDefault="001C1BBB" w:rsidP="001C1BBB">
      <w:pPr>
        <w:spacing w:line="240" w:lineRule="auto"/>
        <w:ind w:left="1440" w:firstLine="720"/>
        <w:jc w:val="left"/>
        <w:rPr>
          <w:rFonts w:ascii="Calibri" w:eastAsia="Malgun Gothic" w:hAnsi="Calibri" w:cs="Times New Roman"/>
          <w:szCs w:val="22"/>
          <w:lang w:val="en-AU" w:eastAsia="ko-KR"/>
        </w:rPr>
      </w:pPr>
      <w:r w:rsidRPr="001C1BBB">
        <w:rPr>
          <w:rFonts w:ascii="Calibri" w:eastAsia="Malgun Gothic" w:hAnsi="Calibri" w:cs="Times New Roman"/>
          <w:szCs w:val="22"/>
          <w:lang w:val="en-AU" w:eastAsia="ko-KR"/>
        </w:rPr>
        <w:t>Monday to Friday from 8am to 6pm</w:t>
      </w:r>
    </w:p>
    <w:p w14:paraId="10D5B75D" w14:textId="79DF43BC" w:rsidR="001C1BBB" w:rsidRPr="001C1BBB" w:rsidRDefault="001C1BBB" w:rsidP="00F116AB">
      <w:pPr>
        <w:numPr>
          <w:ilvl w:val="0"/>
          <w:numId w:val="57"/>
        </w:numPr>
        <w:spacing w:before="100" w:beforeAutospacing="1" w:after="100" w:afterAutospacing="1" w:line="240" w:lineRule="auto"/>
        <w:ind w:left="714" w:hanging="357"/>
        <w:jc w:val="left"/>
        <w:rPr>
          <w:rFonts w:ascii="Calibri" w:eastAsia="Malgun Gothic" w:hAnsi="Calibri" w:cs="Times New Roman"/>
          <w:szCs w:val="22"/>
          <w:lang w:val="en-AU" w:eastAsia="ko-KR"/>
        </w:rPr>
      </w:pPr>
      <w:r w:rsidRPr="001C1BBB">
        <w:rPr>
          <w:rFonts w:ascii="Calibri" w:eastAsia="Malgun Gothic" w:hAnsi="Calibri" w:cs="Times New Roman"/>
          <w:szCs w:val="22"/>
          <w:lang w:val="en-AU" w:eastAsia="ko-KR"/>
        </w:rPr>
        <w:t>Mail:</w:t>
      </w:r>
      <w:r w:rsidRPr="001C1BBB">
        <w:rPr>
          <w:rFonts w:ascii="Calibri" w:eastAsia="Malgun Gothic" w:hAnsi="Calibri" w:cs="Times New Roman"/>
          <w:szCs w:val="22"/>
          <w:lang w:val="en-AU" w:eastAsia="ko-KR"/>
        </w:rPr>
        <w:tab/>
      </w:r>
      <w:r w:rsidRPr="001C1BBB">
        <w:rPr>
          <w:rFonts w:ascii="Calibri" w:eastAsia="Malgun Gothic" w:hAnsi="Calibri" w:cs="Times New Roman"/>
          <w:szCs w:val="22"/>
          <w:lang w:val="en-AU" w:eastAsia="ko-KR"/>
        </w:rPr>
        <w:tab/>
      </w:r>
      <w:r w:rsidR="002F39AD">
        <w:rPr>
          <w:rFonts w:ascii="Calibri" w:eastAsia="Malgun Gothic" w:hAnsi="Calibri" w:cs="Times New Roman"/>
          <w:szCs w:val="22"/>
          <w:lang w:val="en-AU" w:eastAsia="ko-KR"/>
        </w:rPr>
        <w:t>Locked Bag 3405</w:t>
      </w:r>
      <w:r w:rsidRPr="001C1BBB">
        <w:rPr>
          <w:rFonts w:ascii="Calibri" w:eastAsia="Malgun Gothic" w:hAnsi="Calibri" w:cs="Times New Roman"/>
          <w:szCs w:val="22"/>
          <w:lang w:val="en-AU" w:eastAsia="ko-KR"/>
        </w:rPr>
        <w:t>, Brisbane QLD 4001</w:t>
      </w:r>
    </w:p>
    <w:p w14:paraId="342F4B27" w14:textId="1562EB8A" w:rsidR="001C1BBB" w:rsidRDefault="001C1BBB">
      <w:pPr>
        <w:spacing w:after="0" w:line="240" w:lineRule="auto"/>
        <w:jc w:val="left"/>
        <w:rPr>
          <w:lang w:val="en-AU"/>
        </w:rPr>
      </w:pPr>
      <w:r>
        <w:rPr>
          <w:lang w:val="en-AU"/>
        </w:rPr>
        <w:br w:type="page"/>
      </w:r>
    </w:p>
    <w:p w14:paraId="67D99956" w14:textId="1769D2A3" w:rsidR="00197126" w:rsidRPr="00A33FFF" w:rsidRDefault="00E62B22" w:rsidP="00197126">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240" w:line="240" w:lineRule="auto"/>
        <w:jc w:val="left"/>
        <w:rPr>
          <w:rFonts w:eastAsia="Malgun Gothic" w:cs="Arial"/>
          <w:color w:val="385623"/>
          <w:szCs w:val="22"/>
          <w:lang w:val="en-AU" w:eastAsia="ko-KR"/>
        </w:rPr>
      </w:pPr>
      <w:r>
        <w:rPr>
          <w:rFonts w:ascii="Calibri" w:eastAsia="Malgun Gothic" w:hAnsi="Calibri" w:cs="Times New Roman"/>
          <w:b/>
          <w:color w:val="385623"/>
          <w:sz w:val="36"/>
          <w:szCs w:val="36"/>
          <w:lang w:val="en-AU" w:eastAsia="ko-KR"/>
        </w:rPr>
        <w:t xml:space="preserve">GENDER ANALYSIS TOOLKIT – FEEDBACK </w:t>
      </w:r>
      <w:r w:rsidR="00197126">
        <w:rPr>
          <w:rFonts w:ascii="Calibri" w:eastAsia="Malgun Gothic" w:hAnsi="Calibri" w:cs="Times New Roman"/>
          <w:b/>
          <w:color w:val="385623"/>
          <w:sz w:val="36"/>
          <w:szCs w:val="36"/>
          <w:lang w:val="en-AU" w:eastAsia="ko-KR"/>
        </w:rPr>
        <w:t xml:space="preserve">                  </w:t>
      </w:r>
      <w:r w:rsidR="00197126">
        <w:rPr>
          <w:rFonts w:ascii="Calibri" w:eastAsia="Malgun Gothic" w:hAnsi="Calibri" w:cs="Times New Roman"/>
          <w:b/>
          <w:noProof/>
          <w:color w:val="385623"/>
          <w:sz w:val="40"/>
          <w:szCs w:val="40"/>
          <w:lang w:val="en-AU" w:eastAsia="ko-KR"/>
        </w:rPr>
        <w:drawing>
          <wp:inline distT="0" distB="0" distL="0" distR="0" wp14:anchorId="21DC77FF" wp14:editId="21F43FDD">
            <wp:extent cx="871855" cy="871855"/>
            <wp:effectExtent l="0" t="0" r="4445" b="444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pic:spPr>
                </pic:pic>
              </a:graphicData>
            </a:graphic>
          </wp:inline>
        </w:drawing>
      </w: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97126" w:rsidRPr="00197126" w14:paraId="384C2F0C" w14:textId="77777777" w:rsidTr="006125DD">
        <w:tc>
          <w:tcPr>
            <w:tcW w:w="9016" w:type="dxa"/>
            <w:shd w:val="clear" w:color="auto" w:fill="E6E7F2"/>
          </w:tcPr>
          <w:p w14:paraId="20A41FE7" w14:textId="77777777" w:rsidR="00197126" w:rsidRDefault="00197126" w:rsidP="00197126">
            <w:pPr>
              <w:spacing w:before="240" w:after="240" w:line="240" w:lineRule="auto"/>
              <w:jc w:val="left"/>
              <w:rPr>
                <w:rFonts w:ascii="Calibri" w:eastAsia="Malgun Gothic" w:hAnsi="Calibri" w:cs="Times New Roman"/>
                <w:bCs/>
              </w:rPr>
            </w:pPr>
            <w:r w:rsidRPr="00197126">
              <w:rPr>
                <w:rFonts w:ascii="Calibri" w:eastAsia="Malgun Gothic" w:hAnsi="Calibri" w:cs="Times New Roman"/>
                <w:bCs/>
              </w:rPr>
              <w:t xml:space="preserve">The Queensland Government Office for Women would like your feedback on the Gender Analysis Toolkit. Please take the time to complete and return the feedback form to us. </w:t>
            </w:r>
          </w:p>
          <w:p w14:paraId="4289B75C" w14:textId="65956B94" w:rsidR="00197126" w:rsidRPr="00197126" w:rsidRDefault="00197126" w:rsidP="00C60C93">
            <w:pPr>
              <w:spacing w:before="240" w:after="240" w:line="240" w:lineRule="auto"/>
              <w:jc w:val="left"/>
              <w:rPr>
                <w:rFonts w:ascii="Calibri" w:eastAsia="Malgun Gothic" w:hAnsi="Calibri" w:cs="Times New Roman"/>
                <w:bCs/>
              </w:rPr>
            </w:pPr>
            <w:r w:rsidRPr="00197126">
              <w:rPr>
                <w:rFonts w:ascii="Calibri" w:eastAsia="Malgun Gothic" w:hAnsi="Calibri" w:cs="Times New Roman"/>
                <w:bCs/>
              </w:rPr>
              <w:t xml:space="preserve">Your feedback will help us enhance the document, plan the next Toolkit and provide gender analysis resources in general. </w:t>
            </w:r>
          </w:p>
        </w:tc>
      </w:tr>
    </w:tbl>
    <w:p w14:paraId="5DB5A50B" w14:textId="77777777" w:rsidR="00197126" w:rsidRPr="00197126" w:rsidRDefault="00197126" w:rsidP="00F116AB">
      <w:pPr>
        <w:numPr>
          <w:ilvl w:val="0"/>
          <w:numId w:val="60"/>
        </w:numPr>
        <w:spacing w:before="240" w:beforeAutospacing="1" w:after="240" w:afterAutospacing="1" w:line="259" w:lineRule="auto"/>
        <w:ind w:left="567" w:hanging="567"/>
        <w:jc w:val="left"/>
        <w:rPr>
          <w:rFonts w:ascii="Calibri" w:eastAsia="Malgun Gothic" w:hAnsi="Calibri" w:cs="Times New Roman"/>
          <w:szCs w:val="22"/>
          <w:lang w:val="en-AU" w:eastAsia="ko-KR"/>
        </w:rPr>
      </w:pPr>
      <w:r w:rsidRPr="00197126">
        <w:rPr>
          <w:rFonts w:ascii="Calibri" w:eastAsia="Malgun Gothic" w:hAnsi="Calibri" w:cs="Times New Roman"/>
          <w:szCs w:val="22"/>
          <w:lang w:val="en-AU" w:eastAsia="ko-KR"/>
        </w:rPr>
        <w:t>How valuable do you think Gender Analysis Toolkit is as a learning resource? Circle the score that most closely represents your view.</w:t>
      </w:r>
    </w:p>
    <w:tbl>
      <w:tblPr>
        <w:tblStyle w:val="TableGrid21"/>
        <w:tblW w:w="0" w:type="auto"/>
        <w:tblLook w:val="04A0" w:firstRow="1" w:lastRow="0" w:firstColumn="1" w:lastColumn="0" w:noHBand="0" w:noVBand="1"/>
      </w:tblPr>
      <w:tblGrid>
        <w:gridCol w:w="1288"/>
        <w:gridCol w:w="1287"/>
        <w:gridCol w:w="1287"/>
        <w:gridCol w:w="1287"/>
        <w:gridCol w:w="1287"/>
        <w:gridCol w:w="1287"/>
        <w:gridCol w:w="1287"/>
      </w:tblGrid>
      <w:tr w:rsidR="00197126" w:rsidRPr="00197126" w14:paraId="27B4CDF6" w14:textId="77777777" w:rsidTr="006125DD">
        <w:tc>
          <w:tcPr>
            <w:tcW w:w="1288" w:type="dxa"/>
            <w:vAlign w:val="center"/>
          </w:tcPr>
          <w:p w14:paraId="1C896DFE" w14:textId="77777777" w:rsidR="00197126" w:rsidRPr="00197126" w:rsidRDefault="00197126" w:rsidP="00197126">
            <w:pPr>
              <w:spacing w:before="120" w:line="240" w:lineRule="auto"/>
              <w:jc w:val="center"/>
              <w:rPr>
                <w:rFonts w:ascii="Calibri" w:eastAsia="Malgun Gothic" w:hAnsi="Calibri" w:cs="Times New Roman"/>
              </w:rPr>
            </w:pPr>
            <w:r w:rsidRPr="00197126">
              <w:rPr>
                <w:rFonts w:ascii="Calibri Light" w:eastAsia="Malgun Gothic" w:hAnsi="Calibri Light" w:cs="Calibri Light"/>
                <w:b/>
                <w:bCs/>
              </w:rPr>
              <w:t>Very</w:t>
            </w:r>
          </w:p>
        </w:tc>
        <w:tc>
          <w:tcPr>
            <w:tcW w:w="1288" w:type="dxa"/>
            <w:vAlign w:val="center"/>
          </w:tcPr>
          <w:p w14:paraId="5F4D5854" w14:textId="77777777" w:rsidR="00197126" w:rsidRPr="00197126" w:rsidRDefault="00197126" w:rsidP="00197126">
            <w:pPr>
              <w:spacing w:before="120" w:line="240" w:lineRule="auto"/>
              <w:jc w:val="center"/>
              <w:rPr>
                <w:rFonts w:ascii="Calibri Light" w:eastAsia="Malgun Gothic" w:hAnsi="Calibri Light" w:cs="Calibri Light"/>
                <w:b/>
              </w:rPr>
            </w:pPr>
            <w:r w:rsidRPr="00197126">
              <w:rPr>
                <w:rFonts w:ascii="Calibri Light" w:eastAsia="Malgun Gothic" w:hAnsi="Calibri Light" w:cs="Calibri Light"/>
                <w:b/>
              </w:rPr>
              <w:t>5</w:t>
            </w:r>
          </w:p>
        </w:tc>
        <w:tc>
          <w:tcPr>
            <w:tcW w:w="1288" w:type="dxa"/>
            <w:vAlign w:val="center"/>
          </w:tcPr>
          <w:p w14:paraId="35426B0E" w14:textId="77777777" w:rsidR="00197126" w:rsidRPr="00197126" w:rsidRDefault="00197126" w:rsidP="00197126">
            <w:pPr>
              <w:spacing w:before="120" w:line="240" w:lineRule="auto"/>
              <w:jc w:val="center"/>
              <w:rPr>
                <w:rFonts w:ascii="Calibri Light" w:eastAsia="Malgun Gothic" w:hAnsi="Calibri Light" w:cs="Calibri Light"/>
                <w:b/>
              </w:rPr>
            </w:pPr>
            <w:r w:rsidRPr="00197126">
              <w:rPr>
                <w:rFonts w:ascii="Calibri Light" w:eastAsia="Malgun Gothic" w:hAnsi="Calibri Light" w:cs="Calibri Light"/>
                <w:b/>
              </w:rPr>
              <w:t>4</w:t>
            </w:r>
          </w:p>
        </w:tc>
        <w:tc>
          <w:tcPr>
            <w:tcW w:w="1288" w:type="dxa"/>
            <w:vAlign w:val="center"/>
          </w:tcPr>
          <w:p w14:paraId="5011B813" w14:textId="77777777" w:rsidR="00197126" w:rsidRPr="00197126" w:rsidRDefault="00197126" w:rsidP="00197126">
            <w:pPr>
              <w:spacing w:before="120" w:line="240" w:lineRule="auto"/>
              <w:jc w:val="center"/>
              <w:rPr>
                <w:rFonts w:ascii="Calibri Light" w:eastAsia="Malgun Gothic" w:hAnsi="Calibri Light" w:cs="Calibri Light"/>
                <w:b/>
              </w:rPr>
            </w:pPr>
            <w:r w:rsidRPr="00197126">
              <w:rPr>
                <w:rFonts w:ascii="Calibri Light" w:eastAsia="Malgun Gothic" w:hAnsi="Calibri Light" w:cs="Calibri Light"/>
                <w:b/>
              </w:rPr>
              <w:t>3</w:t>
            </w:r>
          </w:p>
        </w:tc>
        <w:tc>
          <w:tcPr>
            <w:tcW w:w="1288" w:type="dxa"/>
            <w:vAlign w:val="center"/>
          </w:tcPr>
          <w:p w14:paraId="52CF8F63" w14:textId="77777777" w:rsidR="00197126" w:rsidRPr="00197126" w:rsidRDefault="00197126" w:rsidP="00197126">
            <w:pPr>
              <w:spacing w:before="120" w:line="240" w:lineRule="auto"/>
              <w:jc w:val="center"/>
              <w:rPr>
                <w:rFonts w:ascii="Calibri Light" w:eastAsia="Malgun Gothic" w:hAnsi="Calibri Light" w:cs="Calibri Light"/>
                <w:b/>
              </w:rPr>
            </w:pPr>
            <w:r w:rsidRPr="00197126">
              <w:rPr>
                <w:rFonts w:ascii="Calibri Light" w:eastAsia="Malgun Gothic" w:hAnsi="Calibri Light" w:cs="Calibri Light"/>
                <w:b/>
              </w:rPr>
              <w:t>2</w:t>
            </w:r>
          </w:p>
        </w:tc>
        <w:tc>
          <w:tcPr>
            <w:tcW w:w="1288" w:type="dxa"/>
            <w:vAlign w:val="center"/>
          </w:tcPr>
          <w:p w14:paraId="7FBCA4AC" w14:textId="77777777" w:rsidR="00197126" w:rsidRPr="00197126" w:rsidRDefault="00197126" w:rsidP="00197126">
            <w:pPr>
              <w:spacing w:before="120" w:line="240" w:lineRule="auto"/>
              <w:jc w:val="center"/>
              <w:rPr>
                <w:rFonts w:ascii="Calibri Light" w:eastAsia="Malgun Gothic" w:hAnsi="Calibri Light" w:cs="Calibri Light"/>
                <w:b/>
              </w:rPr>
            </w:pPr>
            <w:r w:rsidRPr="00197126">
              <w:rPr>
                <w:rFonts w:ascii="Calibri Light" w:eastAsia="Malgun Gothic" w:hAnsi="Calibri Light" w:cs="Calibri Light"/>
                <w:b/>
              </w:rPr>
              <w:t>1</w:t>
            </w:r>
          </w:p>
        </w:tc>
        <w:tc>
          <w:tcPr>
            <w:tcW w:w="1288" w:type="dxa"/>
            <w:vAlign w:val="center"/>
          </w:tcPr>
          <w:p w14:paraId="03066747" w14:textId="77777777" w:rsidR="00197126" w:rsidRPr="00197126" w:rsidRDefault="00197126" w:rsidP="00197126">
            <w:pPr>
              <w:spacing w:before="120" w:line="240" w:lineRule="auto"/>
              <w:jc w:val="center"/>
              <w:rPr>
                <w:rFonts w:ascii="Calibri" w:eastAsia="Malgun Gothic" w:hAnsi="Calibri" w:cs="Times New Roman"/>
              </w:rPr>
            </w:pPr>
            <w:r w:rsidRPr="00197126">
              <w:rPr>
                <w:rFonts w:ascii="Calibri Light" w:eastAsia="Malgun Gothic" w:hAnsi="Calibri Light" w:cs="Calibri Light"/>
                <w:b/>
                <w:bCs/>
              </w:rPr>
              <w:t>Nil</w:t>
            </w:r>
          </w:p>
        </w:tc>
      </w:tr>
    </w:tbl>
    <w:p w14:paraId="5E4E0E90" w14:textId="77777777" w:rsidR="00197126" w:rsidRPr="00197126" w:rsidRDefault="00197126" w:rsidP="00197126">
      <w:pPr>
        <w:spacing w:before="240" w:after="240" w:line="259" w:lineRule="auto"/>
        <w:ind w:left="567"/>
        <w:contextualSpacing/>
        <w:jc w:val="left"/>
        <w:rPr>
          <w:rFonts w:ascii="Calibri" w:eastAsia="Malgun Gothic" w:hAnsi="Calibri" w:cs="Times New Roman"/>
          <w:bCs/>
          <w:szCs w:val="22"/>
          <w:lang w:val="en-AU" w:eastAsia="ko-KR"/>
        </w:rPr>
      </w:pPr>
    </w:p>
    <w:p w14:paraId="7391A3FE" w14:textId="77777777" w:rsidR="00197126" w:rsidRDefault="00197126" w:rsidP="00F116AB">
      <w:pPr>
        <w:numPr>
          <w:ilvl w:val="0"/>
          <w:numId w:val="60"/>
        </w:numPr>
        <w:spacing w:before="240" w:beforeAutospacing="1" w:after="240" w:afterAutospacing="1" w:line="259" w:lineRule="auto"/>
        <w:ind w:left="567" w:hanging="567"/>
        <w:contextualSpacing/>
        <w:jc w:val="left"/>
        <w:rPr>
          <w:rFonts w:ascii="Calibri" w:eastAsia="Malgun Gothic" w:hAnsi="Calibri" w:cs="Times New Roman"/>
          <w:bCs/>
          <w:szCs w:val="22"/>
          <w:lang w:val="en-AU" w:eastAsia="ko-KR"/>
        </w:rPr>
      </w:pPr>
      <w:r w:rsidRPr="00197126">
        <w:rPr>
          <w:rFonts w:ascii="Calibri" w:eastAsia="Malgun Gothic" w:hAnsi="Calibri" w:cs="Times New Roman"/>
          <w:bCs/>
          <w:szCs w:val="22"/>
          <w:lang w:val="en-AU" w:eastAsia="ko-KR"/>
        </w:rPr>
        <w:t xml:space="preserve">What </w:t>
      </w:r>
      <w:r w:rsidRPr="00197126">
        <w:rPr>
          <w:rFonts w:ascii="Calibri" w:eastAsia="Malgun Gothic" w:hAnsi="Calibri" w:cs="Times New Roman"/>
          <w:bCs/>
          <w:szCs w:val="22"/>
          <w:u w:val="single"/>
          <w:lang w:val="en-AU" w:eastAsia="ko-KR"/>
        </w:rPr>
        <w:t>wasn’t</w:t>
      </w:r>
      <w:r w:rsidRPr="00197126">
        <w:rPr>
          <w:rFonts w:ascii="Calibri" w:eastAsia="Malgun Gothic" w:hAnsi="Calibri" w:cs="Times New Roman"/>
          <w:bCs/>
          <w:szCs w:val="22"/>
          <w:lang w:val="en-AU" w:eastAsia="ko-KR"/>
        </w:rPr>
        <w:t xml:space="preserve"> in the Toolkit that you think should be included?</w:t>
      </w:r>
    </w:p>
    <w:p w14:paraId="7DA79465" w14:textId="77777777" w:rsidR="00732B21" w:rsidRPr="00197126" w:rsidRDefault="00732B21" w:rsidP="00732B21">
      <w:pPr>
        <w:spacing w:before="240" w:beforeAutospacing="1" w:after="240" w:afterAutospacing="1" w:line="259" w:lineRule="auto"/>
        <w:ind w:left="567"/>
        <w:contextualSpacing/>
        <w:jc w:val="left"/>
        <w:rPr>
          <w:rFonts w:ascii="Calibri" w:eastAsia="Malgun Gothic" w:hAnsi="Calibri" w:cs="Times New Roman"/>
          <w:bCs/>
          <w:szCs w:val="22"/>
          <w:lang w:val="en-AU" w:eastAsia="ko-KR"/>
        </w:rPr>
      </w:pPr>
    </w:p>
    <w:p w14:paraId="354D46E1" w14:textId="77777777" w:rsidR="00197126" w:rsidRPr="00197126" w:rsidRDefault="00197126" w:rsidP="00197126">
      <w:pPr>
        <w:spacing w:before="240" w:after="240" w:line="259" w:lineRule="auto"/>
        <w:ind w:left="737" w:hanging="737"/>
        <w:jc w:val="left"/>
        <w:rPr>
          <w:rFonts w:ascii="Calibri" w:eastAsia="Malgun Gothic" w:hAnsi="Calibri" w:cs="Times New Roman"/>
          <w:bCs/>
          <w:szCs w:val="22"/>
          <w:lang w:val="en-AU" w:eastAsia="ko-KR"/>
        </w:rPr>
      </w:pPr>
      <w:r w:rsidRPr="00197126">
        <w:rPr>
          <w:rFonts w:ascii="Calibri" w:eastAsia="Malgun Gothic" w:hAnsi="Calibri" w:cs="Times New Roman"/>
          <w:bCs/>
          <w:szCs w:val="22"/>
          <w:lang w:val="en-AU" w:eastAsia="ko-KR"/>
        </w:rPr>
        <w:t>__________________________________________________________________________________</w:t>
      </w:r>
    </w:p>
    <w:p w14:paraId="70A4E619" w14:textId="77777777" w:rsidR="00197126" w:rsidRPr="00197126" w:rsidRDefault="00197126" w:rsidP="00197126">
      <w:pPr>
        <w:spacing w:before="240" w:after="240" w:line="259" w:lineRule="auto"/>
        <w:ind w:left="737" w:hanging="737"/>
        <w:jc w:val="left"/>
        <w:rPr>
          <w:rFonts w:ascii="Calibri" w:eastAsia="Malgun Gothic" w:hAnsi="Calibri" w:cs="Times New Roman"/>
          <w:bCs/>
          <w:szCs w:val="22"/>
          <w:lang w:val="en-AU" w:eastAsia="ko-KR"/>
        </w:rPr>
      </w:pPr>
      <w:r w:rsidRPr="00197126">
        <w:rPr>
          <w:rFonts w:ascii="Calibri" w:eastAsia="Malgun Gothic" w:hAnsi="Calibri" w:cs="Times New Roman"/>
          <w:bCs/>
          <w:szCs w:val="22"/>
          <w:lang w:val="en-AU" w:eastAsia="ko-KR"/>
        </w:rPr>
        <w:t>__________________________________________________________________________________</w:t>
      </w:r>
    </w:p>
    <w:p w14:paraId="011C4E6A" w14:textId="77777777" w:rsidR="00197126" w:rsidRPr="00197126" w:rsidRDefault="00197126" w:rsidP="00197126">
      <w:pPr>
        <w:spacing w:before="240" w:after="240" w:line="259" w:lineRule="auto"/>
        <w:ind w:left="737" w:hanging="737"/>
        <w:jc w:val="left"/>
        <w:rPr>
          <w:rFonts w:ascii="Calibri" w:eastAsia="Malgun Gothic" w:hAnsi="Calibri" w:cs="Times New Roman"/>
          <w:bCs/>
          <w:szCs w:val="22"/>
          <w:lang w:val="en-AU" w:eastAsia="ko-KR"/>
        </w:rPr>
      </w:pPr>
      <w:r w:rsidRPr="00197126">
        <w:rPr>
          <w:rFonts w:ascii="Calibri" w:eastAsia="Malgun Gothic" w:hAnsi="Calibri" w:cs="Times New Roman"/>
          <w:bCs/>
          <w:szCs w:val="22"/>
          <w:lang w:val="en-AU" w:eastAsia="ko-KR"/>
        </w:rPr>
        <w:t>__________________________________________________________________________________</w:t>
      </w:r>
    </w:p>
    <w:p w14:paraId="26B9144B" w14:textId="77777777" w:rsidR="00197126" w:rsidRPr="00197126" w:rsidRDefault="00197126" w:rsidP="00F116AB">
      <w:pPr>
        <w:numPr>
          <w:ilvl w:val="0"/>
          <w:numId w:val="60"/>
        </w:numPr>
        <w:spacing w:before="240" w:beforeAutospacing="1" w:after="240" w:afterAutospacing="1" w:line="259" w:lineRule="auto"/>
        <w:ind w:left="567" w:hanging="567"/>
        <w:jc w:val="left"/>
        <w:rPr>
          <w:rFonts w:ascii="Calibri" w:eastAsia="Malgun Gothic" w:hAnsi="Calibri" w:cs="Times New Roman"/>
          <w:bCs/>
          <w:szCs w:val="22"/>
          <w:lang w:val="en-AU" w:eastAsia="ko-KR"/>
        </w:rPr>
      </w:pPr>
      <w:r w:rsidRPr="00197126">
        <w:rPr>
          <w:rFonts w:ascii="Calibri" w:eastAsia="Malgun Gothic" w:hAnsi="Calibri" w:cs="Times New Roman"/>
          <w:bCs/>
          <w:szCs w:val="22"/>
          <w:lang w:val="en-AU" w:eastAsia="ko-KR"/>
        </w:rPr>
        <w:t>How helpful do you think each section of the Toolkit is (or would be) for integrating gender considerations into your work?</w:t>
      </w:r>
    </w:p>
    <w:tbl>
      <w:tblPr>
        <w:tblStyle w:val="TableGrid21"/>
        <w:tblW w:w="0" w:type="auto"/>
        <w:tblLook w:val="04A0" w:firstRow="1" w:lastRow="0" w:firstColumn="1" w:lastColumn="0" w:noHBand="0" w:noVBand="1"/>
      </w:tblPr>
      <w:tblGrid>
        <w:gridCol w:w="2404"/>
        <w:gridCol w:w="851"/>
        <w:gridCol w:w="854"/>
        <w:gridCol w:w="872"/>
        <w:gridCol w:w="4029"/>
      </w:tblGrid>
      <w:tr w:rsidR="00197126" w:rsidRPr="00197126" w14:paraId="58EE9B87" w14:textId="77777777" w:rsidTr="00197126">
        <w:trPr>
          <w:tblHeader/>
        </w:trPr>
        <w:tc>
          <w:tcPr>
            <w:tcW w:w="2405" w:type="dxa"/>
            <w:vAlign w:val="center"/>
          </w:tcPr>
          <w:p w14:paraId="254C5851" w14:textId="77777777" w:rsidR="00197126" w:rsidRPr="00197126" w:rsidRDefault="00197126" w:rsidP="00197126">
            <w:pPr>
              <w:spacing w:before="120" w:line="240" w:lineRule="auto"/>
              <w:jc w:val="center"/>
              <w:rPr>
                <w:rFonts w:ascii="Calibri Light" w:eastAsia="Malgun Gothic" w:hAnsi="Calibri Light" w:cs="Calibri Light"/>
                <w:b/>
                <w:bCs/>
              </w:rPr>
            </w:pPr>
            <w:r w:rsidRPr="00197126">
              <w:rPr>
                <w:rFonts w:ascii="Calibri Light" w:eastAsia="Malgun Gothic" w:hAnsi="Calibri Light" w:cs="Calibri Light"/>
                <w:b/>
                <w:bCs/>
              </w:rPr>
              <w:t>Section</w:t>
            </w:r>
          </w:p>
        </w:tc>
        <w:tc>
          <w:tcPr>
            <w:tcW w:w="2577" w:type="dxa"/>
            <w:gridSpan w:val="3"/>
            <w:vAlign w:val="center"/>
          </w:tcPr>
          <w:p w14:paraId="7CE4D172" w14:textId="77777777" w:rsidR="00197126" w:rsidRPr="00197126" w:rsidRDefault="00197126" w:rsidP="00197126">
            <w:pPr>
              <w:spacing w:before="120" w:line="240" w:lineRule="auto"/>
              <w:jc w:val="center"/>
              <w:rPr>
                <w:rFonts w:ascii="Calibri Light" w:eastAsia="Malgun Gothic" w:hAnsi="Calibri Light" w:cs="Calibri Light"/>
                <w:bCs/>
              </w:rPr>
            </w:pPr>
            <w:r w:rsidRPr="00197126">
              <w:rPr>
                <w:rFonts w:ascii="Calibri Light" w:eastAsia="Malgun Gothic" w:hAnsi="Calibri Light" w:cs="Calibri Light"/>
                <w:b/>
                <w:bCs/>
              </w:rPr>
              <w:t xml:space="preserve">Your view </w:t>
            </w:r>
            <w:r w:rsidRPr="00197126">
              <w:rPr>
                <w:rFonts w:ascii="Calibri Light" w:eastAsia="Malgun Gothic" w:hAnsi="Calibri Light" w:cs="Calibri Light"/>
                <w:bCs/>
              </w:rPr>
              <w:t>(circle one)</w:t>
            </w:r>
          </w:p>
        </w:tc>
        <w:tc>
          <w:tcPr>
            <w:tcW w:w="4034" w:type="dxa"/>
            <w:vAlign w:val="center"/>
          </w:tcPr>
          <w:p w14:paraId="71440131" w14:textId="77777777" w:rsidR="00197126" w:rsidRPr="00197126" w:rsidRDefault="00197126" w:rsidP="00197126">
            <w:pPr>
              <w:spacing w:before="120" w:line="240" w:lineRule="auto"/>
              <w:jc w:val="center"/>
              <w:rPr>
                <w:rFonts w:ascii="Calibri Light" w:eastAsia="Malgun Gothic" w:hAnsi="Calibri Light" w:cs="Calibri Light"/>
                <w:b/>
                <w:bCs/>
              </w:rPr>
            </w:pPr>
            <w:r w:rsidRPr="00197126">
              <w:rPr>
                <w:rFonts w:ascii="Calibri Light" w:eastAsia="Malgun Gothic" w:hAnsi="Calibri Light" w:cs="Calibri Light"/>
                <w:b/>
                <w:bCs/>
              </w:rPr>
              <w:t>Your suggestions for improvement</w:t>
            </w:r>
          </w:p>
        </w:tc>
      </w:tr>
      <w:tr w:rsidR="00197126" w:rsidRPr="00197126" w14:paraId="77F2D6CB" w14:textId="77777777" w:rsidTr="006125DD">
        <w:tc>
          <w:tcPr>
            <w:tcW w:w="2405" w:type="dxa"/>
          </w:tcPr>
          <w:p w14:paraId="54D16514" w14:textId="77777777" w:rsidR="00197126" w:rsidRPr="00197126" w:rsidRDefault="00197126" w:rsidP="00F116AB">
            <w:pPr>
              <w:numPr>
                <w:ilvl w:val="0"/>
                <w:numId w:val="59"/>
              </w:numPr>
              <w:spacing w:after="80" w:line="240" w:lineRule="auto"/>
              <w:ind w:left="357" w:hanging="357"/>
              <w:jc w:val="left"/>
              <w:rPr>
                <w:rFonts w:ascii="Calibri Light" w:eastAsia="Malgun Gothic" w:hAnsi="Calibri Light" w:cs="Calibri Light"/>
                <w:b/>
                <w:bCs/>
              </w:rPr>
            </w:pPr>
            <w:r w:rsidRPr="00197126">
              <w:rPr>
                <w:rFonts w:ascii="Calibri Light" w:eastAsia="Malgun Gothic" w:hAnsi="Calibri Light" w:cs="Calibri Light"/>
                <w:b/>
                <w:bCs/>
              </w:rPr>
              <w:t>What is gender analysis?</w:t>
            </w:r>
          </w:p>
        </w:tc>
        <w:tc>
          <w:tcPr>
            <w:tcW w:w="851" w:type="dxa"/>
            <w:vAlign w:val="center"/>
          </w:tcPr>
          <w:p w14:paraId="001FA4B5" w14:textId="77777777" w:rsidR="00197126" w:rsidRPr="00197126" w:rsidRDefault="00197126" w:rsidP="00197126">
            <w:pPr>
              <w:spacing w:line="240" w:lineRule="auto"/>
              <w:jc w:val="center"/>
              <w:rPr>
                <w:rFonts w:ascii="Calibri Light" w:eastAsia="Malgun Gothic" w:hAnsi="Calibri Light" w:cs="Calibri Light"/>
                <w:bCs/>
              </w:rPr>
            </w:pPr>
            <w:r w:rsidRPr="00197126">
              <w:rPr>
                <w:rFonts w:ascii="Calibri Light" w:eastAsia="Malgun Gothic" w:hAnsi="Calibri Light" w:cs="Calibri Light"/>
                <w:bCs/>
              </w:rPr>
              <w:t>Very helpful</w:t>
            </w:r>
          </w:p>
        </w:tc>
        <w:tc>
          <w:tcPr>
            <w:tcW w:w="854" w:type="dxa"/>
            <w:vAlign w:val="center"/>
          </w:tcPr>
          <w:p w14:paraId="58FE7192" w14:textId="77777777" w:rsidR="00197126" w:rsidRPr="00197126" w:rsidRDefault="00197126" w:rsidP="00197126">
            <w:pPr>
              <w:spacing w:line="240" w:lineRule="auto"/>
              <w:jc w:val="center"/>
              <w:rPr>
                <w:rFonts w:ascii="Calibri Light" w:eastAsia="Malgun Gothic" w:hAnsi="Calibri Light" w:cs="Calibri Light"/>
                <w:bCs/>
              </w:rPr>
            </w:pPr>
            <w:r w:rsidRPr="00197126">
              <w:rPr>
                <w:rFonts w:ascii="Calibri Light" w:eastAsia="Malgun Gothic" w:hAnsi="Calibri Light" w:cs="Calibri Light"/>
                <w:bCs/>
              </w:rPr>
              <w:t>Helpful</w:t>
            </w:r>
          </w:p>
        </w:tc>
        <w:tc>
          <w:tcPr>
            <w:tcW w:w="872" w:type="dxa"/>
            <w:vAlign w:val="center"/>
          </w:tcPr>
          <w:p w14:paraId="3457C243" w14:textId="77777777" w:rsidR="00197126" w:rsidRPr="00197126" w:rsidRDefault="00197126" w:rsidP="00197126">
            <w:pPr>
              <w:spacing w:line="240" w:lineRule="auto"/>
              <w:jc w:val="center"/>
              <w:rPr>
                <w:rFonts w:ascii="Calibri Light" w:eastAsia="Malgun Gothic" w:hAnsi="Calibri Light" w:cs="Calibri Light"/>
                <w:bCs/>
              </w:rPr>
            </w:pPr>
            <w:r w:rsidRPr="00197126">
              <w:rPr>
                <w:rFonts w:ascii="Calibri Light" w:eastAsia="Malgun Gothic" w:hAnsi="Calibri Light" w:cs="Calibri Light"/>
                <w:bCs/>
              </w:rPr>
              <w:t>Not helpful</w:t>
            </w:r>
          </w:p>
        </w:tc>
        <w:tc>
          <w:tcPr>
            <w:tcW w:w="4034" w:type="dxa"/>
          </w:tcPr>
          <w:p w14:paraId="25C44C7F" w14:textId="77777777" w:rsidR="00197126" w:rsidRPr="00197126" w:rsidRDefault="00197126" w:rsidP="00197126">
            <w:pPr>
              <w:spacing w:line="240" w:lineRule="auto"/>
              <w:jc w:val="left"/>
              <w:rPr>
                <w:rFonts w:ascii="Calibri" w:eastAsia="Malgun Gothic" w:hAnsi="Calibri" w:cs="Times New Roman"/>
                <w:bCs/>
              </w:rPr>
            </w:pPr>
          </w:p>
          <w:p w14:paraId="76B77AE7" w14:textId="77777777" w:rsidR="00197126" w:rsidRPr="00197126" w:rsidRDefault="00197126" w:rsidP="00197126">
            <w:pPr>
              <w:spacing w:line="240" w:lineRule="auto"/>
              <w:jc w:val="left"/>
              <w:rPr>
                <w:rFonts w:ascii="Calibri" w:eastAsia="Malgun Gothic" w:hAnsi="Calibri" w:cs="Times New Roman"/>
                <w:bCs/>
              </w:rPr>
            </w:pPr>
          </w:p>
        </w:tc>
      </w:tr>
      <w:tr w:rsidR="00197126" w:rsidRPr="00197126" w14:paraId="0C3EC91E" w14:textId="77777777" w:rsidTr="006125DD">
        <w:tc>
          <w:tcPr>
            <w:tcW w:w="2405" w:type="dxa"/>
          </w:tcPr>
          <w:p w14:paraId="3A2712B9" w14:textId="77777777" w:rsidR="00197126" w:rsidRPr="00197126" w:rsidRDefault="00197126" w:rsidP="00F116AB">
            <w:pPr>
              <w:numPr>
                <w:ilvl w:val="0"/>
                <w:numId w:val="59"/>
              </w:numPr>
              <w:spacing w:after="80" w:line="240" w:lineRule="auto"/>
              <w:ind w:left="357" w:hanging="357"/>
              <w:jc w:val="left"/>
              <w:rPr>
                <w:rFonts w:ascii="Calibri Light" w:eastAsia="Malgun Gothic" w:hAnsi="Calibri Light" w:cs="Calibri Light"/>
                <w:b/>
                <w:bCs/>
              </w:rPr>
            </w:pPr>
            <w:r w:rsidRPr="00197126">
              <w:rPr>
                <w:rFonts w:ascii="Calibri Light" w:eastAsia="Malgun Gothic" w:hAnsi="Calibri Light" w:cs="Calibri Light"/>
                <w:b/>
                <w:bCs/>
              </w:rPr>
              <w:t>Why is gender analysis necessary?</w:t>
            </w:r>
          </w:p>
        </w:tc>
        <w:tc>
          <w:tcPr>
            <w:tcW w:w="851" w:type="dxa"/>
            <w:vAlign w:val="center"/>
          </w:tcPr>
          <w:p w14:paraId="0806091E" w14:textId="77777777" w:rsidR="00197126" w:rsidRPr="00197126" w:rsidRDefault="00197126" w:rsidP="00197126">
            <w:pPr>
              <w:spacing w:after="0" w:line="240" w:lineRule="auto"/>
              <w:jc w:val="center"/>
              <w:rPr>
                <w:rFonts w:ascii="Calibri Light" w:eastAsia="Malgun Gothic" w:hAnsi="Calibri Light" w:cs="Calibri Light"/>
                <w:bCs/>
              </w:rPr>
            </w:pPr>
            <w:r w:rsidRPr="00197126">
              <w:rPr>
                <w:rFonts w:ascii="Calibri Light" w:eastAsia="Malgun Gothic" w:hAnsi="Calibri Light" w:cs="Calibri Light"/>
                <w:bCs/>
              </w:rPr>
              <w:t>Very helpful</w:t>
            </w:r>
          </w:p>
        </w:tc>
        <w:tc>
          <w:tcPr>
            <w:tcW w:w="854" w:type="dxa"/>
            <w:vAlign w:val="center"/>
          </w:tcPr>
          <w:p w14:paraId="6A98896E" w14:textId="77777777" w:rsidR="00197126" w:rsidRPr="00197126" w:rsidRDefault="00197126" w:rsidP="00197126">
            <w:pPr>
              <w:spacing w:after="0" w:line="240" w:lineRule="auto"/>
              <w:jc w:val="center"/>
              <w:rPr>
                <w:rFonts w:ascii="Calibri Light" w:eastAsia="Malgun Gothic" w:hAnsi="Calibri Light" w:cs="Calibri Light"/>
                <w:bCs/>
              </w:rPr>
            </w:pPr>
            <w:r w:rsidRPr="00197126">
              <w:rPr>
                <w:rFonts w:ascii="Calibri Light" w:eastAsia="Malgun Gothic" w:hAnsi="Calibri Light" w:cs="Calibri Light"/>
                <w:bCs/>
              </w:rPr>
              <w:t>Helpful</w:t>
            </w:r>
          </w:p>
        </w:tc>
        <w:tc>
          <w:tcPr>
            <w:tcW w:w="872" w:type="dxa"/>
            <w:vAlign w:val="center"/>
          </w:tcPr>
          <w:p w14:paraId="78DD3060" w14:textId="77777777" w:rsidR="00197126" w:rsidRPr="00197126" w:rsidRDefault="00197126" w:rsidP="00197126">
            <w:pPr>
              <w:spacing w:after="0" w:line="240" w:lineRule="auto"/>
              <w:jc w:val="center"/>
              <w:rPr>
                <w:rFonts w:ascii="Calibri Light" w:eastAsia="Malgun Gothic" w:hAnsi="Calibri Light" w:cs="Calibri Light"/>
                <w:bCs/>
              </w:rPr>
            </w:pPr>
            <w:r w:rsidRPr="00197126">
              <w:rPr>
                <w:rFonts w:ascii="Calibri Light" w:eastAsia="Malgun Gothic" w:hAnsi="Calibri Light" w:cs="Calibri Light"/>
                <w:bCs/>
              </w:rPr>
              <w:t>Not helpful</w:t>
            </w:r>
          </w:p>
        </w:tc>
        <w:tc>
          <w:tcPr>
            <w:tcW w:w="4034" w:type="dxa"/>
          </w:tcPr>
          <w:p w14:paraId="5895D6E6" w14:textId="77777777" w:rsidR="00197126" w:rsidRPr="00197126" w:rsidRDefault="00197126" w:rsidP="00197126">
            <w:pPr>
              <w:spacing w:after="0" w:line="240" w:lineRule="auto"/>
              <w:jc w:val="left"/>
              <w:rPr>
                <w:rFonts w:ascii="Calibri" w:eastAsia="Malgun Gothic" w:hAnsi="Calibri" w:cs="Times New Roman"/>
                <w:bCs/>
              </w:rPr>
            </w:pPr>
          </w:p>
          <w:p w14:paraId="0762117F" w14:textId="77777777" w:rsidR="00197126" w:rsidRPr="00197126" w:rsidRDefault="00197126" w:rsidP="00197126">
            <w:pPr>
              <w:spacing w:after="0" w:line="240" w:lineRule="auto"/>
              <w:jc w:val="left"/>
              <w:rPr>
                <w:rFonts w:ascii="Calibri" w:eastAsia="Malgun Gothic" w:hAnsi="Calibri" w:cs="Times New Roman"/>
                <w:bCs/>
              </w:rPr>
            </w:pPr>
          </w:p>
          <w:p w14:paraId="5845E3BE" w14:textId="77777777" w:rsidR="00197126" w:rsidRPr="00197126" w:rsidRDefault="00197126" w:rsidP="00197126">
            <w:pPr>
              <w:spacing w:after="0" w:line="240" w:lineRule="auto"/>
              <w:jc w:val="left"/>
              <w:rPr>
                <w:rFonts w:ascii="Calibri" w:eastAsia="Malgun Gothic" w:hAnsi="Calibri" w:cs="Times New Roman"/>
                <w:bCs/>
              </w:rPr>
            </w:pPr>
          </w:p>
        </w:tc>
      </w:tr>
      <w:tr w:rsidR="00197126" w:rsidRPr="00197126" w14:paraId="29C25D8C" w14:textId="77777777" w:rsidTr="006125DD">
        <w:tc>
          <w:tcPr>
            <w:tcW w:w="2405" w:type="dxa"/>
          </w:tcPr>
          <w:p w14:paraId="5FB63640" w14:textId="77777777" w:rsidR="00197126" w:rsidRPr="00197126" w:rsidRDefault="00197126" w:rsidP="00F116AB">
            <w:pPr>
              <w:numPr>
                <w:ilvl w:val="0"/>
                <w:numId w:val="59"/>
              </w:numPr>
              <w:spacing w:after="80" w:line="240" w:lineRule="auto"/>
              <w:ind w:left="357" w:hanging="357"/>
              <w:jc w:val="left"/>
              <w:rPr>
                <w:rFonts w:ascii="Calibri Light" w:eastAsia="Malgun Gothic" w:hAnsi="Calibri Light" w:cs="Calibri Light"/>
                <w:b/>
                <w:bCs/>
              </w:rPr>
            </w:pPr>
            <w:r w:rsidRPr="00197126">
              <w:rPr>
                <w:rFonts w:ascii="Calibri Light" w:eastAsia="Malgun Gothic" w:hAnsi="Calibri Light" w:cs="Calibri Light"/>
                <w:b/>
                <w:bCs/>
              </w:rPr>
              <w:t>How do I carry out a gender analysis?</w:t>
            </w:r>
          </w:p>
        </w:tc>
        <w:tc>
          <w:tcPr>
            <w:tcW w:w="851" w:type="dxa"/>
            <w:vAlign w:val="center"/>
          </w:tcPr>
          <w:p w14:paraId="6C4C117C" w14:textId="77777777" w:rsidR="00197126" w:rsidRPr="00197126" w:rsidRDefault="00197126" w:rsidP="00197126">
            <w:pPr>
              <w:spacing w:after="0" w:line="240" w:lineRule="auto"/>
              <w:jc w:val="center"/>
              <w:rPr>
                <w:rFonts w:ascii="Calibri Light" w:eastAsia="Malgun Gothic" w:hAnsi="Calibri Light" w:cs="Calibri Light"/>
                <w:bCs/>
              </w:rPr>
            </w:pPr>
            <w:r w:rsidRPr="00197126">
              <w:rPr>
                <w:rFonts w:ascii="Calibri Light" w:eastAsia="Malgun Gothic" w:hAnsi="Calibri Light" w:cs="Calibri Light"/>
                <w:bCs/>
              </w:rPr>
              <w:t>Very helpful</w:t>
            </w:r>
          </w:p>
        </w:tc>
        <w:tc>
          <w:tcPr>
            <w:tcW w:w="854" w:type="dxa"/>
            <w:vAlign w:val="center"/>
          </w:tcPr>
          <w:p w14:paraId="3D47B2E4" w14:textId="77777777" w:rsidR="00197126" w:rsidRPr="00197126" w:rsidRDefault="00197126" w:rsidP="00197126">
            <w:pPr>
              <w:spacing w:after="0" w:line="240" w:lineRule="auto"/>
              <w:jc w:val="center"/>
              <w:rPr>
                <w:rFonts w:ascii="Calibri Light" w:eastAsia="Malgun Gothic" w:hAnsi="Calibri Light" w:cs="Calibri Light"/>
                <w:bCs/>
              </w:rPr>
            </w:pPr>
            <w:r w:rsidRPr="00197126">
              <w:rPr>
                <w:rFonts w:ascii="Calibri Light" w:eastAsia="Malgun Gothic" w:hAnsi="Calibri Light" w:cs="Calibri Light"/>
                <w:bCs/>
              </w:rPr>
              <w:t>Helpful</w:t>
            </w:r>
          </w:p>
        </w:tc>
        <w:tc>
          <w:tcPr>
            <w:tcW w:w="872" w:type="dxa"/>
            <w:vAlign w:val="center"/>
          </w:tcPr>
          <w:p w14:paraId="02A69D96" w14:textId="77777777" w:rsidR="00197126" w:rsidRPr="00197126" w:rsidRDefault="00197126" w:rsidP="00197126">
            <w:pPr>
              <w:spacing w:after="0" w:line="240" w:lineRule="auto"/>
              <w:jc w:val="center"/>
              <w:rPr>
                <w:rFonts w:ascii="Calibri Light" w:eastAsia="Malgun Gothic" w:hAnsi="Calibri Light" w:cs="Calibri Light"/>
                <w:bCs/>
              </w:rPr>
            </w:pPr>
            <w:r w:rsidRPr="00197126">
              <w:rPr>
                <w:rFonts w:ascii="Calibri Light" w:eastAsia="Malgun Gothic" w:hAnsi="Calibri Light" w:cs="Calibri Light"/>
                <w:bCs/>
              </w:rPr>
              <w:t>Not helpful</w:t>
            </w:r>
          </w:p>
        </w:tc>
        <w:tc>
          <w:tcPr>
            <w:tcW w:w="4034" w:type="dxa"/>
          </w:tcPr>
          <w:p w14:paraId="4CF84547" w14:textId="77777777" w:rsidR="00197126" w:rsidRPr="00197126" w:rsidRDefault="00197126" w:rsidP="00197126">
            <w:pPr>
              <w:spacing w:after="0" w:line="240" w:lineRule="auto"/>
              <w:jc w:val="left"/>
              <w:rPr>
                <w:rFonts w:ascii="Calibri" w:eastAsia="Malgun Gothic" w:hAnsi="Calibri" w:cs="Times New Roman"/>
                <w:bCs/>
              </w:rPr>
            </w:pPr>
          </w:p>
          <w:p w14:paraId="6B86A110" w14:textId="77777777" w:rsidR="00197126" w:rsidRPr="00197126" w:rsidRDefault="00197126" w:rsidP="00197126">
            <w:pPr>
              <w:spacing w:after="0" w:line="240" w:lineRule="auto"/>
              <w:jc w:val="left"/>
              <w:rPr>
                <w:rFonts w:ascii="Calibri" w:eastAsia="Malgun Gothic" w:hAnsi="Calibri" w:cs="Times New Roman"/>
                <w:bCs/>
              </w:rPr>
            </w:pPr>
          </w:p>
          <w:p w14:paraId="26DDE5B7" w14:textId="77777777" w:rsidR="00197126" w:rsidRPr="00197126" w:rsidRDefault="00197126" w:rsidP="00197126">
            <w:pPr>
              <w:spacing w:after="0" w:line="240" w:lineRule="auto"/>
              <w:jc w:val="left"/>
              <w:rPr>
                <w:rFonts w:ascii="Calibri" w:eastAsia="Malgun Gothic" w:hAnsi="Calibri" w:cs="Times New Roman"/>
                <w:bCs/>
              </w:rPr>
            </w:pPr>
          </w:p>
        </w:tc>
      </w:tr>
      <w:tr w:rsidR="00197126" w:rsidRPr="00197126" w14:paraId="72B51469" w14:textId="77777777" w:rsidTr="006125DD">
        <w:tc>
          <w:tcPr>
            <w:tcW w:w="2405" w:type="dxa"/>
          </w:tcPr>
          <w:p w14:paraId="208B82F4" w14:textId="77777777" w:rsidR="00197126" w:rsidRPr="00197126" w:rsidRDefault="00197126" w:rsidP="00F116AB">
            <w:pPr>
              <w:numPr>
                <w:ilvl w:val="0"/>
                <w:numId w:val="59"/>
              </w:numPr>
              <w:spacing w:after="80" w:line="240" w:lineRule="auto"/>
              <w:ind w:left="357" w:hanging="357"/>
              <w:jc w:val="left"/>
              <w:rPr>
                <w:rFonts w:ascii="Calibri Light" w:eastAsia="Malgun Gothic" w:hAnsi="Calibri Light" w:cs="Calibri Light"/>
                <w:b/>
                <w:bCs/>
              </w:rPr>
            </w:pPr>
            <w:r w:rsidRPr="00197126">
              <w:rPr>
                <w:rFonts w:ascii="Calibri Light" w:eastAsia="Malgun Gothic" w:hAnsi="Calibri Light" w:cs="Calibri Light"/>
                <w:b/>
                <w:bCs/>
              </w:rPr>
              <w:t>How can I advocate for gender analysis?</w:t>
            </w:r>
          </w:p>
        </w:tc>
        <w:tc>
          <w:tcPr>
            <w:tcW w:w="851" w:type="dxa"/>
            <w:vAlign w:val="center"/>
          </w:tcPr>
          <w:p w14:paraId="232B7BDF" w14:textId="77777777" w:rsidR="00197126" w:rsidRPr="00197126" w:rsidRDefault="00197126" w:rsidP="00197126">
            <w:pPr>
              <w:spacing w:after="0" w:line="240" w:lineRule="auto"/>
              <w:jc w:val="center"/>
              <w:rPr>
                <w:rFonts w:ascii="Calibri Light" w:eastAsia="Malgun Gothic" w:hAnsi="Calibri Light" w:cs="Calibri Light"/>
                <w:bCs/>
              </w:rPr>
            </w:pPr>
            <w:r w:rsidRPr="00197126">
              <w:rPr>
                <w:rFonts w:ascii="Calibri Light" w:eastAsia="Malgun Gothic" w:hAnsi="Calibri Light" w:cs="Calibri Light"/>
                <w:bCs/>
              </w:rPr>
              <w:t>Very helpful</w:t>
            </w:r>
          </w:p>
        </w:tc>
        <w:tc>
          <w:tcPr>
            <w:tcW w:w="854" w:type="dxa"/>
            <w:vAlign w:val="center"/>
          </w:tcPr>
          <w:p w14:paraId="563BDA73" w14:textId="77777777" w:rsidR="00197126" w:rsidRPr="00197126" w:rsidRDefault="00197126" w:rsidP="00197126">
            <w:pPr>
              <w:spacing w:after="0" w:line="240" w:lineRule="auto"/>
              <w:jc w:val="center"/>
              <w:rPr>
                <w:rFonts w:ascii="Calibri Light" w:eastAsia="Malgun Gothic" w:hAnsi="Calibri Light" w:cs="Calibri Light"/>
                <w:bCs/>
              </w:rPr>
            </w:pPr>
            <w:r w:rsidRPr="00197126">
              <w:rPr>
                <w:rFonts w:ascii="Calibri Light" w:eastAsia="Malgun Gothic" w:hAnsi="Calibri Light" w:cs="Calibri Light"/>
                <w:bCs/>
              </w:rPr>
              <w:t>Helpful</w:t>
            </w:r>
          </w:p>
        </w:tc>
        <w:tc>
          <w:tcPr>
            <w:tcW w:w="872" w:type="dxa"/>
            <w:vAlign w:val="center"/>
          </w:tcPr>
          <w:p w14:paraId="51384FB5" w14:textId="77777777" w:rsidR="00197126" w:rsidRPr="00197126" w:rsidRDefault="00197126" w:rsidP="00197126">
            <w:pPr>
              <w:spacing w:after="0" w:line="240" w:lineRule="auto"/>
              <w:jc w:val="center"/>
              <w:rPr>
                <w:rFonts w:ascii="Calibri Light" w:eastAsia="Malgun Gothic" w:hAnsi="Calibri Light" w:cs="Calibri Light"/>
                <w:bCs/>
              </w:rPr>
            </w:pPr>
            <w:r w:rsidRPr="00197126">
              <w:rPr>
                <w:rFonts w:ascii="Calibri Light" w:eastAsia="Malgun Gothic" w:hAnsi="Calibri Light" w:cs="Calibri Light"/>
                <w:bCs/>
              </w:rPr>
              <w:t>Not helpful</w:t>
            </w:r>
          </w:p>
        </w:tc>
        <w:tc>
          <w:tcPr>
            <w:tcW w:w="4034" w:type="dxa"/>
          </w:tcPr>
          <w:p w14:paraId="7856BC1A" w14:textId="77777777" w:rsidR="00197126" w:rsidRPr="00197126" w:rsidRDefault="00197126" w:rsidP="00197126">
            <w:pPr>
              <w:spacing w:after="0" w:line="240" w:lineRule="auto"/>
              <w:jc w:val="left"/>
              <w:rPr>
                <w:rFonts w:ascii="Calibri" w:eastAsia="Malgun Gothic" w:hAnsi="Calibri" w:cs="Times New Roman"/>
                <w:bCs/>
              </w:rPr>
            </w:pPr>
          </w:p>
          <w:p w14:paraId="327B1A1F" w14:textId="77777777" w:rsidR="00197126" w:rsidRPr="00197126" w:rsidRDefault="00197126" w:rsidP="00197126">
            <w:pPr>
              <w:spacing w:after="0" w:line="240" w:lineRule="auto"/>
              <w:jc w:val="left"/>
              <w:rPr>
                <w:rFonts w:ascii="Calibri" w:eastAsia="Malgun Gothic" w:hAnsi="Calibri" w:cs="Times New Roman"/>
                <w:bCs/>
              </w:rPr>
            </w:pPr>
          </w:p>
          <w:p w14:paraId="37A5E7A9" w14:textId="77777777" w:rsidR="00197126" w:rsidRPr="00197126" w:rsidRDefault="00197126" w:rsidP="00197126">
            <w:pPr>
              <w:spacing w:after="0" w:line="240" w:lineRule="auto"/>
              <w:jc w:val="left"/>
              <w:rPr>
                <w:rFonts w:ascii="Calibri" w:eastAsia="Malgun Gothic" w:hAnsi="Calibri" w:cs="Times New Roman"/>
                <w:bCs/>
              </w:rPr>
            </w:pPr>
          </w:p>
        </w:tc>
      </w:tr>
      <w:tr w:rsidR="00197126" w:rsidRPr="00197126" w14:paraId="338C7E28" w14:textId="77777777" w:rsidTr="006125DD">
        <w:tc>
          <w:tcPr>
            <w:tcW w:w="2405" w:type="dxa"/>
          </w:tcPr>
          <w:p w14:paraId="27DCEE11" w14:textId="77777777" w:rsidR="00197126" w:rsidRPr="00197126" w:rsidRDefault="00197126" w:rsidP="00F116AB">
            <w:pPr>
              <w:numPr>
                <w:ilvl w:val="0"/>
                <w:numId w:val="59"/>
              </w:numPr>
              <w:spacing w:after="80" w:line="240" w:lineRule="auto"/>
              <w:ind w:left="357" w:hanging="357"/>
              <w:jc w:val="left"/>
              <w:rPr>
                <w:rFonts w:ascii="Calibri Light" w:eastAsia="Malgun Gothic" w:hAnsi="Calibri Light" w:cs="Calibri Light"/>
                <w:b/>
                <w:bCs/>
              </w:rPr>
            </w:pPr>
            <w:r w:rsidRPr="00197126">
              <w:rPr>
                <w:rFonts w:ascii="Calibri Light" w:eastAsia="Malgun Gothic" w:hAnsi="Calibri Light" w:cs="Calibri Light"/>
                <w:b/>
                <w:bCs/>
              </w:rPr>
              <w:t>Gender analysis template?</w:t>
            </w:r>
          </w:p>
        </w:tc>
        <w:tc>
          <w:tcPr>
            <w:tcW w:w="851" w:type="dxa"/>
            <w:vAlign w:val="center"/>
          </w:tcPr>
          <w:p w14:paraId="61A5C7A2" w14:textId="77777777" w:rsidR="00197126" w:rsidRPr="00197126" w:rsidRDefault="00197126" w:rsidP="00197126">
            <w:pPr>
              <w:spacing w:after="0" w:line="240" w:lineRule="auto"/>
              <w:jc w:val="center"/>
              <w:rPr>
                <w:rFonts w:ascii="Calibri Light" w:eastAsia="Malgun Gothic" w:hAnsi="Calibri Light" w:cs="Calibri Light"/>
                <w:bCs/>
              </w:rPr>
            </w:pPr>
            <w:r w:rsidRPr="00197126">
              <w:rPr>
                <w:rFonts w:ascii="Calibri Light" w:eastAsia="Malgun Gothic" w:hAnsi="Calibri Light" w:cs="Calibri Light"/>
                <w:bCs/>
              </w:rPr>
              <w:t>Very helpful</w:t>
            </w:r>
          </w:p>
        </w:tc>
        <w:tc>
          <w:tcPr>
            <w:tcW w:w="854" w:type="dxa"/>
            <w:vAlign w:val="center"/>
          </w:tcPr>
          <w:p w14:paraId="2FE87A4E" w14:textId="77777777" w:rsidR="00197126" w:rsidRPr="00197126" w:rsidRDefault="00197126" w:rsidP="00197126">
            <w:pPr>
              <w:spacing w:after="0" w:line="240" w:lineRule="auto"/>
              <w:jc w:val="center"/>
              <w:rPr>
                <w:rFonts w:ascii="Calibri Light" w:eastAsia="Malgun Gothic" w:hAnsi="Calibri Light" w:cs="Calibri Light"/>
                <w:bCs/>
              </w:rPr>
            </w:pPr>
            <w:r w:rsidRPr="00197126">
              <w:rPr>
                <w:rFonts w:ascii="Calibri Light" w:eastAsia="Malgun Gothic" w:hAnsi="Calibri Light" w:cs="Calibri Light"/>
                <w:bCs/>
              </w:rPr>
              <w:t>Helpful</w:t>
            </w:r>
          </w:p>
        </w:tc>
        <w:tc>
          <w:tcPr>
            <w:tcW w:w="872" w:type="dxa"/>
            <w:vAlign w:val="center"/>
          </w:tcPr>
          <w:p w14:paraId="04A8BDC2" w14:textId="77777777" w:rsidR="00197126" w:rsidRPr="00197126" w:rsidRDefault="00197126" w:rsidP="00197126">
            <w:pPr>
              <w:spacing w:after="0" w:line="240" w:lineRule="auto"/>
              <w:jc w:val="center"/>
              <w:rPr>
                <w:rFonts w:ascii="Calibri Light" w:eastAsia="Malgun Gothic" w:hAnsi="Calibri Light" w:cs="Calibri Light"/>
                <w:bCs/>
              </w:rPr>
            </w:pPr>
            <w:r w:rsidRPr="00197126">
              <w:rPr>
                <w:rFonts w:ascii="Calibri Light" w:eastAsia="Malgun Gothic" w:hAnsi="Calibri Light" w:cs="Calibri Light"/>
                <w:bCs/>
              </w:rPr>
              <w:t>Not helpful</w:t>
            </w:r>
          </w:p>
        </w:tc>
        <w:tc>
          <w:tcPr>
            <w:tcW w:w="4034" w:type="dxa"/>
          </w:tcPr>
          <w:p w14:paraId="58847086" w14:textId="77777777" w:rsidR="00197126" w:rsidRPr="00197126" w:rsidRDefault="00197126" w:rsidP="00197126">
            <w:pPr>
              <w:spacing w:after="0" w:line="240" w:lineRule="auto"/>
              <w:jc w:val="left"/>
              <w:rPr>
                <w:rFonts w:ascii="Calibri" w:eastAsia="Malgun Gothic" w:hAnsi="Calibri" w:cs="Times New Roman"/>
                <w:bCs/>
              </w:rPr>
            </w:pPr>
          </w:p>
          <w:p w14:paraId="6BDDB598" w14:textId="77777777" w:rsidR="00197126" w:rsidRPr="00197126" w:rsidRDefault="00197126" w:rsidP="00197126">
            <w:pPr>
              <w:spacing w:after="0" w:line="240" w:lineRule="auto"/>
              <w:jc w:val="left"/>
              <w:rPr>
                <w:rFonts w:ascii="Calibri" w:eastAsia="Malgun Gothic" w:hAnsi="Calibri" w:cs="Times New Roman"/>
                <w:bCs/>
              </w:rPr>
            </w:pPr>
          </w:p>
        </w:tc>
      </w:tr>
      <w:tr w:rsidR="00197126" w:rsidRPr="00197126" w14:paraId="74783555" w14:textId="77777777" w:rsidTr="006125DD">
        <w:tc>
          <w:tcPr>
            <w:tcW w:w="2405" w:type="dxa"/>
          </w:tcPr>
          <w:p w14:paraId="2FD09AC6" w14:textId="77777777" w:rsidR="00197126" w:rsidRPr="00197126" w:rsidRDefault="00197126" w:rsidP="00F116AB">
            <w:pPr>
              <w:numPr>
                <w:ilvl w:val="0"/>
                <w:numId w:val="59"/>
              </w:numPr>
              <w:spacing w:after="80" w:line="240" w:lineRule="auto"/>
              <w:ind w:left="357" w:hanging="357"/>
              <w:jc w:val="left"/>
              <w:rPr>
                <w:rFonts w:ascii="Calibri Light" w:eastAsia="Malgun Gothic" w:hAnsi="Calibri Light" w:cs="Calibri Light"/>
                <w:b/>
                <w:bCs/>
              </w:rPr>
            </w:pPr>
            <w:r w:rsidRPr="00197126">
              <w:rPr>
                <w:rFonts w:ascii="Calibri Light" w:eastAsia="Malgun Gothic" w:hAnsi="Calibri Light" w:cs="Calibri Light"/>
                <w:b/>
                <w:bCs/>
              </w:rPr>
              <w:t>Further information: links and resources</w:t>
            </w:r>
          </w:p>
        </w:tc>
        <w:tc>
          <w:tcPr>
            <w:tcW w:w="851" w:type="dxa"/>
            <w:vAlign w:val="center"/>
          </w:tcPr>
          <w:p w14:paraId="70CE7A63" w14:textId="77777777" w:rsidR="00197126" w:rsidRPr="00197126" w:rsidRDefault="00197126" w:rsidP="00197126">
            <w:pPr>
              <w:spacing w:after="0" w:line="240" w:lineRule="auto"/>
              <w:jc w:val="center"/>
              <w:rPr>
                <w:rFonts w:ascii="Calibri Light" w:eastAsia="Malgun Gothic" w:hAnsi="Calibri Light" w:cs="Calibri Light"/>
                <w:bCs/>
              </w:rPr>
            </w:pPr>
            <w:r w:rsidRPr="00197126">
              <w:rPr>
                <w:rFonts w:ascii="Calibri Light" w:eastAsia="Malgun Gothic" w:hAnsi="Calibri Light" w:cs="Calibri Light"/>
                <w:bCs/>
              </w:rPr>
              <w:t>Very helpful</w:t>
            </w:r>
          </w:p>
        </w:tc>
        <w:tc>
          <w:tcPr>
            <w:tcW w:w="854" w:type="dxa"/>
            <w:vAlign w:val="center"/>
          </w:tcPr>
          <w:p w14:paraId="3C3A2DB6" w14:textId="77777777" w:rsidR="00197126" w:rsidRPr="00197126" w:rsidRDefault="00197126" w:rsidP="00197126">
            <w:pPr>
              <w:spacing w:after="0" w:line="240" w:lineRule="auto"/>
              <w:jc w:val="center"/>
              <w:rPr>
                <w:rFonts w:ascii="Calibri Light" w:eastAsia="Malgun Gothic" w:hAnsi="Calibri Light" w:cs="Calibri Light"/>
                <w:bCs/>
              </w:rPr>
            </w:pPr>
            <w:r w:rsidRPr="00197126">
              <w:rPr>
                <w:rFonts w:ascii="Calibri Light" w:eastAsia="Malgun Gothic" w:hAnsi="Calibri Light" w:cs="Calibri Light"/>
                <w:bCs/>
              </w:rPr>
              <w:t>Helpful</w:t>
            </w:r>
          </w:p>
        </w:tc>
        <w:tc>
          <w:tcPr>
            <w:tcW w:w="872" w:type="dxa"/>
            <w:vAlign w:val="center"/>
          </w:tcPr>
          <w:p w14:paraId="1EF881CD" w14:textId="77777777" w:rsidR="00197126" w:rsidRPr="00197126" w:rsidRDefault="00197126" w:rsidP="00197126">
            <w:pPr>
              <w:spacing w:after="0" w:line="240" w:lineRule="auto"/>
              <w:jc w:val="center"/>
              <w:rPr>
                <w:rFonts w:ascii="Calibri Light" w:eastAsia="Malgun Gothic" w:hAnsi="Calibri Light" w:cs="Calibri Light"/>
                <w:bCs/>
              </w:rPr>
            </w:pPr>
            <w:r w:rsidRPr="00197126">
              <w:rPr>
                <w:rFonts w:ascii="Calibri Light" w:eastAsia="Malgun Gothic" w:hAnsi="Calibri Light" w:cs="Calibri Light"/>
                <w:bCs/>
              </w:rPr>
              <w:t>Not helpful</w:t>
            </w:r>
          </w:p>
        </w:tc>
        <w:tc>
          <w:tcPr>
            <w:tcW w:w="4034" w:type="dxa"/>
          </w:tcPr>
          <w:p w14:paraId="3E98516A" w14:textId="77777777" w:rsidR="00197126" w:rsidRPr="00197126" w:rsidRDefault="00197126" w:rsidP="00197126">
            <w:pPr>
              <w:spacing w:after="0" w:line="240" w:lineRule="auto"/>
              <w:jc w:val="left"/>
              <w:rPr>
                <w:rFonts w:ascii="Calibri" w:eastAsia="Malgun Gothic" w:hAnsi="Calibri" w:cs="Times New Roman"/>
                <w:bCs/>
              </w:rPr>
            </w:pPr>
          </w:p>
        </w:tc>
      </w:tr>
    </w:tbl>
    <w:p w14:paraId="5E8D9363" w14:textId="77777777" w:rsidR="00732B21" w:rsidRDefault="00732B21" w:rsidP="00732B21">
      <w:pPr>
        <w:spacing w:before="240" w:beforeAutospacing="1" w:after="240" w:afterAutospacing="1" w:line="259" w:lineRule="auto"/>
        <w:ind w:left="567"/>
        <w:contextualSpacing/>
        <w:jc w:val="left"/>
        <w:rPr>
          <w:rFonts w:ascii="Calibri" w:eastAsia="Malgun Gothic" w:hAnsi="Calibri" w:cs="Times New Roman"/>
          <w:bCs/>
          <w:szCs w:val="22"/>
          <w:lang w:val="en-AU" w:eastAsia="ko-KR"/>
        </w:rPr>
      </w:pPr>
    </w:p>
    <w:p w14:paraId="011CE76A" w14:textId="77777777" w:rsidR="00197126" w:rsidRPr="00197126" w:rsidRDefault="00197126" w:rsidP="00F116AB">
      <w:pPr>
        <w:numPr>
          <w:ilvl w:val="0"/>
          <w:numId w:val="60"/>
        </w:numPr>
        <w:spacing w:before="240" w:beforeAutospacing="1" w:after="240" w:afterAutospacing="1" w:line="259" w:lineRule="auto"/>
        <w:ind w:left="567" w:hanging="567"/>
        <w:contextualSpacing/>
        <w:jc w:val="left"/>
        <w:rPr>
          <w:rFonts w:ascii="Calibri" w:eastAsia="Malgun Gothic" w:hAnsi="Calibri" w:cs="Times New Roman"/>
          <w:bCs/>
          <w:szCs w:val="22"/>
          <w:lang w:val="en-AU" w:eastAsia="ko-KR"/>
        </w:rPr>
      </w:pPr>
      <w:r w:rsidRPr="00197126">
        <w:rPr>
          <w:rFonts w:ascii="Calibri" w:eastAsia="Malgun Gothic" w:hAnsi="Calibri" w:cs="Times New Roman"/>
          <w:bCs/>
          <w:szCs w:val="22"/>
          <w:lang w:val="en-AU" w:eastAsia="ko-KR"/>
        </w:rPr>
        <w:t xml:space="preserve">What is your overall rating of this Toolkit? </w:t>
      </w:r>
    </w:p>
    <w:p w14:paraId="4CE67286" w14:textId="77777777" w:rsidR="00197126" w:rsidRPr="00197126" w:rsidRDefault="00197126" w:rsidP="00197126">
      <w:pPr>
        <w:spacing w:before="240" w:after="240" w:line="259" w:lineRule="auto"/>
        <w:ind w:left="567"/>
        <w:contextualSpacing/>
        <w:jc w:val="left"/>
        <w:rPr>
          <w:rFonts w:ascii="Calibri" w:eastAsia="Malgun Gothic" w:hAnsi="Calibri" w:cs="Times New Roman"/>
          <w:bCs/>
          <w:szCs w:val="22"/>
          <w:lang w:val="en-AU" w:eastAsia="ko-KR"/>
        </w:rPr>
      </w:pPr>
    </w:p>
    <w:tbl>
      <w:tblPr>
        <w:tblStyle w:val="TableGrid21"/>
        <w:tblW w:w="0" w:type="auto"/>
        <w:tblLook w:val="04A0" w:firstRow="1" w:lastRow="0" w:firstColumn="1" w:lastColumn="0" w:noHBand="0" w:noVBand="1"/>
      </w:tblPr>
      <w:tblGrid>
        <w:gridCol w:w="1288"/>
        <w:gridCol w:w="1287"/>
        <w:gridCol w:w="1287"/>
        <w:gridCol w:w="1287"/>
        <w:gridCol w:w="1287"/>
        <w:gridCol w:w="1287"/>
        <w:gridCol w:w="1287"/>
      </w:tblGrid>
      <w:tr w:rsidR="00197126" w:rsidRPr="00197126" w14:paraId="54D01B8F" w14:textId="77777777" w:rsidTr="006125DD">
        <w:tc>
          <w:tcPr>
            <w:tcW w:w="1288" w:type="dxa"/>
            <w:vAlign w:val="center"/>
          </w:tcPr>
          <w:p w14:paraId="3FC44E2E" w14:textId="77777777" w:rsidR="00197126" w:rsidRPr="00197126" w:rsidRDefault="00197126" w:rsidP="00197126">
            <w:pPr>
              <w:spacing w:before="120" w:line="240" w:lineRule="auto"/>
              <w:jc w:val="center"/>
              <w:rPr>
                <w:rFonts w:ascii="Calibri Light" w:eastAsia="Malgun Gothic" w:hAnsi="Calibri Light" w:cs="Calibri Light"/>
                <w:b/>
                <w:bCs/>
              </w:rPr>
            </w:pPr>
            <w:r w:rsidRPr="00197126">
              <w:rPr>
                <w:rFonts w:ascii="Calibri Light" w:eastAsia="Malgun Gothic" w:hAnsi="Calibri Light" w:cs="Calibri Light"/>
                <w:b/>
                <w:bCs/>
              </w:rPr>
              <w:t>Excellent</w:t>
            </w:r>
          </w:p>
        </w:tc>
        <w:tc>
          <w:tcPr>
            <w:tcW w:w="1288" w:type="dxa"/>
            <w:vAlign w:val="center"/>
          </w:tcPr>
          <w:p w14:paraId="68F8154C" w14:textId="77777777" w:rsidR="00197126" w:rsidRPr="00197126" w:rsidRDefault="00197126" w:rsidP="00197126">
            <w:pPr>
              <w:spacing w:before="120" w:line="240" w:lineRule="auto"/>
              <w:jc w:val="center"/>
              <w:rPr>
                <w:rFonts w:ascii="Calibri Light" w:eastAsia="Malgun Gothic" w:hAnsi="Calibri Light" w:cs="Calibri Light"/>
                <w:b/>
                <w:bCs/>
              </w:rPr>
            </w:pPr>
            <w:r w:rsidRPr="00197126">
              <w:rPr>
                <w:rFonts w:ascii="Calibri Light" w:eastAsia="Malgun Gothic" w:hAnsi="Calibri Light" w:cs="Calibri Light"/>
                <w:b/>
                <w:bCs/>
              </w:rPr>
              <w:t>5</w:t>
            </w:r>
          </w:p>
        </w:tc>
        <w:tc>
          <w:tcPr>
            <w:tcW w:w="1288" w:type="dxa"/>
            <w:vAlign w:val="center"/>
          </w:tcPr>
          <w:p w14:paraId="1055F59B" w14:textId="77777777" w:rsidR="00197126" w:rsidRPr="00197126" w:rsidRDefault="00197126" w:rsidP="00197126">
            <w:pPr>
              <w:spacing w:before="120" w:line="240" w:lineRule="auto"/>
              <w:jc w:val="center"/>
              <w:rPr>
                <w:rFonts w:ascii="Calibri Light" w:eastAsia="Malgun Gothic" w:hAnsi="Calibri Light" w:cs="Calibri Light"/>
                <w:b/>
                <w:bCs/>
              </w:rPr>
            </w:pPr>
            <w:r w:rsidRPr="00197126">
              <w:rPr>
                <w:rFonts w:ascii="Calibri Light" w:eastAsia="Malgun Gothic" w:hAnsi="Calibri Light" w:cs="Calibri Light"/>
                <w:b/>
                <w:bCs/>
              </w:rPr>
              <w:t>4</w:t>
            </w:r>
          </w:p>
        </w:tc>
        <w:tc>
          <w:tcPr>
            <w:tcW w:w="1288" w:type="dxa"/>
            <w:vAlign w:val="center"/>
          </w:tcPr>
          <w:p w14:paraId="4CBBEB7D" w14:textId="77777777" w:rsidR="00197126" w:rsidRPr="00197126" w:rsidRDefault="00197126" w:rsidP="00197126">
            <w:pPr>
              <w:spacing w:before="120" w:line="240" w:lineRule="auto"/>
              <w:jc w:val="center"/>
              <w:rPr>
                <w:rFonts w:ascii="Calibri Light" w:eastAsia="Malgun Gothic" w:hAnsi="Calibri Light" w:cs="Calibri Light"/>
                <w:b/>
                <w:bCs/>
              </w:rPr>
            </w:pPr>
            <w:r w:rsidRPr="00197126">
              <w:rPr>
                <w:rFonts w:ascii="Calibri Light" w:eastAsia="Malgun Gothic" w:hAnsi="Calibri Light" w:cs="Calibri Light"/>
                <w:b/>
                <w:bCs/>
              </w:rPr>
              <w:t>3</w:t>
            </w:r>
          </w:p>
        </w:tc>
        <w:tc>
          <w:tcPr>
            <w:tcW w:w="1288" w:type="dxa"/>
            <w:vAlign w:val="center"/>
          </w:tcPr>
          <w:p w14:paraId="6045EC61" w14:textId="77777777" w:rsidR="00197126" w:rsidRPr="00197126" w:rsidRDefault="00197126" w:rsidP="00197126">
            <w:pPr>
              <w:spacing w:before="120" w:line="240" w:lineRule="auto"/>
              <w:jc w:val="center"/>
              <w:rPr>
                <w:rFonts w:ascii="Calibri Light" w:eastAsia="Malgun Gothic" w:hAnsi="Calibri Light" w:cs="Calibri Light"/>
                <w:b/>
                <w:bCs/>
              </w:rPr>
            </w:pPr>
            <w:r w:rsidRPr="00197126">
              <w:rPr>
                <w:rFonts w:ascii="Calibri Light" w:eastAsia="Malgun Gothic" w:hAnsi="Calibri Light" w:cs="Calibri Light"/>
                <w:b/>
                <w:bCs/>
              </w:rPr>
              <w:t>2</w:t>
            </w:r>
          </w:p>
        </w:tc>
        <w:tc>
          <w:tcPr>
            <w:tcW w:w="1288" w:type="dxa"/>
            <w:vAlign w:val="center"/>
          </w:tcPr>
          <w:p w14:paraId="758A3A80" w14:textId="77777777" w:rsidR="00197126" w:rsidRPr="00197126" w:rsidRDefault="00197126" w:rsidP="00197126">
            <w:pPr>
              <w:spacing w:before="120" w:line="240" w:lineRule="auto"/>
              <w:jc w:val="center"/>
              <w:rPr>
                <w:rFonts w:ascii="Calibri Light" w:eastAsia="Malgun Gothic" w:hAnsi="Calibri Light" w:cs="Calibri Light"/>
                <w:b/>
                <w:bCs/>
              </w:rPr>
            </w:pPr>
            <w:r w:rsidRPr="00197126">
              <w:rPr>
                <w:rFonts w:ascii="Calibri Light" w:eastAsia="Malgun Gothic" w:hAnsi="Calibri Light" w:cs="Calibri Light"/>
                <w:b/>
                <w:bCs/>
              </w:rPr>
              <w:t>1</w:t>
            </w:r>
          </w:p>
        </w:tc>
        <w:tc>
          <w:tcPr>
            <w:tcW w:w="1288" w:type="dxa"/>
            <w:vAlign w:val="center"/>
          </w:tcPr>
          <w:p w14:paraId="52F3249A" w14:textId="77777777" w:rsidR="00197126" w:rsidRPr="00197126" w:rsidRDefault="00197126" w:rsidP="00197126">
            <w:pPr>
              <w:spacing w:before="120" w:line="240" w:lineRule="auto"/>
              <w:jc w:val="center"/>
              <w:rPr>
                <w:rFonts w:ascii="Calibri Light" w:eastAsia="Malgun Gothic" w:hAnsi="Calibri Light" w:cs="Calibri Light"/>
                <w:b/>
                <w:bCs/>
              </w:rPr>
            </w:pPr>
            <w:r w:rsidRPr="00197126">
              <w:rPr>
                <w:rFonts w:ascii="Calibri Light" w:eastAsia="Malgun Gothic" w:hAnsi="Calibri Light" w:cs="Calibri Light"/>
                <w:b/>
                <w:bCs/>
              </w:rPr>
              <w:t>Poor</w:t>
            </w:r>
          </w:p>
        </w:tc>
      </w:tr>
    </w:tbl>
    <w:p w14:paraId="4EBE2134" w14:textId="77777777" w:rsidR="00197126" w:rsidRPr="00197126" w:rsidRDefault="00197126" w:rsidP="00197126">
      <w:pPr>
        <w:spacing w:after="160" w:line="259" w:lineRule="auto"/>
        <w:ind w:left="720"/>
        <w:contextualSpacing/>
        <w:jc w:val="left"/>
        <w:rPr>
          <w:rFonts w:ascii="Calibri" w:eastAsia="Malgun Gothic" w:hAnsi="Calibri" w:cs="Times New Roman"/>
          <w:bCs/>
          <w:szCs w:val="22"/>
          <w:lang w:val="en-AU" w:eastAsia="ko-KR"/>
        </w:rPr>
      </w:pPr>
    </w:p>
    <w:p w14:paraId="6F0CA313" w14:textId="77777777" w:rsidR="00197126" w:rsidRDefault="00197126" w:rsidP="00F116AB">
      <w:pPr>
        <w:numPr>
          <w:ilvl w:val="0"/>
          <w:numId w:val="60"/>
        </w:numPr>
        <w:spacing w:before="100" w:beforeAutospacing="1" w:after="160" w:afterAutospacing="1" w:line="259" w:lineRule="auto"/>
        <w:contextualSpacing/>
        <w:jc w:val="left"/>
        <w:rPr>
          <w:rFonts w:ascii="Calibri" w:eastAsia="Malgun Gothic" w:hAnsi="Calibri" w:cs="Times New Roman"/>
          <w:bCs/>
          <w:szCs w:val="22"/>
          <w:lang w:val="en-AU" w:eastAsia="ko-KR"/>
        </w:rPr>
      </w:pPr>
      <w:r w:rsidRPr="00197126">
        <w:rPr>
          <w:rFonts w:ascii="Calibri" w:eastAsia="Malgun Gothic" w:hAnsi="Calibri" w:cs="Times New Roman"/>
          <w:bCs/>
          <w:szCs w:val="22"/>
          <w:lang w:val="en-AU" w:eastAsia="ko-KR"/>
        </w:rPr>
        <w:t>Are there any other comments about the Toolkit you would like to make?</w:t>
      </w:r>
    </w:p>
    <w:p w14:paraId="6FB2859C" w14:textId="77777777" w:rsidR="00197126" w:rsidRPr="00197126" w:rsidRDefault="00197126" w:rsidP="00197126">
      <w:pPr>
        <w:spacing w:before="100" w:beforeAutospacing="1" w:after="160" w:afterAutospacing="1" w:line="259" w:lineRule="auto"/>
        <w:ind w:left="720"/>
        <w:contextualSpacing/>
        <w:jc w:val="left"/>
        <w:rPr>
          <w:rFonts w:ascii="Calibri" w:eastAsia="Malgun Gothic" w:hAnsi="Calibri" w:cs="Times New Roman"/>
          <w:bCs/>
          <w:szCs w:val="22"/>
          <w:lang w:val="en-AU" w:eastAsia="ko-KR"/>
        </w:rPr>
      </w:pPr>
    </w:p>
    <w:p w14:paraId="52D91247" w14:textId="77777777" w:rsidR="00197126" w:rsidRPr="00197126" w:rsidRDefault="00197126" w:rsidP="00197126">
      <w:pPr>
        <w:spacing w:before="240" w:after="240" w:line="259" w:lineRule="auto"/>
        <w:jc w:val="left"/>
        <w:rPr>
          <w:rFonts w:ascii="Calibri" w:eastAsia="Malgun Gothic" w:hAnsi="Calibri" w:cs="Times New Roman"/>
          <w:bCs/>
          <w:szCs w:val="22"/>
          <w:lang w:val="en-AU" w:eastAsia="ko-KR"/>
        </w:rPr>
      </w:pPr>
      <w:r w:rsidRPr="00197126">
        <w:rPr>
          <w:rFonts w:ascii="Calibri" w:eastAsia="Malgun Gothic" w:hAnsi="Calibri" w:cs="Times New Roman"/>
          <w:bCs/>
          <w:szCs w:val="22"/>
          <w:lang w:val="en-AU" w:eastAsia="ko-KR"/>
        </w:rPr>
        <w:t>__________________________________________________________________________________</w:t>
      </w:r>
    </w:p>
    <w:p w14:paraId="6C9F09BA" w14:textId="77777777" w:rsidR="00197126" w:rsidRPr="00197126" w:rsidRDefault="00197126" w:rsidP="00197126">
      <w:pPr>
        <w:spacing w:before="240" w:after="240" w:line="259" w:lineRule="auto"/>
        <w:jc w:val="left"/>
        <w:rPr>
          <w:rFonts w:ascii="Calibri" w:eastAsia="Malgun Gothic" w:hAnsi="Calibri" w:cs="Times New Roman"/>
          <w:bCs/>
          <w:szCs w:val="22"/>
          <w:lang w:val="en-AU" w:eastAsia="ko-KR"/>
        </w:rPr>
      </w:pPr>
      <w:r w:rsidRPr="00197126">
        <w:rPr>
          <w:rFonts w:ascii="Calibri" w:eastAsia="Malgun Gothic" w:hAnsi="Calibri" w:cs="Times New Roman"/>
          <w:bCs/>
          <w:szCs w:val="22"/>
          <w:lang w:val="en-AU" w:eastAsia="ko-KR"/>
        </w:rPr>
        <w:t>__________________________________________________________________________________</w:t>
      </w:r>
    </w:p>
    <w:p w14:paraId="2C451FE7" w14:textId="77777777" w:rsidR="00197126" w:rsidRPr="00197126" w:rsidRDefault="00197126" w:rsidP="00197126">
      <w:pPr>
        <w:spacing w:before="240" w:after="240" w:line="259" w:lineRule="auto"/>
        <w:jc w:val="left"/>
        <w:rPr>
          <w:rFonts w:ascii="Calibri" w:eastAsia="Malgun Gothic" w:hAnsi="Calibri" w:cs="Times New Roman"/>
          <w:bCs/>
          <w:szCs w:val="22"/>
          <w:lang w:val="en-AU" w:eastAsia="ko-KR"/>
        </w:rPr>
      </w:pPr>
      <w:r w:rsidRPr="00197126">
        <w:rPr>
          <w:rFonts w:ascii="Calibri" w:eastAsia="Malgun Gothic" w:hAnsi="Calibri" w:cs="Times New Roman"/>
          <w:bCs/>
          <w:szCs w:val="22"/>
          <w:lang w:val="en-AU" w:eastAsia="ko-KR"/>
        </w:rPr>
        <w:t>__________________________________________________________________________________</w:t>
      </w:r>
    </w:p>
    <w:p w14:paraId="55A01A38" w14:textId="77777777" w:rsidR="00197126" w:rsidRPr="00197126" w:rsidRDefault="00197126" w:rsidP="00197126">
      <w:pPr>
        <w:spacing w:after="160" w:line="259" w:lineRule="auto"/>
        <w:ind w:left="720"/>
        <w:contextualSpacing/>
        <w:jc w:val="left"/>
        <w:rPr>
          <w:rFonts w:ascii="Calibri" w:eastAsia="Malgun Gothic" w:hAnsi="Calibri" w:cs="Times New Roman"/>
          <w:bCs/>
          <w:szCs w:val="22"/>
          <w:lang w:val="en-AU" w:eastAsia="ko-KR"/>
        </w:rPr>
      </w:pPr>
    </w:p>
    <w:p w14:paraId="7A1AAF95" w14:textId="77777777" w:rsidR="00197126" w:rsidRPr="00197126" w:rsidRDefault="00197126" w:rsidP="00F116AB">
      <w:pPr>
        <w:numPr>
          <w:ilvl w:val="0"/>
          <w:numId w:val="60"/>
        </w:numPr>
        <w:spacing w:before="100" w:beforeAutospacing="1" w:after="160" w:afterAutospacing="1" w:line="259" w:lineRule="auto"/>
        <w:contextualSpacing/>
        <w:jc w:val="left"/>
        <w:rPr>
          <w:rFonts w:ascii="Calibri" w:eastAsia="Malgun Gothic" w:hAnsi="Calibri" w:cs="Times New Roman"/>
          <w:bCs/>
          <w:szCs w:val="22"/>
          <w:lang w:val="en-AU" w:eastAsia="ko-KR"/>
        </w:rPr>
      </w:pPr>
      <w:r w:rsidRPr="00197126">
        <w:rPr>
          <w:rFonts w:ascii="Calibri" w:eastAsia="Malgun Gothic" w:hAnsi="Calibri" w:cs="Times New Roman"/>
          <w:bCs/>
          <w:szCs w:val="22"/>
          <w:lang w:val="en-AU" w:eastAsia="ko-KR"/>
        </w:rPr>
        <w:t>Would you like to receive updates and/or new gender analysis resources as they become available? If yes, please provide us with your contact details.</w:t>
      </w:r>
    </w:p>
    <w:p w14:paraId="6CCECDC7" w14:textId="77777777" w:rsidR="00197126" w:rsidRPr="00197126" w:rsidRDefault="00197126" w:rsidP="00197126">
      <w:pPr>
        <w:spacing w:after="160" w:line="259" w:lineRule="auto"/>
        <w:ind w:left="720"/>
        <w:contextualSpacing/>
        <w:jc w:val="left"/>
        <w:rPr>
          <w:rFonts w:ascii="Calibri" w:eastAsia="Malgun Gothic" w:hAnsi="Calibri" w:cs="Times New Roman"/>
          <w:bCs/>
          <w:szCs w:val="22"/>
          <w:lang w:val="en-AU" w:eastAsia="ko-KR"/>
        </w:rPr>
      </w:pPr>
    </w:p>
    <w:tbl>
      <w:tblPr>
        <w:tblStyle w:val="TableGrid21"/>
        <w:tblW w:w="0" w:type="auto"/>
        <w:tblLook w:val="04A0" w:firstRow="1" w:lastRow="0" w:firstColumn="1" w:lastColumn="0" w:noHBand="0" w:noVBand="1"/>
      </w:tblPr>
      <w:tblGrid>
        <w:gridCol w:w="2688"/>
        <w:gridCol w:w="6322"/>
      </w:tblGrid>
      <w:tr w:rsidR="00197126" w:rsidRPr="00197126" w14:paraId="6212878F" w14:textId="77777777" w:rsidTr="006125DD">
        <w:tc>
          <w:tcPr>
            <w:tcW w:w="2689" w:type="dxa"/>
          </w:tcPr>
          <w:p w14:paraId="54B945CD" w14:textId="77777777" w:rsidR="00197126" w:rsidRPr="00197126" w:rsidRDefault="00197126" w:rsidP="00197126">
            <w:pPr>
              <w:spacing w:before="120" w:line="240" w:lineRule="auto"/>
              <w:jc w:val="left"/>
              <w:rPr>
                <w:rFonts w:ascii="Calibri Light" w:eastAsia="Malgun Gothic" w:hAnsi="Calibri Light" w:cs="Calibri Light"/>
                <w:b/>
                <w:bCs/>
              </w:rPr>
            </w:pPr>
            <w:r w:rsidRPr="00197126">
              <w:rPr>
                <w:rFonts w:ascii="Calibri Light" w:eastAsia="Malgun Gothic" w:hAnsi="Calibri Light" w:cs="Calibri Light"/>
                <w:b/>
                <w:bCs/>
              </w:rPr>
              <w:t>Title (circle one)</w:t>
            </w:r>
          </w:p>
        </w:tc>
        <w:tc>
          <w:tcPr>
            <w:tcW w:w="6327" w:type="dxa"/>
          </w:tcPr>
          <w:p w14:paraId="62B7A2B6" w14:textId="77777777" w:rsidR="00197126" w:rsidRPr="00197126" w:rsidRDefault="00197126" w:rsidP="00197126">
            <w:pPr>
              <w:spacing w:before="120" w:line="240" w:lineRule="auto"/>
              <w:jc w:val="left"/>
              <w:rPr>
                <w:rFonts w:ascii="Calibri" w:eastAsia="Malgun Gothic" w:hAnsi="Calibri" w:cs="Times New Roman"/>
                <w:bCs/>
              </w:rPr>
            </w:pPr>
            <w:r w:rsidRPr="00197126">
              <w:rPr>
                <w:rFonts w:ascii="Calibri" w:eastAsia="Malgun Gothic" w:hAnsi="Calibri" w:cs="Times New Roman"/>
                <w:bCs/>
              </w:rPr>
              <w:t>Ms, Mrs, Miss, Mr, Dr</w:t>
            </w:r>
          </w:p>
          <w:p w14:paraId="39EA06C5" w14:textId="77777777" w:rsidR="00197126" w:rsidRPr="00197126" w:rsidRDefault="00197126" w:rsidP="00197126">
            <w:pPr>
              <w:spacing w:before="120" w:line="240" w:lineRule="auto"/>
              <w:jc w:val="left"/>
              <w:rPr>
                <w:rFonts w:ascii="Calibri" w:eastAsia="Malgun Gothic" w:hAnsi="Calibri" w:cs="Times New Roman"/>
                <w:bCs/>
              </w:rPr>
            </w:pPr>
            <w:r w:rsidRPr="00197126">
              <w:rPr>
                <w:rFonts w:ascii="Calibri" w:eastAsia="Malgun Gothic" w:hAnsi="Calibri" w:cs="Times New Roman"/>
                <w:bCs/>
              </w:rPr>
              <w:t>Other:</w:t>
            </w:r>
          </w:p>
        </w:tc>
      </w:tr>
      <w:tr w:rsidR="00197126" w:rsidRPr="00197126" w14:paraId="2A7ACEE4" w14:textId="77777777" w:rsidTr="006125DD">
        <w:tc>
          <w:tcPr>
            <w:tcW w:w="2689" w:type="dxa"/>
          </w:tcPr>
          <w:p w14:paraId="7BE76A8A" w14:textId="77777777" w:rsidR="00197126" w:rsidRPr="00197126" w:rsidRDefault="00197126" w:rsidP="00197126">
            <w:pPr>
              <w:spacing w:before="120" w:line="240" w:lineRule="auto"/>
              <w:jc w:val="left"/>
              <w:rPr>
                <w:rFonts w:ascii="Calibri Light" w:eastAsia="Malgun Gothic" w:hAnsi="Calibri Light" w:cs="Calibri Light"/>
                <w:b/>
                <w:bCs/>
              </w:rPr>
            </w:pPr>
            <w:r w:rsidRPr="00197126">
              <w:rPr>
                <w:rFonts w:ascii="Calibri Light" w:eastAsia="Malgun Gothic" w:hAnsi="Calibri Light" w:cs="Calibri Light"/>
                <w:b/>
                <w:bCs/>
              </w:rPr>
              <w:t>First name</w:t>
            </w:r>
          </w:p>
        </w:tc>
        <w:tc>
          <w:tcPr>
            <w:tcW w:w="6327" w:type="dxa"/>
          </w:tcPr>
          <w:p w14:paraId="77EF180E" w14:textId="77777777" w:rsidR="00197126" w:rsidRPr="00197126" w:rsidRDefault="00197126" w:rsidP="00197126">
            <w:pPr>
              <w:spacing w:before="120" w:line="240" w:lineRule="auto"/>
              <w:jc w:val="left"/>
              <w:rPr>
                <w:rFonts w:ascii="Calibri" w:eastAsia="Malgun Gothic" w:hAnsi="Calibri" w:cs="Times New Roman"/>
                <w:bCs/>
              </w:rPr>
            </w:pPr>
          </w:p>
        </w:tc>
      </w:tr>
      <w:tr w:rsidR="00197126" w:rsidRPr="00197126" w14:paraId="1ACF8573" w14:textId="77777777" w:rsidTr="006125DD">
        <w:tc>
          <w:tcPr>
            <w:tcW w:w="2689" w:type="dxa"/>
          </w:tcPr>
          <w:p w14:paraId="445FD9C5" w14:textId="77777777" w:rsidR="00197126" w:rsidRPr="00197126" w:rsidRDefault="00197126" w:rsidP="00197126">
            <w:pPr>
              <w:spacing w:before="120" w:line="240" w:lineRule="auto"/>
              <w:jc w:val="left"/>
              <w:rPr>
                <w:rFonts w:ascii="Calibri Light" w:eastAsia="Malgun Gothic" w:hAnsi="Calibri Light" w:cs="Calibri Light"/>
                <w:b/>
                <w:bCs/>
              </w:rPr>
            </w:pPr>
            <w:r w:rsidRPr="00197126">
              <w:rPr>
                <w:rFonts w:ascii="Calibri Light" w:eastAsia="Malgun Gothic" w:hAnsi="Calibri Light" w:cs="Calibri Light"/>
                <w:b/>
                <w:bCs/>
              </w:rPr>
              <w:t>Last name</w:t>
            </w:r>
          </w:p>
        </w:tc>
        <w:tc>
          <w:tcPr>
            <w:tcW w:w="6327" w:type="dxa"/>
          </w:tcPr>
          <w:p w14:paraId="2C322559" w14:textId="77777777" w:rsidR="00197126" w:rsidRPr="00197126" w:rsidRDefault="00197126" w:rsidP="00197126">
            <w:pPr>
              <w:spacing w:before="120" w:line="240" w:lineRule="auto"/>
              <w:jc w:val="left"/>
              <w:rPr>
                <w:rFonts w:ascii="Calibri" w:eastAsia="Malgun Gothic" w:hAnsi="Calibri" w:cs="Times New Roman"/>
                <w:bCs/>
              </w:rPr>
            </w:pPr>
          </w:p>
        </w:tc>
      </w:tr>
      <w:tr w:rsidR="00197126" w:rsidRPr="00197126" w14:paraId="351DD670" w14:textId="77777777" w:rsidTr="006125DD">
        <w:tc>
          <w:tcPr>
            <w:tcW w:w="2689" w:type="dxa"/>
          </w:tcPr>
          <w:p w14:paraId="263F5682" w14:textId="77777777" w:rsidR="00197126" w:rsidRPr="00197126" w:rsidRDefault="00197126" w:rsidP="00197126">
            <w:pPr>
              <w:spacing w:before="120" w:line="240" w:lineRule="auto"/>
              <w:jc w:val="left"/>
              <w:rPr>
                <w:rFonts w:ascii="Calibri Light" w:eastAsia="Malgun Gothic" w:hAnsi="Calibri Light" w:cs="Calibri Light"/>
                <w:b/>
                <w:bCs/>
              </w:rPr>
            </w:pPr>
            <w:r w:rsidRPr="00197126">
              <w:rPr>
                <w:rFonts w:ascii="Calibri Light" w:eastAsia="Malgun Gothic" w:hAnsi="Calibri Light" w:cs="Calibri Light"/>
                <w:b/>
                <w:bCs/>
              </w:rPr>
              <w:t>Email</w:t>
            </w:r>
          </w:p>
        </w:tc>
        <w:tc>
          <w:tcPr>
            <w:tcW w:w="6327" w:type="dxa"/>
          </w:tcPr>
          <w:p w14:paraId="66E688E0" w14:textId="77777777" w:rsidR="00197126" w:rsidRPr="00197126" w:rsidRDefault="00197126" w:rsidP="00197126">
            <w:pPr>
              <w:spacing w:before="120" w:line="240" w:lineRule="auto"/>
              <w:jc w:val="left"/>
              <w:rPr>
                <w:rFonts w:ascii="Calibri" w:eastAsia="Malgun Gothic" w:hAnsi="Calibri" w:cs="Times New Roman"/>
                <w:bCs/>
              </w:rPr>
            </w:pPr>
          </w:p>
        </w:tc>
      </w:tr>
      <w:tr w:rsidR="00197126" w:rsidRPr="00197126" w14:paraId="64EBCC64" w14:textId="77777777" w:rsidTr="006125DD">
        <w:tc>
          <w:tcPr>
            <w:tcW w:w="2689" w:type="dxa"/>
          </w:tcPr>
          <w:p w14:paraId="54B85117" w14:textId="77777777" w:rsidR="00197126" w:rsidRPr="00197126" w:rsidRDefault="00197126" w:rsidP="00197126">
            <w:pPr>
              <w:spacing w:before="120" w:line="240" w:lineRule="auto"/>
              <w:jc w:val="left"/>
              <w:rPr>
                <w:rFonts w:ascii="Calibri Light" w:eastAsia="Malgun Gothic" w:hAnsi="Calibri Light" w:cs="Calibri Light"/>
                <w:b/>
                <w:bCs/>
              </w:rPr>
            </w:pPr>
            <w:r w:rsidRPr="00197126">
              <w:rPr>
                <w:rFonts w:ascii="Calibri Light" w:eastAsia="Malgun Gothic" w:hAnsi="Calibri Light" w:cs="Calibri Light"/>
                <w:b/>
                <w:bCs/>
              </w:rPr>
              <w:t>Organisation</w:t>
            </w:r>
          </w:p>
        </w:tc>
        <w:tc>
          <w:tcPr>
            <w:tcW w:w="6327" w:type="dxa"/>
          </w:tcPr>
          <w:p w14:paraId="3E0BC75B" w14:textId="77777777" w:rsidR="00197126" w:rsidRPr="00197126" w:rsidRDefault="00197126" w:rsidP="00197126">
            <w:pPr>
              <w:spacing w:before="120" w:line="240" w:lineRule="auto"/>
              <w:jc w:val="left"/>
              <w:rPr>
                <w:rFonts w:ascii="Calibri" w:eastAsia="Malgun Gothic" w:hAnsi="Calibri" w:cs="Times New Roman"/>
                <w:bCs/>
              </w:rPr>
            </w:pPr>
          </w:p>
        </w:tc>
      </w:tr>
    </w:tbl>
    <w:p w14:paraId="450D0C78" w14:textId="62730571" w:rsidR="00E04526" w:rsidRDefault="00E04526" w:rsidP="00197126">
      <w:pPr>
        <w:spacing w:after="160" w:line="259" w:lineRule="auto"/>
        <w:jc w:val="left"/>
        <w:rPr>
          <w:rFonts w:ascii="Calibri" w:eastAsia="Malgun Gothic" w:hAnsi="Calibri" w:cs="Times New Roman"/>
          <w:bCs/>
          <w:szCs w:val="22"/>
          <w:lang w:val="en-AU" w:eastAsia="ko-KR"/>
        </w:rPr>
      </w:pPr>
    </w:p>
    <w:p w14:paraId="71A4B16A" w14:textId="77777777" w:rsidR="00E04526" w:rsidRDefault="00E04526">
      <w:pPr>
        <w:spacing w:after="0" w:line="240" w:lineRule="auto"/>
        <w:jc w:val="left"/>
        <w:rPr>
          <w:rFonts w:ascii="Calibri" w:eastAsia="Malgun Gothic" w:hAnsi="Calibri" w:cs="Times New Roman"/>
          <w:bCs/>
          <w:szCs w:val="22"/>
          <w:lang w:val="en-AU" w:eastAsia="ko-KR"/>
        </w:rPr>
      </w:pPr>
      <w:r>
        <w:rPr>
          <w:rFonts w:ascii="Calibri" w:eastAsia="Malgun Gothic" w:hAnsi="Calibri" w:cs="Times New Roman"/>
          <w:bCs/>
          <w:szCs w:val="22"/>
          <w:lang w:val="en-AU" w:eastAsia="ko-KR"/>
        </w:rPr>
        <w:br w:type="page"/>
      </w:r>
    </w:p>
    <w:sectPr w:rsidR="00E04526" w:rsidSect="005E05DF">
      <w:type w:val="continuous"/>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73DF9F" w14:textId="77777777" w:rsidR="00BD7507" w:rsidRDefault="00BD7507" w:rsidP="00DB1ED6">
      <w:pPr>
        <w:spacing w:after="0" w:line="240" w:lineRule="auto"/>
      </w:pPr>
      <w:r>
        <w:separator/>
      </w:r>
    </w:p>
  </w:endnote>
  <w:endnote w:type="continuationSeparator" w:id="0">
    <w:p w14:paraId="4BF2DEEE" w14:textId="77777777" w:rsidR="00BD7507" w:rsidRDefault="00BD7507" w:rsidP="00DB1ED6">
      <w:pPr>
        <w:spacing w:after="0" w:line="240" w:lineRule="auto"/>
      </w:pPr>
      <w:r>
        <w:continuationSeparator/>
      </w:r>
    </w:p>
  </w:endnote>
  <w:endnote w:id="1">
    <w:p w14:paraId="0535E5E1" w14:textId="306D88E2" w:rsidR="00BD7507" w:rsidRPr="00906198" w:rsidRDefault="00BD7507" w:rsidP="00906198">
      <w:pPr>
        <w:pStyle w:val="EndnoteText"/>
        <w:spacing w:after="40"/>
        <w:contextualSpacing/>
        <w:rPr>
          <w:rFonts w:asciiTheme="majorHAnsi" w:hAnsiTheme="majorHAnsi" w:cstheme="majorHAnsi"/>
          <w:sz w:val="18"/>
          <w:szCs w:val="18"/>
        </w:rPr>
      </w:pPr>
      <w:r w:rsidRPr="00906198">
        <w:rPr>
          <w:rStyle w:val="EndnoteReference"/>
          <w:rFonts w:asciiTheme="majorHAnsi" w:hAnsiTheme="majorHAnsi" w:cstheme="majorHAnsi"/>
          <w:sz w:val="18"/>
          <w:szCs w:val="18"/>
        </w:rPr>
        <w:endnoteRef/>
      </w:r>
      <w:r w:rsidRPr="00906198">
        <w:rPr>
          <w:rFonts w:asciiTheme="majorHAnsi" w:hAnsiTheme="majorHAnsi" w:cstheme="majorHAnsi"/>
          <w:sz w:val="18"/>
          <w:szCs w:val="18"/>
        </w:rPr>
        <w:t xml:space="preserve"> </w:t>
      </w:r>
      <w:r w:rsidRPr="00906198">
        <w:rPr>
          <w:rFonts w:asciiTheme="majorHAnsi" w:hAnsiTheme="majorHAnsi" w:cstheme="majorHAnsi"/>
          <w:sz w:val="18"/>
          <w:szCs w:val="18"/>
        </w:rPr>
        <w:tab/>
        <w:t xml:space="preserve">The Queensland Government Public Service Commission, 2017, </w:t>
      </w:r>
      <w:r w:rsidRPr="00906198">
        <w:rPr>
          <w:rFonts w:asciiTheme="majorHAnsi" w:hAnsiTheme="majorHAnsi" w:cstheme="majorHAnsi"/>
          <w:i/>
          <w:sz w:val="18"/>
          <w:szCs w:val="18"/>
        </w:rPr>
        <w:t>Queensland public sector LGBTIQ+ inclusion strategy 2017-2022</w:t>
      </w:r>
      <w:r w:rsidRPr="00906198">
        <w:rPr>
          <w:rFonts w:asciiTheme="majorHAnsi" w:hAnsiTheme="majorHAnsi" w:cstheme="majorHAnsi"/>
          <w:sz w:val="18"/>
          <w:szCs w:val="18"/>
        </w:rPr>
        <w:t xml:space="preserve">, viewed 22 June 2018, &lt; https://www.forgov.qld.gov.au/sites/default/files/lgbtiq-inclusion-strategy.pdf?v=1491458841&gt; </w:t>
      </w:r>
    </w:p>
  </w:endnote>
  <w:endnote w:id="2">
    <w:p w14:paraId="7FC095D7" w14:textId="77777777" w:rsidR="00BD7507" w:rsidRPr="00906198" w:rsidRDefault="00BD7507" w:rsidP="00906198">
      <w:pPr>
        <w:pStyle w:val="EndnoteText"/>
        <w:spacing w:after="40"/>
        <w:contextualSpacing/>
        <w:rPr>
          <w:rFonts w:asciiTheme="majorHAnsi" w:hAnsiTheme="majorHAnsi" w:cstheme="majorHAnsi"/>
          <w:sz w:val="18"/>
          <w:szCs w:val="18"/>
        </w:rPr>
      </w:pPr>
      <w:r w:rsidRPr="00906198">
        <w:rPr>
          <w:rStyle w:val="EndnoteReference"/>
          <w:rFonts w:asciiTheme="majorHAnsi" w:hAnsiTheme="majorHAnsi" w:cstheme="majorHAnsi"/>
          <w:sz w:val="18"/>
          <w:szCs w:val="18"/>
        </w:rPr>
        <w:endnoteRef/>
      </w:r>
      <w:r w:rsidRPr="00906198">
        <w:rPr>
          <w:rFonts w:asciiTheme="majorHAnsi" w:hAnsiTheme="majorHAnsi" w:cstheme="majorHAnsi"/>
          <w:sz w:val="18"/>
          <w:szCs w:val="18"/>
        </w:rPr>
        <w:t xml:space="preserve"> </w:t>
      </w:r>
      <w:r w:rsidRPr="00906198">
        <w:rPr>
          <w:rFonts w:asciiTheme="majorHAnsi" w:hAnsiTheme="majorHAnsi" w:cstheme="majorHAnsi"/>
          <w:sz w:val="18"/>
          <w:szCs w:val="18"/>
        </w:rPr>
        <w:tab/>
        <w:t xml:space="preserve">European Institute for Gender Equality, 2013, </w:t>
      </w:r>
      <w:r w:rsidRPr="00906198">
        <w:rPr>
          <w:rFonts w:asciiTheme="majorHAnsi" w:hAnsiTheme="majorHAnsi" w:cstheme="majorHAnsi"/>
          <w:i/>
          <w:sz w:val="18"/>
          <w:szCs w:val="18"/>
        </w:rPr>
        <w:t>Investing in gender competence</w:t>
      </w:r>
      <w:r w:rsidRPr="00906198">
        <w:rPr>
          <w:rFonts w:asciiTheme="majorHAnsi" w:hAnsiTheme="majorHAnsi" w:cstheme="majorHAnsi"/>
          <w:sz w:val="18"/>
          <w:szCs w:val="18"/>
        </w:rPr>
        <w:t>, Preliminary results of EIGE’s in-depth study on gender training in the EU.</w:t>
      </w:r>
    </w:p>
  </w:endnote>
  <w:endnote w:id="3">
    <w:p w14:paraId="01C21E2F" w14:textId="7C51F9B7" w:rsidR="00BD7507" w:rsidRPr="00906198" w:rsidRDefault="00BD7507" w:rsidP="00906198">
      <w:pPr>
        <w:pStyle w:val="EndnoteText"/>
        <w:spacing w:after="40"/>
        <w:contextualSpacing/>
        <w:rPr>
          <w:rFonts w:asciiTheme="majorHAnsi" w:hAnsiTheme="majorHAnsi" w:cstheme="majorHAnsi"/>
          <w:sz w:val="18"/>
          <w:szCs w:val="18"/>
        </w:rPr>
      </w:pPr>
      <w:r w:rsidRPr="00906198">
        <w:rPr>
          <w:rStyle w:val="EndnoteReference"/>
          <w:rFonts w:asciiTheme="majorHAnsi" w:hAnsiTheme="majorHAnsi" w:cstheme="majorHAnsi"/>
          <w:sz w:val="18"/>
          <w:szCs w:val="18"/>
        </w:rPr>
        <w:endnoteRef/>
      </w:r>
      <w:r w:rsidRPr="00906198">
        <w:rPr>
          <w:rFonts w:asciiTheme="majorHAnsi" w:hAnsiTheme="majorHAnsi" w:cstheme="majorHAnsi"/>
          <w:sz w:val="18"/>
          <w:szCs w:val="18"/>
        </w:rPr>
        <w:t xml:space="preserve"> </w:t>
      </w:r>
      <w:r w:rsidRPr="00906198">
        <w:rPr>
          <w:rFonts w:asciiTheme="majorHAnsi" w:hAnsiTheme="majorHAnsi" w:cstheme="majorHAnsi"/>
          <w:sz w:val="18"/>
          <w:szCs w:val="18"/>
        </w:rPr>
        <w:tab/>
        <w:t xml:space="preserve">Definitions are from various sources, including International Labour Office, European Institute for Gender Equality, Status of Women Canada, Swedish International Development, and UN Women. For details, refer to the Gender Analysis Toolkit </w:t>
      </w:r>
      <w:r>
        <w:rPr>
          <w:rFonts w:asciiTheme="majorHAnsi" w:hAnsiTheme="majorHAnsi" w:cstheme="majorHAnsi"/>
          <w:sz w:val="18"/>
          <w:szCs w:val="18"/>
        </w:rPr>
        <w:t xml:space="preserve">Section </w:t>
      </w:r>
      <w:r w:rsidRPr="00906198">
        <w:rPr>
          <w:rFonts w:asciiTheme="majorHAnsi" w:hAnsiTheme="majorHAnsi" w:cstheme="majorHAnsi"/>
          <w:sz w:val="18"/>
          <w:szCs w:val="18"/>
        </w:rPr>
        <w:t>6</w:t>
      </w:r>
      <w:r>
        <w:rPr>
          <w:rFonts w:asciiTheme="majorHAnsi" w:hAnsiTheme="majorHAnsi" w:cstheme="majorHAnsi"/>
          <w:sz w:val="18"/>
          <w:szCs w:val="18"/>
        </w:rPr>
        <w:t xml:space="preserve"> Further information</w:t>
      </w:r>
      <w:r w:rsidRPr="00906198">
        <w:rPr>
          <w:rFonts w:asciiTheme="majorHAnsi" w:hAnsiTheme="majorHAnsi" w:cstheme="majorHAnsi"/>
          <w:sz w:val="18"/>
          <w:szCs w:val="18"/>
        </w:rPr>
        <w:t>.</w:t>
      </w:r>
    </w:p>
  </w:endnote>
  <w:endnote w:id="4">
    <w:p w14:paraId="0F0CAAEC" w14:textId="77777777" w:rsidR="00BD7507" w:rsidRPr="00906198" w:rsidRDefault="00BD7507" w:rsidP="00906198">
      <w:pPr>
        <w:pStyle w:val="EndnoteText"/>
        <w:spacing w:after="40"/>
        <w:contextualSpacing/>
        <w:rPr>
          <w:rFonts w:asciiTheme="majorHAnsi" w:hAnsiTheme="majorHAnsi" w:cstheme="majorHAnsi"/>
          <w:sz w:val="18"/>
          <w:szCs w:val="18"/>
        </w:rPr>
      </w:pPr>
      <w:r w:rsidRPr="00906198">
        <w:rPr>
          <w:rStyle w:val="EndnoteReference"/>
          <w:rFonts w:asciiTheme="majorHAnsi" w:hAnsiTheme="majorHAnsi" w:cstheme="majorHAnsi"/>
          <w:sz w:val="18"/>
          <w:szCs w:val="18"/>
        </w:rPr>
        <w:endnoteRef/>
      </w:r>
      <w:r w:rsidRPr="00906198">
        <w:rPr>
          <w:rFonts w:asciiTheme="majorHAnsi" w:hAnsiTheme="majorHAnsi" w:cstheme="majorHAnsi"/>
          <w:sz w:val="18"/>
          <w:szCs w:val="18"/>
        </w:rPr>
        <w:t xml:space="preserve"> </w:t>
      </w:r>
      <w:r w:rsidRPr="00906198">
        <w:rPr>
          <w:rFonts w:asciiTheme="majorHAnsi" w:hAnsiTheme="majorHAnsi" w:cstheme="majorHAnsi"/>
          <w:sz w:val="18"/>
          <w:szCs w:val="18"/>
        </w:rPr>
        <w:tab/>
        <w:t xml:space="preserve">Technical Division of the United Nations Population Fund (UNFPA), 2014, </w:t>
      </w:r>
      <w:r w:rsidRPr="00906198">
        <w:rPr>
          <w:rFonts w:asciiTheme="majorHAnsi" w:hAnsiTheme="majorHAnsi" w:cstheme="majorHAnsi"/>
          <w:i/>
          <w:sz w:val="18"/>
          <w:szCs w:val="18"/>
        </w:rPr>
        <w:t>Methodological guidelines for the gender analysis of national population and housing census data</w:t>
      </w:r>
      <w:r w:rsidRPr="00906198">
        <w:rPr>
          <w:rFonts w:asciiTheme="majorHAnsi" w:hAnsiTheme="majorHAnsi" w:cstheme="majorHAnsi"/>
          <w:sz w:val="18"/>
          <w:szCs w:val="18"/>
        </w:rPr>
        <w:t>, UNFPA.</w:t>
      </w:r>
    </w:p>
  </w:endnote>
  <w:endnote w:id="5">
    <w:p w14:paraId="7405DBE7" w14:textId="77777777" w:rsidR="00BD7507" w:rsidRPr="00906198" w:rsidRDefault="00BD7507" w:rsidP="00906198">
      <w:pPr>
        <w:pStyle w:val="EndnoteText"/>
        <w:spacing w:after="40"/>
        <w:contextualSpacing/>
        <w:rPr>
          <w:rFonts w:asciiTheme="majorHAnsi" w:hAnsiTheme="majorHAnsi" w:cstheme="majorHAnsi"/>
          <w:sz w:val="18"/>
          <w:szCs w:val="18"/>
        </w:rPr>
      </w:pPr>
      <w:r w:rsidRPr="00906198">
        <w:rPr>
          <w:rStyle w:val="EndnoteReference"/>
          <w:rFonts w:asciiTheme="majorHAnsi" w:hAnsiTheme="majorHAnsi" w:cstheme="majorHAnsi"/>
          <w:sz w:val="18"/>
          <w:szCs w:val="18"/>
        </w:rPr>
        <w:endnoteRef/>
      </w:r>
      <w:r w:rsidRPr="00906198">
        <w:rPr>
          <w:rFonts w:asciiTheme="majorHAnsi" w:hAnsiTheme="majorHAnsi" w:cstheme="majorHAnsi"/>
          <w:sz w:val="18"/>
          <w:szCs w:val="18"/>
        </w:rPr>
        <w:t xml:space="preserve"> </w:t>
      </w:r>
      <w:r w:rsidRPr="00906198">
        <w:rPr>
          <w:rFonts w:asciiTheme="majorHAnsi" w:hAnsiTheme="majorHAnsi" w:cstheme="majorHAnsi"/>
          <w:sz w:val="18"/>
          <w:szCs w:val="18"/>
        </w:rPr>
        <w:tab/>
        <w:t>Macquarie Dictionary, viewed 13 September 2017, &lt;</w:t>
      </w:r>
      <w:hyperlink r:id="rId1" w:history="1">
        <w:r w:rsidRPr="00906198">
          <w:rPr>
            <w:rStyle w:val="Hyperlink"/>
            <w:rFonts w:asciiTheme="majorHAnsi" w:hAnsiTheme="majorHAnsi" w:cstheme="majorHAnsi"/>
            <w:sz w:val="18"/>
            <w:szCs w:val="18"/>
          </w:rPr>
          <w:t>https://www.macquariedictionary.com.au/features/word/search/?word=analysis&amp;search_word_type=Dictionary</w:t>
        </w:r>
      </w:hyperlink>
      <w:r w:rsidRPr="00906198">
        <w:rPr>
          <w:rFonts w:asciiTheme="majorHAnsi" w:hAnsiTheme="majorHAnsi" w:cstheme="majorHAnsi"/>
          <w:sz w:val="18"/>
          <w:szCs w:val="18"/>
        </w:rPr>
        <w:t xml:space="preserve">&gt; </w:t>
      </w:r>
    </w:p>
  </w:endnote>
  <w:endnote w:id="6">
    <w:p w14:paraId="3733B9D0" w14:textId="77777777" w:rsidR="00BD7507" w:rsidRPr="00906198" w:rsidRDefault="00BD7507" w:rsidP="00906198">
      <w:pPr>
        <w:pStyle w:val="EndnoteText"/>
        <w:spacing w:after="40"/>
        <w:contextualSpacing/>
        <w:rPr>
          <w:rFonts w:asciiTheme="majorHAnsi" w:hAnsiTheme="majorHAnsi" w:cstheme="majorHAnsi"/>
          <w:sz w:val="18"/>
          <w:szCs w:val="18"/>
        </w:rPr>
      </w:pPr>
      <w:r w:rsidRPr="00906198">
        <w:rPr>
          <w:rStyle w:val="EndnoteReference"/>
          <w:rFonts w:asciiTheme="majorHAnsi" w:hAnsiTheme="majorHAnsi" w:cstheme="majorHAnsi"/>
          <w:sz w:val="18"/>
          <w:szCs w:val="18"/>
        </w:rPr>
        <w:endnoteRef/>
      </w:r>
      <w:r w:rsidRPr="00906198">
        <w:rPr>
          <w:rFonts w:asciiTheme="majorHAnsi" w:hAnsiTheme="majorHAnsi" w:cstheme="majorHAnsi"/>
          <w:sz w:val="18"/>
          <w:szCs w:val="18"/>
        </w:rPr>
        <w:t xml:space="preserve"> </w:t>
      </w:r>
      <w:r w:rsidRPr="00906198">
        <w:rPr>
          <w:rFonts w:asciiTheme="majorHAnsi" w:hAnsiTheme="majorHAnsi" w:cstheme="majorHAnsi"/>
          <w:sz w:val="18"/>
          <w:szCs w:val="18"/>
        </w:rPr>
        <w:tab/>
        <w:t xml:space="preserve">United Nations Office of the Special Adviser on Gender Issues and Advancement of Women, 2002, </w:t>
      </w:r>
      <w:r w:rsidRPr="00906198">
        <w:rPr>
          <w:rFonts w:asciiTheme="majorHAnsi" w:hAnsiTheme="majorHAnsi" w:cstheme="majorHAnsi"/>
          <w:i/>
          <w:sz w:val="18"/>
          <w:szCs w:val="18"/>
        </w:rPr>
        <w:t>Gender mainstreaming: an overview</w:t>
      </w:r>
      <w:r w:rsidRPr="00906198">
        <w:rPr>
          <w:rFonts w:asciiTheme="majorHAnsi" w:hAnsiTheme="majorHAnsi" w:cstheme="majorHAnsi"/>
          <w:sz w:val="18"/>
          <w:szCs w:val="18"/>
        </w:rPr>
        <w:t>.</w:t>
      </w:r>
    </w:p>
  </w:endnote>
  <w:endnote w:id="7">
    <w:p w14:paraId="566C43FE" w14:textId="77777777" w:rsidR="00BD7507" w:rsidRPr="00906198" w:rsidRDefault="00BD7507" w:rsidP="00906198">
      <w:pPr>
        <w:pStyle w:val="EndnoteText"/>
        <w:spacing w:after="40"/>
        <w:contextualSpacing/>
        <w:rPr>
          <w:rFonts w:asciiTheme="majorHAnsi" w:hAnsiTheme="majorHAnsi" w:cstheme="majorHAnsi"/>
          <w:sz w:val="18"/>
          <w:szCs w:val="18"/>
        </w:rPr>
      </w:pPr>
      <w:r w:rsidRPr="00906198">
        <w:rPr>
          <w:rStyle w:val="EndnoteReference"/>
          <w:rFonts w:asciiTheme="majorHAnsi" w:hAnsiTheme="majorHAnsi" w:cstheme="majorHAnsi"/>
          <w:sz w:val="18"/>
          <w:szCs w:val="18"/>
        </w:rPr>
        <w:endnoteRef/>
      </w:r>
      <w:r w:rsidRPr="00906198">
        <w:rPr>
          <w:rFonts w:asciiTheme="majorHAnsi" w:hAnsiTheme="majorHAnsi" w:cstheme="majorHAnsi"/>
          <w:sz w:val="18"/>
          <w:szCs w:val="18"/>
        </w:rPr>
        <w:t xml:space="preserve"> </w:t>
      </w:r>
      <w:r w:rsidRPr="00906198">
        <w:rPr>
          <w:rFonts w:asciiTheme="majorHAnsi" w:hAnsiTheme="majorHAnsi" w:cstheme="majorHAnsi"/>
          <w:sz w:val="18"/>
          <w:szCs w:val="18"/>
        </w:rPr>
        <w:tab/>
        <w:t xml:space="preserve">United Nations Office of the Special Adviser on Gender Issues and Advancement of Women, 2001, </w:t>
      </w:r>
      <w:r w:rsidRPr="00906198">
        <w:rPr>
          <w:rFonts w:asciiTheme="majorHAnsi" w:hAnsiTheme="majorHAnsi" w:cstheme="majorHAnsi"/>
          <w:i/>
          <w:sz w:val="18"/>
          <w:szCs w:val="18"/>
        </w:rPr>
        <w:t>Gender mainstreaming: strategy for promoting gender equality</w:t>
      </w:r>
      <w:r w:rsidRPr="00906198">
        <w:rPr>
          <w:rFonts w:asciiTheme="majorHAnsi" w:hAnsiTheme="majorHAnsi" w:cstheme="majorHAnsi"/>
          <w:sz w:val="18"/>
          <w:szCs w:val="18"/>
        </w:rPr>
        <w:t>.</w:t>
      </w:r>
    </w:p>
  </w:endnote>
  <w:endnote w:id="8">
    <w:p w14:paraId="1279428A" w14:textId="77777777" w:rsidR="00BD7507" w:rsidRPr="00906198" w:rsidRDefault="00BD7507" w:rsidP="00906198">
      <w:pPr>
        <w:pStyle w:val="EndnoteText"/>
        <w:spacing w:after="40"/>
        <w:contextualSpacing/>
        <w:rPr>
          <w:rFonts w:asciiTheme="majorHAnsi" w:hAnsiTheme="majorHAnsi" w:cstheme="majorHAnsi"/>
          <w:sz w:val="18"/>
          <w:szCs w:val="18"/>
        </w:rPr>
      </w:pPr>
      <w:r w:rsidRPr="00906198">
        <w:rPr>
          <w:rStyle w:val="EndnoteReference"/>
          <w:rFonts w:asciiTheme="majorHAnsi" w:hAnsiTheme="majorHAnsi" w:cstheme="majorHAnsi"/>
          <w:sz w:val="18"/>
          <w:szCs w:val="18"/>
        </w:rPr>
        <w:endnoteRef/>
      </w:r>
      <w:r w:rsidRPr="00906198">
        <w:rPr>
          <w:rFonts w:asciiTheme="majorHAnsi" w:hAnsiTheme="majorHAnsi" w:cstheme="majorHAnsi"/>
          <w:sz w:val="18"/>
          <w:szCs w:val="18"/>
        </w:rPr>
        <w:t xml:space="preserve"> </w:t>
      </w:r>
      <w:r w:rsidRPr="00906198">
        <w:rPr>
          <w:rFonts w:asciiTheme="majorHAnsi" w:hAnsiTheme="majorHAnsi" w:cstheme="majorHAnsi"/>
          <w:sz w:val="18"/>
          <w:szCs w:val="18"/>
        </w:rPr>
        <w:tab/>
        <w:t xml:space="preserve">United Nations Office of the Special Adviser on Gender Issues and Advancement of Women, 2002, </w:t>
      </w:r>
      <w:r w:rsidRPr="00906198">
        <w:rPr>
          <w:rFonts w:asciiTheme="majorHAnsi" w:hAnsiTheme="majorHAnsi" w:cstheme="majorHAnsi"/>
          <w:i/>
          <w:sz w:val="18"/>
          <w:szCs w:val="18"/>
        </w:rPr>
        <w:t>Gender mainstreaming: an overview</w:t>
      </w:r>
      <w:r w:rsidRPr="00906198">
        <w:rPr>
          <w:rFonts w:asciiTheme="majorHAnsi" w:hAnsiTheme="majorHAnsi" w:cstheme="majorHAnsi"/>
          <w:sz w:val="18"/>
          <w:szCs w:val="18"/>
        </w:rPr>
        <w:t>.</w:t>
      </w:r>
    </w:p>
  </w:endnote>
  <w:endnote w:id="9">
    <w:p w14:paraId="33BF120E" w14:textId="77777777" w:rsidR="00BD7507" w:rsidRPr="00906198" w:rsidRDefault="00BD7507" w:rsidP="003738FB">
      <w:pPr>
        <w:pStyle w:val="EndnoteText"/>
        <w:spacing w:after="40"/>
        <w:contextualSpacing/>
        <w:rPr>
          <w:rFonts w:asciiTheme="majorHAnsi" w:hAnsiTheme="majorHAnsi" w:cstheme="majorHAnsi"/>
          <w:sz w:val="18"/>
          <w:szCs w:val="18"/>
        </w:rPr>
      </w:pPr>
      <w:r w:rsidRPr="00906198">
        <w:rPr>
          <w:rStyle w:val="EndnoteReference"/>
          <w:rFonts w:asciiTheme="majorHAnsi" w:hAnsiTheme="majorHAnsi" w:cstheme="majorHAnsi"/>
          <w:sz w:val="18"/>
          <w:szCs w:val="18"/>
        </w:rPr>
        <w:endnoteRef/>
      </w:r>
      <w:r w:rsidRPr="00906198">
        <w:rPr>
          <w:rFonts w:asciiTheme="majorHAnsi" w:hAnsiTheme="majorHAnsi" w:cstheme="majorHAnsi"/>
          <w:sz w:val="18"/>
          <w:szCs w:val="18"/>
        </w:rPr>
        <w:t xml:space="preserve"> </w:t>
      </w:r>
      <w:r w:rsidRPr="00906198">
        <w:rPr>
          <w:rFonts w:asciiTheme="majorHAnsi" w:hAnsiTheme="majorHAnsi" w:cstheme="majorHAnsi"/>
          <w:sz w:val="18"/>
          <w:szCs w:val="18"/>
        </w:rPr>
        <w:tab/>
        <w:t xml:space="preserve">Swedish International Development Cooperation Agency, 2015, </w:t>
      </w:r>
      <w:r w:rsidRPr="00906198">
        <w:rPr>
          <w:rFonts w:asciiTheme="majorHAnsi" w:hAnsiTheme="majorHAnsi" w:cstheme="majorHAnsi"/>
          <w:i/>
          <w:sz w:val="18"/>
          <w:szCs w:val="18"/>
        </w:rPr>
        <w:t>Gender analysis – principles &amp; elements</w:t>
      </w:r>
      <w:r w:rsidRPr="00906198">
        <w:rPr>
          <w:rFonts w:asciiTheme="majorHAnsi" w:hAnsiTheme="majorHAnsi" w:cstheme="majorHAnsi"/>
          <w:sz w:val="18"/>
          <w:szCs w:val="18"/>
        </w:rPr>
        <w:t>.</w:t>
      </w:r>
    </w:p>
  </w:endnote>
  <w:endnote w:id="10">
    <w:p w14:paraId="30F7F191" w14:textId="77777777" w:rsidR="00BD7507" w:rsidRPr="00906198" w:rsidRDefault="00BD7507" w:rsidP="00906198">
      <w:pPr>
        <w:pStyle w:val="EndnoteText"/>
        <w:spacing w:after="40"/>
        <w:contextualSpacing/>
        <w:rPr>
          <w:rFonts w:asciiTheme="majorHAnsi" w:hAnsiTheme="majorHAnsi" w:cstheme="majorHAnsi"/>
          <w:sz w:val="18"/>
          <w:szCs w:val="18"/>
        </w:rPr>
      </w:pPr>
      <w:r w:rsidRPr="00906198">
        <w:rPr>
          <w:rStyle w:val="EndnoteReference"/>
          <w:rFonts w:asciiTheme="majorHAnsi" w:hAnsiTheme="majorHAnsi" w:cstheme="majorHAnsi"/>
          <w:sz w:val="18"/>
          <w:szCs w:val="18"/>
        </w:rPr>
        <w:endnoteRef/>
      </w:r>
      <w:r w:rsidRPr="00906198">
        <w:rPr>
          <w:rFonts w:asciiTheme="majorHAnsi" w:hAnsiTheme="majorHAnsi" w:cstheme="majorHAnsi"/>
          <w:sz w:val="18"/>
          <w:szCs w:val="18"/>
        </w:rPr>
        <w:t xml:space="preserve"> </w:t>
      </w:r>
      <w:r w:rsidRPr="00906198">
        <w:rPr>
          <w:rFonts w:asciiTheme="majorHAnsi" w:hAnsiTheme="majorHAnsi" w:cstheme="majorHAnsi"/>
          <w:sz w:val="18"/>
          <w:szCs w:val="18"/>
        </w:rPr>
        <w:tab/>
        <w:t xml:space="preserve">United Nations Office of the Special Adviser on Gender Issues and Advancement of Women, 2002, </w:t>
      </w:r>
      <w:r w:rsidRPr="00906198">
        <w:rPr>
          <w:rFonts w:asciiTheme="majorHAnsi" w:hAnsiTheme="majorHAnsi" w:cstheme="majorHAnsi"/>
          <w:i/>
          <w:sz w:val="18"/>
          <w:szCs w:val="18"/>
        </w:rPr>
        <w:t>Gender mainstreaming: an overview</w:t>
      </w:r>
      <w:r w:rsidRPr="00906198">
        <w:rPr>
          <w:rFonts w:asciiTheme="majorHAnsi" w:hAnsiTheme="majorHAnsi" w:cstheme="majorHAnsi"/>
          <w:sz w:val="18"/>
          <w:szCs w:val="18"/>
        </w:rPr>
        <w:t>.</w:t>
      </w:r>
    </w:p>
  </w:endnote>
  <w:endnote w:id="11">
    <w:p w14:paraId="52C51544" w14:textId="77777777" w:rsidR="00BD7507" w:rsidRPr="00906198" w:rsidRDefault="00BD7507" w:rsidP="00906198">
      <w:pPr>
        <w:pStyle w:val="EndnoteText"/>
        <w:spacing w:after="40"/>
        <w:contextualSpacing/>
        <w:rPr>
          <w:rFonts w:asciiTheme="majorHAnsi" w:hAnsiTheme="majorHAnsi" w:cstheme="majorHAnsi"/>
          <w:sz w:val="18"/>
          <w:szCs w:val="18"/>
        </w:rPr>
      </w:pPr>
      <w:r w:rsidRPr="00906198">
        <w:rPr>
          <w:rStyle w:val="EndnoteReference"/>
          <w:rFonts w:asciiTheme="majorHAnsi" w:hAnsiTheme="majorHAnsi" w:cstheme="majorHAnsi"/>
          <w:sz w:val="18"/>
          <w:szCs w:val="18"/>
        </w:rPr>
        <w:endnoteRef/>
      </w:r>
      <w:r w:rsidRPr="00906198">
        <w:rPr>
          <w:rFonts w:asciiTheme="majorHAnsi" w:hAnsiTheme="majorHAnsi" w:cstheme="majorHAnsi"/>
          <w:sz w:val="18"/>
          <w:szCs w:val="18"/>
        </w:rPr>
        <w:t xml:space="preserve"> </w:t>
      </w:r>
      <w:r w:rsidRPr="00906198">
        <w:rPr>
          <w:rFonts w:asciiTheme="majorHAnsi" w:hAnsiTheme="majorHAnsi" w:cstheme="majorHAnsi"/>
          <w:sz w:val="18"/>
          <w:szCs w:val="18"/>
        </w:rPr>
        <w:tab/>
        <w:t xml:space="preserve">Technical Division of the United Nations Population Fund (UNFPA), 2014, </w:t>
      </w:r>
      <w:r w:rsidRPr="00906198">
        <w:rPr>
          <w:rFonts w:asciiTheme="majorHAnsi" w:hAnsiTheme="majorHAnsi" w:cstheme="majorHAnsi"/>
          <w:i/>
          <w:sz w:val="18"/>
          <w:szCs w:val="18"/>
        </w:rPr>
        <w:t>Methodological guidelines for the gender analysis of national population and housing census data</w:t>
      </w:r>
      <w:r w:rsidRPr="00906198">
        <w:rPr>
          <w:rFonts w:asciiTheme="majorHAnsi" w:hAnsiTheme="majorHAnsi" w:cstheme="majorHAnsi"/>
          <w:sz w:val="18"/>
          <w:szCs w:val="18"/>
        </w:rPr>
        <w:t>, UNFPA.</w:t>
      </w:r>
    </w:p>
  </w:endnote>
  <w:endnote w:id="12">
    <w:p w14:paraId="6DCDBB33" w14:textId="52D69DEF" w:rsidR="00BD7507" w:rsidRPr="00906198" w:rsidRDefault="00BD7507" w:rsidP="00906198">
      <w:pPr>
        <w:pStyle w:val="EndnoteText"/>
        <w:spacing w:after="40"/>
        <w:contextualSpacing/>
        <w:rPr>
          <w:rFonts w:asciiTheme="majorHAnsi" w:hAnsiTheme="majorHAnsi" w:cstheme="majorHAnsi"/>
          <w:sz w:val="18"/>
          <w:szCs w:val="18"/>
        </w:rPr>
      </w:pPr>
      <w:r w:rsidRPr="00906198">
        <w:rPr>
          <w:rStyle w:val="EndnoteReference"/>
          <w:rFonts w:asciiTheme="majorHAnsi" w:hAnsiTheme="majorHAnsi" w:cstheme="majorHAnsi"/>
          <w:sz w:val="18"/>
          <w:szCs w:val="18"/>
        </w:rPr>
        <w:endnoteRef/>
      </w:r>
      <w:r w:rsidRPr="00906198">
        <w:rPr>
          <w:rFonts w:asciiTheme="majorHAnsi" w:hAnsiTheme="majorHAnsi" w:cstheme="majorHAnsi"/>
          <w:sz w:val="18"/>
          <w:szCs w:val="18"/>
        </w:rPr>
        <w:t xml:space="preserve"> </w:t>
      </w:r>
      <w:r w:rsidRPr="00906198">
        <w:rPr>
          <w:rFonts w:asciiTheme="majorHAnsi" w:hAnsiTheme="majorHAnsi" w:cstheme="majorHAnsi"/>
          <w:sz w:val="18"/>
          <w:szCs w:val="18"/>
        </w:rPr>
        <w:tab/>
      </w:r>
      <w:r w:rsidRPr="00FF4A94">
        <w:rPr>
          <w:rFonts w:asciiTheme="majorHAnsi" w:hAnsiTheme="majorHAnsi" w:cstheme="majorHAnsi"/>
          <w:i/>
          <w:sz w:val="18"/>
          <w:szCs w:val="18"/>
        </w:rPr>
        <w:t>ibid</w:t>
      </w:r>
      <w:r w:rsidRPr="00906198">
        <w:rPr>
          <w:rFonts w:asciiTheme="majorHAnsi" w:hAnsiTheme="majorHAnsi" w:cstheme="majorHAnsi"/>
          <w:sz w:val="18"/>
          <w:szCs w:val="18"/>
        </w:rPr>
        <w:t>.</w:t>
      </w:r>
    </w:p>
  </w:endnote>
  <w:endnote w:id="13">
    <w:p w14:paraId="08938A24" w14:textId="3CC231D4" w:rsidR="00BD7507" w:rsidRPr="00906198" w:rsidRDefault="00BD7507" w:rsidP="00906198">
      <w:pPr>
        <w:pStyle w:val="EndnoteText"/>
        <w:spacing w:after="40"/>
        <w:contextualSpacing/>
        <w:rPr>
          <w:rStyle w:val="EndnoteReference"/>
          <w:rFonts w:asciiTheme="majorHAnsi" w:hAnsiTheme="majorHAnsi" w:cstheme="majorHAnsi"/>
          <w:sz w:val="18"/>
          <w:szCs w:val="18"/>
        </w:rPr>
      </w:pPr>
      <w:r w:rsidRPr="00906198">
        <w:rPr>
          <w:rStyle w:val="EndnoteReference"/>
          <w:rFonts w:asciiTheme="majorHAnsi" w:hAnsiTheme="majorHAnsi" w:cstheme="majorHAnsi"/>
          <w:sz w:val="18"/>
          <w:szCs w:val="18"/>
        </w:rPr>
        <w:endnoteRef/>
      </w:r>
      <w:r w:rsidRPr="00906198">
        <w:rPr>
          <w:rStyle w:val="EndnoteReference"/>
          <w:rFonts w:asciiTheme="majorHAnsi" w:hAnsiTheme="majorHAnsi" w:cstheme="majorHAnsi"/>
          <w:sz w:val="18"/>
          <w:szCs w:val="18"/>
        </w:rPr>
        <w:t xml:space="preserve"> </w:t>
      </w:r>
      <w:r w:rsidRPr="00906198">
        <w:rPr>
          <w:rFonts w:asciiTheme="majorHAnsi" w:hAnsiTheme="majorHAnsi" w:cstheme="majorHAnsi"/>
          <w:sz w:val="18"/>
          <w:szCs w:val="18"/>
        </w:rPr>
        <w:tab/>
        <w:t xml:space="preserve">Fredman, S., 2016, </w:t>
      </w:r>
      <w:r w:rsidRPr="00906198">
        <w:rPr>
          <w:rFonts w:asciiTheme="majorHAnsi" w:hAnsiTheme="majorHAnsi" w:cstheme="majorHAnsi"/>
          <w:i/>
          <w:sz w:val="18"/>
          <w:szCs w:val="18"/>
        </w:rPr>
        <w:t>Intersectional discrimination in EU gender equality and non-discrimination law</w:t>
      </w:r>
      <w:r w:rsidRPr="00906198">
        <w:rPr>
          <w:rFonts w:asciiTheme="majorHAnsi" w:hAnsiTheme="majorHAnsi" w:cstheme="majorHAnsi"/>
          <w:sz w:val="18"/>
          <w:szCs w:val="18"/>
        </w:rPr>
        <w:t xml:space="preserve">, European Union, viewed </w:t>
      </w:r>
      <w:r>
        <w:rPr>
          <w:rFonts w:asciiTheme="majorHAnsi" w:hAnsiTheme="majorHAnsi" w:cstheme="majorHAnsi"/>
          <w:sz w:val="18"/>
          <w:szCs w:val="18"/>
        </w:rPr>
        <w:t>27</w:t>
      </w:r>
      <w:r w:rsidRPr="00906198">
        <w:rPr>
          <w:rFonts w:asciiTheme="majorHAnsi" w:hAnsiTheme="majorHAnsi" w:cstheme="majorHAnsi"/>
          <w:sz w:val="18"/>
          <w:szCs w:val="18"/>
        </w:rPr>
        <w:t xml:space="preserve"> June 2017, </w:t>
      </w:r>
      <w:r w:rsidRPr="00DC5570">
        <w:rPr>
          <w:rFonts w:asciiTheme="majorHAnsi" w:hAnsiTheme="majorHAnsi" w:cstheme="majorHAnsi"/>
          <w:sz w:val="18"/>
          <w:szCs w:val="18"/>
        </w:rPr>
        <w:t>&lt;</w:t>
      </w:r>
      <w:r w:rsidRPr="00DC5570">
        <w:rPr>
          <w:sz w:val="18"/>
          <w:szCs w:val="18"/>
        </w:rPr>
        <w:t>https://publications.europa.eu/en/publication-detail/-/publication/d73a9221-b7c3-40f6-8414-8a48a2157a2f/language-en</w:t>
      </w:r>
      <w:r w:rsidRPr="00DC5570">
        <w:rPr>
          <w:rFonts w:asciiTheme="majorHAnsi" w:hAnsiTheme="majorHAnsi" w:cstheme="majorHAnsi"/>
          <w:sz w:val="18"/>
          <w:szCs w:val="18"/>
        </w:rPr>
        <w:t>&gt;</w:t>
      </w:r>
      <w:r w:rsidRPr="00906198">
        <w:rPr>
          <w:rFonts w:asciiTheme="majorHAnsi" w:hAnsiTheme="majorHAnsi" w:cstheme="majorHAnsi"/>
          <w:sz w:val="18"/>
          <w:szCs w:val="18"/>
        </w:rPr>
        <w:t xml:space="preserve"> </w:t>
      </w:r>
    </w:p>
  </w:endnote>
  <w:endnote w:id="14">
    <w:p w14:paraId="1F274F3D" w14:textId="14049FAA" w:rsidR="00BD7507" w:rsidRPr="00906198" w:rsidRDefault="00BD7507" w:rsidP="00906198">
      <w:pPr>
        <w:pStyle w:val="EndnoteText"/>
        <w:spacing w:after="40"/>
        <w:contextualSpacing/>
        <w:rPr>
          <w:rStyle w:val="EndnoteReference"/>
          <w:rFonts w:asciiTheme="majorHAnsi" w:hAnsiTheme="majorHAnsi" w:cstheme="majorHAnsi"/>
          <w:sz w:val="18"/>
          <w:szCs w:val="18"/>
        </w:rPr>
      </w:pPr>
      <w:r w:rsidRPr="00906198">
        <w:rPr>
          <w:rStyle w:val="EndnoteReference"/>
          <w:rFonts w:asciiTheme="majorHAnsi" w:hAnsiTheme="majorHAnsi" w:cstheme="majorHAnsi"/>
          <w:sz w:val="18"/>
          <w:szCs w:val="18"/>
        </w:rPr>
        <w:endnoteRef/>
      </w:r>
      <w:r w:rsidRPr="00906198">
        <w:rPr>
          <w:rStyle w:val="EndnoteReference"/>
          <w:rFonts w:asciiTheme="majorHAnsi" w:hAnsiTheme="majorHAnsi" w:cstheme="majorHAnsi"/>
          <w:sz w:val="18"/>
          <w:szCs w:val="18"/>
        </w:rPr>
        <w:t xml:space="preserve"> </w:t>
      </w:r>
      <w:r>
        <w:rPr>
          <w:rFonts w:asciiTheme="majorHAnsi" w:hAnsiTheme="majorHAnsi" w:cstheme="majorHAnsi"/>
          <w:sz w:val="18"/>
          <w:szCs w:val="18"/>
        </w:rPr>
        <w:t xml:space="preserve"> </w:t>
      </w:r>
      <w:r w:rsidRPr="00FF4A94">
        <w:rPr>
          <w:rFonts w:asciiTheme="majorHAnsi" w:hAnsiTheme="majorHAnsi" w:cstheme="majorHAnsi"/>
          <w:i/>
          <w:sz w:val="18"/>
          <w:szCs w:val="18"/>
        </w:rPr>
        <w:t>ibid</w:t>
      </w:r>
      <w:r>
        <w:rPr>
          <w:rFonts w:asciiTheme="majorHAnsi" w:hAnsiTheme="majorHAnsi" w:cstheme="majorHAnsi"/>
          <w:sz w:val="18"/>
          <w:szCs w:val="18"/>
        </w:rPr>
        <w:t>.</w:t>
      </w:r>
    </w:p>
  </w:endnote>
  <w:endnote w:id="15">
    <w:p w14:paraId="196DD6AC" w14:textId="77777777" w:rsidR="00BD7507" w:rsidRPr="00906198" w:rsidRDefault="00BD7507" w:rsidP="00354C8E">
      <w:pPr>
        <w:pStyle w:val="EndnoteText"/>
        <w:spacing w:after="40"/>
        <w:contextualSpacing/>
        <w:rPr>
          <w:rFonts w:asciiTheme="majorHAnsi" w:hAnsiTheme="majorHAnsi" w:cstheme="majorHAnsi"/>
          <w:sz w:val="18"/>
          <w:szCs w:val="18"/>
        </w:rPr>
      </w:pPr>
      <w:r w:rsidRPr="00906198">
        <w:rPr>
          <w:rStyle w:val="EndnoteReference"/>
          <w:rFonts w:asciiTheme="majorHAnsi" w:hAnsiTheme="majorHAnsi" w:cstheme="majorHAnsi"/>
          <w:sz w:val="18"/>
          <w:szCs w:val="18"/>
        </w:rPr>
        <w:endnoteRef/>
      </w:r>
      <w:r w:rsidRPr="00906198">
        <w:rPr>
          <w:rFonts w:asciiTheme="majorHAnsi" w:hAnsiTheme="majorHAnsi" w:cstheme="majorHAnsi"/>
          <w:sz w:val="18"/>
          <w:szCs w:val="18"/>
        </w:rPr>
        <w:t xml:space="preserve"> </w:t>
      </w:r>
      <w:r w:rsidRPr="00906198">
        <w:rPr>
          <w:rFonts w:asciiTheme="majorHAnsi" w:hAnsiTheme="majorHAnsi" w:cstheme="majorHAnsi"/>
          <w:sz w:val="18"/>
          <w:szCs w:val="18"/>
          <w:lang w:val="en-US"/>
        </w:rPr>
        <w:t>Definitions are from various sources, including Queensland Government Department of Communities, Child Safety and Disability Services, International Labour Office, European Institute for Gender Equality, Status of Women Canada, Swedish International Development, the San Francisco City Status of Women, and UN Women. For details, refer to Gender Analysis Toolkit Section 6. Further information.</w:t>
      </w:r>
    </w:p>
  </w:endnote>
  <w:endnote w:id="16">
    <w:p w14:paraId="25D13A49" w14:textId="77777777" w:rsidR="00BD7507" w:rsidRPr="00906198" w:rsidRDefault="00BD7507" w:rsidP="00354C8E">
      <w:pPr>
        <w:tabs>
          <w:tab w:val="left" w:pos="180"/>
        </w:tabs>
        <w:autoSpaceDE w:val="0"/>
        <w:autoSpaceDN w:val="0"/>
        <w:spacing w:after="40" w:line="240" w:lineRule="auto"/>
        <w:ind w:left="181" w:hanging="181"/>
        <w:contextualSpacing/>
        <w:rPr>
          <w:rFonts w:asciiTheme="majorHAnsi" w:hAnsiTheme="majorHAnsi" w:cstheme="majorHAnsi"/>
          <w:sz w:val="18"/>
          <w:szCs w:val="18"/>
        </w:rPr>
      </w:pPr>
      <w:r w:rsidRPr="00906198">
        <w:rPr>
          <w:rStyle w:val="EndnoteReference"/>
          <w:rFonts w:asciiTheme="majorHAnsi" w:hAnsiTheme="majorHAnsi" w:cstheme="majorHAnsi"/>
          <w:sz w:val="18"/>
          <w:szCs w:val="18"/>
        </w:rPr>
        <w:endnoteRef/>
      </w:r>
      <w:r w:rsidRPr="00906198">
        <w:rPr>
          <w:rFonts w:asciiTheme="majorHAnsi" w:hAnsiTheme="majorHAnsi" w:cstheme="majorHAnsi"/>
          <w:sz w:val="18"/>
          <w:szCs w:val="18"/>
        </w:rPr>
        <w:t xml:space="preserve"> </w:t>
      </w:r>
      <w:r w:rsidRPr="00906198">
        <w:rPr>
          <w:rFonts w:asciiTheme="majorHAnsi" w:hAnsiTheme="majorHAnsi" w:cstheme="majorHAnsi"/>
          <w:sz w:val="18"/>
          <w:szCs w:val="18"/>
        </w:rPr>
        <w:tab/>
        <w:t>United Nations, 1997, Report of the economic and social council for 1997, General assembly fifty-second session, A/52/3, 18 September 1997, viewed 22 August 2017, &lt;</w:t>
      </w:r>
      <w:hyperlink r:id="rId2" w:history="1">
        <w:r w:rsidRPr="00906198">
          <w:rPr>
            <w:rStyle w:val="Hyperlink"/>
            <w:rFonts w:asciiTheme="majorHAnsi" w:hAnsiTheme="majorHAnsi" w:cstheme="majorHAnsi"/>
            <w:sz w:val="18"/>
            <w:szCs w:val="18"/>
          </w:rPr>
          <w:t>https://www.un.org/documents/ga/docs/52/plenary/a52-3.htm</w:t>
        </w:r>
      </w:hyperlink>
      <w:r w:rsidRPr="00906198">
        <w:rPr>
          <w:rFonts w:asciiTheme="majorHAnsi" w:hAnsiTheme="majorHAnsi" w:cstheme="majorHAnsi"/>
          <w:sz w:val="18"/>
          <w:szCs w:val="18"/>
        </w:rPr>
        <w:t xml:space="preserve">&gt;  </w:t>
      </w:r>
    </w:p>
  </w:endnote>
  <w:endnote w:id="17">
    <w:p w14:paraId="66B5C607" w14:textId="77777777" w:rsidR="00BD7507" w:rsidRPr="00906198" w:rsidRDefault="00BD7507" w:rsidP="00354C8E">
      <w:pPr>
        <w:pStyle w:val="EndnoteText"/>
        <w:spacing w:after="40"/>
        <w:contextualSpacing/>
        <w:rPr>
          <w:rStyle w:val="EndnoteReference"/>
          <w:rFonts w:asciiTheme="majorHAnsi" w:hAnsiTheme="majorHAnsi" w:cstheme="majorHAnsi"/>
          <w:sz w:val="18"/>
          <w:szCs w:val="18"/>
        </w:rPr>
      </w:pPr>
      <w:r w:rsidRPr="00906198">
        <w:rPr>
          <w:rStyle w:val="EndnoteReference"/>
          <w:rFonts w:asciiTheme="majorHAnsi" w:hAnsiTheme="majorHAnsi" w:cstheme="majorHAnsi"/>
          <w:sz w:val="18"/>
          <w:szCs w:val="18"/>
        </w:rPr>
        <w:endnoteRef/>
      </w:r>
      <w:r w:rsidRPr="00906198">
        <w:rPr>
          <w:rStyle w:val="EndnoteReference"/>
          <w:rFonts w:asciiTheme="majorHAnsi" w:hAnsiTheme="majorHAnsi" w:cstheme="majorHAnsi"/>
          <w:sz w:val="18"/>
          <w:szCs w:val="18"/>
        </w:rPr>
        <w:t xml:space="preserve"> </w:t>
      </w:r>
      <w:r w:rsidRPr="00906198">
        <w:rPr>
          <w:rFonts w:asciiTheme="majorHAnsi" w:hAnsiTheme="majorHAnsi" w:cstheme="majorHAnsi"/>
          <w:sz w:val="18"/>
          <w:szCs w:val="18"/>
        </w:rPr>
        <w:t xml:space="preserve"> UN Women, </w:t>
      </w:r>
      <w:r w:rsidRPr="00906198">
        <w:rPr>
          <w:rFonts w:asciiTheme="majorHAnsi" w:hAnsiTheme="majorHAnsi" w:cstheme="majorHAnsi"/>
          <w:i/>
          <w:sz w:val="18"/>
          <w:szCs w:val="18"/>
        </w:rPr>
        <w:t>Gender equality glossary</w:t>
      </w:r>
      <w:r w:rsidRPr="00906198">
        <w:rPr>
          <w:rFonts w:asciiTheme="majorHAnsi" w:hAnsiTheme="majorHAnsi" w:cstheme="majorHAnsi"/>
          <w:sz w:val="18"/>
          <w:szCs w:val="18"/>
        </w:rPr>
        <w:t>, viewed 16 June 2017, &lt;</w:t>
      </w:r>
      <w:hyperlink r:id="rId3" w:history="1">
        <w:r w:rsidRPr="00906198">
          <w:rPr>
            <w:rStyle w:val="Hyperlink"/>
            <w:rFonts w:asciiTheme="majorHAnsi" w:hAnsiTheme="majorHAnsi" w:cstheme="majorHAnsi"/>
            <w:sz w:val="18"/>
            <w:szCs w:val="18"/>
          </w:rPr>
          <w:t>https://trainingcentre.unwomen.org/mod/glossary/view.php?id=36</w:t>
        </w:r>
      </w:hyperlink>
      <w:r w:rsidRPr="00906198">
        <w:rPr>
          <w:rFonts w:asciiTheme="majorHAnsi" w:hAnsiTheme="majorHAnsi" w:cstheme="majorHAnsi"/>
          <w:sz w:val="18"/>
          <w:szCs w:val="18"/>
        </w:rPr>
        <w:t xml:space="preserve">&gt; </w:t>
      </w:r>
    </w:p>
  </w:endnote>
  <w:endnote w:id="18">
    <w:p w14:paraId="46CF42F8" w14:textId="77777777" w:rsidR="00BD7507" w:rsidRPr="00906198" w:rsidRDefault="00BD7507" w:rsidP="00906198">
      <w:pPr>
        <w:pStyle w:val="EndnoteText"/>
        <w:spacing w:after="40"/>
        <w:contextualSpacing/>
        <w:rPr>
          <w:rFonts w:asciiTheme="majorHAnsi" w:hAnsiTheme="majorHAnsi" w:cstheme="majorHAnsi"/>
          <w:sz w:val="18"/>
          <w:szCs w:val="18"/>
        </w:rPr>
      </w:pPr>
      <w:r w:rsidRPr="00906198">
        <w:rPr>
          <w:rStyle w:val="EndnoteReference"/>
          <w:rFonts w:asciiTheme="majorHAnsi" w:hAnsiTheme="majorHAnsi" w:cstheme="majorHAnsi"/>
          <w:sz w:val="18"/>
          <w:szCs w:val="18"/>
        </w:rPr>
        <w:endnoteRef/>
      </w:r>
      <w:r w:rsidRPr="00906198">
        <w:rPr>
          <w:rFonts w:asciiTheme="majorHAnsi" w:hAnsiTheme="majorHAnsi" w:cstheme="majorHAnsi"/>
          <w:sz w:val="18"/>
          <w:szCs w:val="18"/>
        </w:rPr>
        <w:t xml:space="preserve"> </w:t>
      </w:r>
      <w:r w:rsidRPr="00906198">
        <w:rPr>
          <w:rFonts w:asciiTheme="majorHAnsi" w:hAnsiTheme="majorHAnsi" w:cstheme="majorHAnsi"/>
          <w:sz w:val="18"/>
          <w:szCs w:val="18"/>
        </w:rPr>
        <w:tab/>
        <w:t xml:space="preserve">United Nations Office of the Special Adviser on Gender Issues and Advancement of Women, 2001, </w:t>
      </w:r>
      <w:r w:rsidRPr="00906198">
        <w:rPr>
          <w:rFonts w:asciiTheme="majorHAnsi" w:hAnsiTheme="majorHAnsi" w:cstheme="majorHAnsi"/>
          <w:i/>
          <w:sz w:val="18"/>
          <w:szCs w:val="18"/>
        </w:rPr>
        <w:t>Gender mainstreaming: strategy for promoting gender equality</w:t>
      </w:r>
      <w:r w:rsidRPr="00906198">
        <w:rPr>
          <w:rFonts w:asciiTheme="majorHAnsi" w:hAnsiTheme="majorHAnsi" w:cstheme="majorHAnsi"/>
          <w:sz w:val="18"/>
          <w:szCs w:val="18"/>
        </w:rPr>
        <w:t>.</w:t>
      </w:r>
    </w:p>
  </w:endnote>
  <w:endnote w:id="19">
    <w:p w14:paraId="1848FFBC" w14:textId="77777777" w:rsidR="00BD7507" w:rsidRPr="00906198" w:rsidRDefault="00BD7507" w:rsidP="00906198">
      <w:pPr>
        <w:pStyle w:val="EndnoteText"/>
        <w:spacing w:after="40"/>
        <w:contextualSpacing/>
        <w:rPr>
          <w:rFonts w:asciiTheme="majorHAnsi" w:hAnsiTheme="majorHAnsi" w:cstheme="majorHAnsi"/>
          <w:sz w:val="18"/>
          <w:szCs w:val="18"/>
        </w:rPr>
      </w:pPr>
      <w:r w:rsidRPr="00906198">
        <w:rPr>
          <w:rStyle w:val="EndnoteReference"/>
          <w:rFonts w:asciiTheme="majorHAnsi" w:hAnsiTheme="majorHAnsi" w:cstheme="majorHAnsi"/>
          <w:sz w:val="18"/>
          <w:szCs w:val="18"/>
        </w:rPr>
        <w:endnoteRef/>
      </w:r>
      <w:r w:rsidRPr="00906198">
        <w:rPr>
          <w:rFonts w:asciiTheme="majorHAnsi" w:hAnsiTheme="majorHAnsi" w:cstheme="majorHAnsi"/>
          <w:sz w:val="18"/>
          <w:szCs w:val="18"/>
        </w:rPr>
        <w:t xml:space="preserve"> </w:t>
      </w:r>
      <w:r w:rsidRPr="00906198">
        <w:rPr>
          <w:rFonts w:asciiTheme="majorHAnsi" w:hAnsiTheme="majorHAnsi" w:cstheme="majorHAnsi"/>
          <w:sz w:val="18"/>
          <w:szCs w:val="18"/>
        </w:rPr>
        <w:tab/>
        <w:t xml:space="preserve">Technical Division of the United Nations Population Fund (UNFPA), 2014, </w:t>
      </w:r>
      <w:r w:rsidRPr="00906198">
        <w:rPr>
          <w:rFonts w:asciiTheme="majorHAnsi" w:hAnsiTheme="majorHAnsi" w:cstheme="majorHAnsi"/>
          <w:i/>
          <w:sz w:val="18"/>
          <w:szCs w:val="18"/>
        </w:rPr>
        <w:t>Methodological guidelines for the gender analysis of national population and housing census data</w:t>
      </w:r>
      <w:r w:rsidRPr="00906198">
        <w:rPr>
          <w:rFonts w:asciiTheme="majorHAnsi" w:hAnsiTheme="majorHAnsi" w:cstheme="majorHAnsi"/>
          <w:sz w:val="18"/>
          <w:szCs w:val="18"/>
        </w:rPr>
        <w:t>, UNFPA.</w:t>
      </w:r>
    </w:p>
  </w:endnote>
  <w:endnote w:id="20">
    <w:p w14:paraId="43878864" w14:textId="77777777" w:rsidR="00BD7507" w:rsidRPr="00906198" w:rsidRDefault="00BD7507" w:rsidP="00906198">
      <w:pPr>
        <w:pStyle w:val="EndnoteText"/>
        <w:tabs>
          <w:tab w:val="left" w:pos="180"/>
        </w:tabs>
        <w:spacing w:after="40"/>
        <w:contextualSpacing/>
        <w:rPr>
          <w:rFonts w:asciiTheme="majorHAnsi" w:hAnsiTheme="majorHAnsi" w:cstheme="majorHAnsi"/>
          <w:sz w:val="18"/>
          <w:szCs w:val="18"/>
        </w:rPr>
      </w:pPr>
      <w:r w:rsidRPr="00906198">
        <w:rPr>
          <w:rStyle w:val="EndnoteReference"/>
          <w:rFonts w:asciiTheme="majorHAnsi" w:hAnsiTheme="majorHAnsi" w:cstheme="majorHAnsi"/>
          <w:sz w:val="18"/>
          <w:szCs w:val="18"/>
        </w:rPr>
        <w:endnoteRef/>
      </w:r>
      <w:r w:rsidRPr="00906198">
        <w:rPr>
          <w:rStyle w:val="EndnoteReference"/>
          <w:rFonts w:asciiTheme="majorHAnsi" w:hAnsiTheme="majorHAnsi" w:cstheme="majorHAnsi"/>
          <w:sz w:val="18"/>
          <w:szCs w:val="18"/>
        </w:rPr>
        <w:t xml:space="preserve"> </w:t>
      </w:r>
      <w:r w:rsidRPr="00906198">
        <w:rPr>
          <w:rStyle w:val="EndnoteReference"/>
          <w:rFonts w:asciiTheme="majorHAnsi" w:hAnsiTheme="majorHAnsi" w:cstheme="majorHAnsi"/>
          <w:sz w:val="18"/>
          <w:szCs w:val="18"/>
        </w:rPr>
        <w:tab/>
      </w:r>
      <w:r w:rsidRPr="00906198">
        <w:rPr>
          <w:rFonts w:asciiTheme="majorHAnsi" w:hAnsiTheme="majorHAnsi" w:cstheme="majorHAnsi"/>
          <w:sz w:val="18"/>
          <w:szCs w:val="18"/>
        </w:rPr>
        <w:t xml:space="preserve">Deloitte, 2016, </w:t>
      </w:r>
      <w:r w:rsidRPr="00906198">
        <w:rPr>
          <w:rFonts w:asciiTheme="majorHAnsi" w:hAnsiTheme="majorHAnsi" w:cstheme="majorHAnsi"/>
          <w:i/>
          <w:sz w:val="18"/>
          <w:szCs w:val="18"/>
        </w:rPr>
        <w:t>Toward gender parity: women on boards initiative</w:t>
      </w:r>
      <w:r w:rsidRPr="00906198">
        <w:rPr>
          <w:rFonts w:asciiTheme="majorHAnsi" w:hAnsiTheme="majorHAnsi" w:cstheme="majorHAnsi"/>
          <w:sz w:val="18"/>
          <w:szCs w:val="18"/>
        </w:rPr>
        <w:t>, commissioned by the Queensland Department of Communities, Child Safety and Disability Services, Office for Women and Domestic Violence Reform.</w:t>
      </w:r>
    </w:p>
  </w:endnote>
  <w:endnote w:id="21">
    <w:p w14:paraId="0B944DC5" w14:textId="77777777" w:rsidR="00BD7507" w:rsidRPr="00906198" w:rsidRDefault="00BD7507" w:rsidP="00906198">
      <w:pPr>
        <w:pStyle w:val="EndnoteText"/>
        <w:spacing w:after="40"/>
        <w:contextualSpacing/>
        <w:rPr>
          <w:rFonts w:asciiTheme="majorHAnsi" w:hAnsiTheme="majorHAnsi" w:cstheme="majorHAnsi"/>
          <w:sz w:val="18"/>
          <w:szCs w:val="18"/>
        </w:rPr>
      </w:pPr>
      <w:r w:rsidRPr="00906198">
        <w:rPr>
          <w:rStyle w:val="EndnoteReference"/>
          <w:rFonts w:asciiTheme="majorHAnsi" w:hAnsiTheme="majorHAnsi" w:cstheme="majorHAnsi"/>
          <w:sz w:val="18"/>
          <w:szCs w:val="18"/>
        </w:rPr>
        <w:endnoteRef/>
      </w:r>
      <w:r w:rsidRPr="00906198">
        <w:rPr>
          <w:rFonts w:asciiTheme="majorHAnsi" w:hAnsiTheme="majorHAnsi" w:cstheme="majorHAnsi"/>
          <w:sz w:val="18"/>
          <w:szCs w:val="18"/>
        </w:rPr>
        <w:t xml:space="preserve"> </w:t>
      </w:r>
      <w:r w:rsidRPr="00906198">
        <w:rPr>
          <w:rFonts w:asciiTheme="majorHAnsi" w:hAnsiTheme="majorHAnsi" w:cstheme="majorHAnsi"/>
          <w:sz w:val="18"/>
          <w:szCs w:val="18"/>
        </w:rPr>
        <w:tab/>
        <w:t xml:space="preserve">The situation draws on the Utilities, Engineering, Electrical and Automotive Training Council, 2012, </w:t>
      </w:r>
      <w:r w:rsidRPr="00906198">
        <w:rPr>
          <w:rFonts w:asciiTheme="majorHAnsi" w:hAnsiTheme="majorHAnsi" w:cstheme="majorHAnsi"/>
          <w:i/>
          <w:sz w:val="18"/>
          <w:szCs w:val="18"/>
        </w:rPr>
        <w:t>Workforce development in the renewable energy industry sector</w:t>
      </w:r>
      <w:r w:rsidRPr="00906198">
        <w:rPr>
          <w:rFonts w:asciiTheme="majorHAnsi" w:hAnsiTheme="majorHAnsi" w:cstheme="majorHAnsi"/>
          <w:sz w:val="18"/>
          <w:szCs w:val="18"/>
        </w:rPr>
        <w:t>.</w:t>
      </w:r>
    </w:p>
  </w:endnote>
  <w:endnote w:id="22">
    <w:p w14:paraId="537846B9" w14:textId="77777777" w:rsidR="00BD7507" w:rsidRPr="00906198" w:rsidRDefault="00BD7507" w:rsidP="00906198">
      <w:pPr>
        <w:pStyle w:val="EndnoteText"/>
        <w:spacing w:after="40"/>
        <w:contextualSpacing/>
        <w:rPr>
          <w:rFonts w:asciiTheme="majorHAnsi" w:hAnsiTheme="majorHAnsi" w:cstheme="majorHAnsi"/>
          <w:sz w:val="18"/>
          <w:szCs w:val="18"/>
        </w:rPr>
      </w:pPr>
      <w:r w:rsidRPr="00906198">
        <w:rPr>
          <w:rStyle w:val="EndnoteReference"/>
          <w:rFonts w:asciiTheme="majorHAnsi" w:hAnsiTheme="majorHAnsi" w:cstheme="majorHAnsi"/>
          <w:sz w:val="18"/>
          <w:szCs w:val="18"/>
        </w:rPr>
        <w:endnoteRef/>
      </w:r>
      <w:r w:rsidRPr="00906198">
        <w:rPr>
          <w:rFonts w:asciiTheme="majorHAnsi" w:hAnsiTheme="majorHAnsi" w:cstheme="majorHAnsi"/>
          <w:sz w:val="18"/>
          <w:szCs w:val="18"/>
        </w:rPr>
        <w:t xml:space="preserve"> </w:t>
      </w:r>
      <w:r w:rsidRPr="00906198">
        <w:rPr>
          <w:rFonts w:asciiTheme="majorHAnsi" w:hAnsiTheme="majorHAnsi" w:cstheme="majorHAnsi"/>
          <w:sz w:val="18"/>
          <w:szCs w:val="18"/>
        </w:rPr>
        <w:tab/>
        <w:t>Schiebinger, L., Klinge, I., Sánchez de Madariaga, I., Paik, H. Y., Schraudner, M., and Stefanick, M. (Eds.), 2011-2015, Gendered Innovations in Science, Health &amp; Medicine, Engineering and Environment.</w:t>
      </w:r>
    </w:p>
  </w:endnote>
  <w:endnote w:id="23">
    <w:p w14:paraId="229B03BC" w14:textId="77777777" w:rsidR="00BD7507" w:rsidRPr="00906198" w:rsidRDefault="00BD7507" w:rsidP="00906198">
      <w:pPr>
        <w:pStyle w:val="EndnoteText"/>
        <w:tabs>
          <w:tab w:val="left" w:pos="180"/>
        </w:tabs>
        <w:spacing w:after="40"/>
        <w:contextualSpacing/>
        <w:rPr>
          <w:rFonts w:asciiTheme="majorHAnsi" w:hAnsiTheme="majorHAnsi" w:cstheme="majorHAnsi"/>
          <w:sz w:val="18"/>
          <w:szCs w:val="18"/>
        </w:rPr>
      </w:pPr>
      <w:r w:rsidRPr="00906198">
        <w:rPr>
          <w:rStyle w:val="EndnoteReference"/>
          <w:rFonts w:asciiTheme="majorHAnsi" w:hAnsiTheme="majorHAnsi" w:cstheme="majorHAnsi"/>
          <w:sz w:val="18"/>
          <w:szCs w:val="18"/>
        </w:rPr>
        <w:endnoteRef/>
      </w:r>
      <w:r w:rsidRPr="00906198">
        <w:rPr>
          <w:rFonts w:asciiTheme="majorHAnsi" w:hAnsiTheme="majorHAnsi" w:cstheme="majorHAnsi"/>
          <w:sz w:val="18"/>
          <w:szCs w:val="18"/>
        </w:rPr>
        <w:t xml:space="preserve"> </w:t>
      </w:r>
      <w:r w:rsidRPr="00906198">
        <w:rPr>
          <w:rFonts w:asciiTheme="majorHAnsi" w:hAnsiTheme="majorHAnsi" w:cstheme="majorHAnsi"/>
          <w:sz w:val="18"/>
          <w:szCs w:val="18"/>
        </w:rPr>
        <w:tab/>
        <w:t xml:space="preserve">Department for Women, New South Wales, 2003, </w:t>
      </w:r>
      <w:r w:rsidRPr="00906198">
        <w:rPr>
          <w:rFonts w:asciiTheme="majorHAnsi" w:hAnsiTheme="majorHAnsi" w:cstheme="majorHAnsi"/>
          <w:i/>
          <w:sz w:val="18"/>
          <w:szCs w:val="18"/>
        </w:rPr>
        <w:t>Applying a Gender Lens: A practical guide to gender analysis for NSW government agencies</w:t>
      </w:r>
      <w:r w:rsidRPr="00906198">
        <w:rPr>
          <w:rFonts w:asciiTheme="majorHAnsi" w:hAnsiTheme="majorHAnsi" w:cstheme="majorHAnsi"/>
          <w:sz w:val="18"/>
          <w:szCs w:val="18"/>
        </w:rPr>
        <w:t xml:space="preserve">, </w:t>
      </w:r>
      <w:hyperlink r:id="rId4" w:history="1">
        <w:r w:rsidRPr="00906198">
          <w:rPr>
            <w:rStyle w:val="Hyperlink"/>
            <w:rFonts w:asciiTheme="majorHAnsi" w:hAnsiTheme="majorHAnsi" w:cstheme="majorHAnsi"/>
            <w:sz w:val="18"/>
            <w:szCs w:val="18"/>
          </w:rPr>
          <w:t>www.women.nsw.gov.au/PDF/Archived/Applying_a_gender_lens.pdf</w:t>
        </w:r>
      </w:hyperlink>
      <w:r w:rsidRPr="00906198">
        <w:rPr>
          <w:rFonts w:asciiTheme="majorHAnsi" w:hAnsiTheme="majorHAnsi" w:cstheme="majorHAnsi"/>
          <w:sz w:val="18"/>
          <w:szCs w:val="18"/>
        </w:rPr>
        <w:t xml:space="preserve"> </w:t>
      </w:r>
    </w:p>
  </w:endnote>
  <w:endnote w:id="24">
    <w:p w14:paraId="2FEAF56D" w14:textId="77777777" w:rsidR="00BD7507" w:rsidRPr="00906198" w:rsidRDefault="00BD7507" w:rsidP="00906198">
      <w:pPr>
        <w:pStyle w:val="EndnoteText"/>
        <w:tabs>
          <w:tab w:val="left" w:pos="180"/>
        </w:tabs>
        <w:spacing w:after="40"/>
        <w:contextualSpacing/>
        <w:rPr>
          <w:rFonts w:asciiTheme="majorHAnsi" w:hAnsiTheme="majorHAnsi" w:cstheme="majorHAnsi"/>
          <w:sz w:val="18"/>
          <w:szCs w:val="18"/>
        </w:rPr>
      </w:pPr>
      <w:r w:rsidRPr="00906198">
        <w:rPr>
          <w:rStyle w:val="EndnoteReference"/>
          <w:rFonts w:asciiTheme="majorHAnsi" w:hAnsiTheme="majorHAnsi" w:cstheme="majorHAnsi"/>
          <w:sz w:val="18"/>
          <w:szCs w:val="18"/>
        </w:rPr>
        <w:endnoteRef/>
      </w:r>
      <w:r w:rsidRPr="00906198">
        <w:rPr>
          <w:rFonts w:asciiTheme="majorHAnsi" w:hAnsiTheme="majorHAnsi" w:cstheme="majorHAnsi"/>
          <w:sz w:val="18"/>
          <w:szCs w:val="18"/>
        </w:rPr>
        <w:t xml:space="preserve"> </w:t>
      </w:r>
      <w:r w:rsidRPr="00906198">
        <w:rPr>
          <w:rFonts w:asciiTheme="majorHAnsi" w:hAnsiTheme="majorHAnsi" w:cstheme="majorHAnsi"/>
          <w:sz w:val="18"/>
          <w:szCs w:val="18"/>
        </w:rPr>
        <w:tab/>
        <w:t>Althaus, C., Bridgman, P., and Davis, G., 2007, the 4</w:t>
      </w:r>
      <w:r w:rsidRPr="00906198">
        <w:rPr>
          <w:rFonts w:asciiTheme="majorHAnsi" w:hAnsiTheme="majorHAnsi" w:cstheme="majorHAnsi"/>
          <w:sz w:val="18"/>
          <w:szCs w:val="18"/>
          <w:vertAlign w:val="superscript"/>
        </w:rPr>
        <w:t>th</w:t>
      </w:r>
      <w:r w:rsidRPr="00906198">
        <w:rPr>
          <w:rFonts w:asciiTheme="majorHAnsi" w:hAnsiTheme="majorHAnsi" w:cstheme="majorHAnsi"/>
          <w:sz w:val="18"/>
          <w:szCs w:val="18"/>
        </w:rPr>
        <w:t xml:space="preserve"> ed., </w:t>
      </w:r>
      <w:r w:rsidRPr="00906198">
        <w:rPr>
          <w:rFonts w:asciiTheme="majorHAnsi" w:hAnsiTheme="majorHAnsi" w:cstheme="majorHAnsi"/>
          <w:i/>
          <w:sz w:val="18"/>
          <w:szCs w:val="18"/>
        </w:rPr>
        <w:t>The Australian Policy Handbook</w:t>
      </w:r>
      <w:r w:rsidRPr="00906198">
        <w:rPr>
          <w:rFonts w:asciiTheme="majorHAnsi" w:hAnsiTheme="majorHAnsi" w:cstheme="majorHAnsi"/>
          <w:sz w:val="18"/>
          <w:szCs w:val="18"/>
        </w:rPr>
        <w:t xml:space="preserve">, Allen &amp; Unwin. </w:t>
      </w:r>
    </w:p>
  </w:endnote>
  <w:endnote w:id="25">
    <w:p w14:paraId="2B023541" w14:textId="77777777" w:rsidR="00BD7507" w:rsidRPr="00906198" w:rsidRDefault="00BD7507" w:rsidP="00906198">
      <w:pPr>
        <w:pStyle w:val="EndnoteText"/>
        <w:tabs>
          <w:tab w:val="left" w:pos="180"/>
        </w:tabs>
        <w:spacing w:after="40"/>
        <w:contextualSpacing/>
        <w:rPr>
          <w:rFonts w:asciiTheme="majorHAnsi" w:hAnsiTheme="majorHAnsi" w:cstheme="majorHAnsi"/>
          <w:sz w:val="18"/>
          <w:szCs w:val="18"/>
        </w:rPr>
      </w:pPr>
      <w:r w:rsidRPr="00906198">
        <w:rPr>
          <w:rStyle w:val="EndnoteReference"/>
          <w:rFonts w:asciiTheme="majorHAnsi" w:hAnsiTheme="majorHAnsi" w:cstheme="majorHAnsi"/>
          <w:sz w:val="18"/>
          <w:szCs w:val="18"/>
        </w:rPr>
        <w:endnoteRef/>
      </w:r>
      <w:r w:rsidRPr="00906198">
        <w:rPr>
          <w:rFonts w:asciiTheme="majorHAnsi" w:hAnsiTheme="majorHAnsi" w:cstheme="majorHAnsi"/>
          <w:sz w:val="18"/>
          <w:szCs w:val="18"/>
        </w:rPr>
        <w:t xml:space="preserve"> </w:t>
      </w:r>
      <w:r w:rsidRPr="00906198">
        <w:rPr>
          <w:rFonts w:asciiTheme="majorHAnsi" w:hAnsiTheme="majorHAnsi" w:cstheme="majorHAnsi"/>
          <w:sz w:val="18"/>
          <w:szCs w:val="18"/>
        </w:rPr>
        <w:tab/>
        <w:t xml:space="preserve">See The Government of South Australia Office for Women and the University of Adelaide, 2005, </w:t>
      </w:r>
      <w:r w:rsidRPr="00906198">
        <w:rPr>
          <w:rFonts w:asciiTheme="majorHAnsi" w:hAnsiTheme="majorHAnsi" w:cstheme="majorHAnsi"/>
          <w:i/>
          <w:sz w:val="18"/>
          <w:szCs w:val="18"/>
        </w:rPr>
        <w:t>Gender analysis: implementing the Canadian model</w:t>
      </w:r>
      <w:r w:rsidRPr="00906198">
        <w:rPr>
          <w:rFonts w:asciiTheme="majorHAnsi" w:hAnsiTheme="majorHAnsi" w:cstheme="majorHAnsi"/>
          <w:sz w:val="18"/>
          <w:szCs w:val="18"/>
        </w:rPr>
        <w:t xml:space="preserve">, as part of the Gender Analysis project funded by the Australian Research Council Linkage Grant in partnership with three South Australian Government Agencies, the University of Western Australia, the Office for Women’s Policy Western Australia, and three Western Australian Government Agencies. </w:t>
      </w:r>
    </w:p>
  </w:endnote>
  <w:endnote w:id="26">
    <w:p w14:paraId="5F91557F" w14:textId="77777777" w:rsidR="00BD7507" w:rsidRPr="00906198" w:rsidRDefault="00BD7507" w:rsidP="00906198">
      <w:pPr>
        <w:pStyle w:val="EndnoteText"/>
        <w:tabs>
          <w:tab w:val="left" w:pos="180"/>
        </w:tabs>
        <w:spacing w:after="40"/>
        <w:contextualSpacing/>
        <w:rPr>
          <w:rFonts w:asciiTheme="majorHAnsi" w:hAnsiTheme="majorHAnsi" w:cstheme="majorHAnsi"/>
          <w:sz w:val="18"/>
          <w:szCs w:val="18"/>
        </w:rPr>
      </w:pPr>
      <w:r w:rsidRPr="00906198">
        <w:rPr>
          <w:rStyle w:val="EndnoteReference"/>
          <w:rFonts w:asciiTheme="majorHAnsi" w:hAnsiTheme="majorHAnsi" w:cstheme="majorHAnsi"/>
          <w:sz w:val="18"/>
          <w:szCs w:val="18"/>
        </w:rPr>
        <w:endnoteRef/>
      </w:r>
      <w:r w:rsidRPr="00906198">
        <w:rPr>
          <w:rFonts w:asciiTheme="majorHAnsi" w:hAnsiTheme="majorHAnsi" w:cstheme="majorHAnsi"/>
          <w:sz w:val="18"/>
          <w:szCs w:val="18"/>
        </w:rPr>
        <w:t xml:space="preserve"> </w:t>
      </w:r>
      <w:r w:rsidRPr="00906198">
        <w:rPr>
          <w:rFonts w:asciiTheme="majorHAnsi" w:hAnsiTheme="majorHAnsi" w:cstheme="majorHAnsi"/>
          <w:sz w:val="18"/>
          <w:szCs w:val="18"/>
        </w:rPr>
        <w:tab/>
        <w:t xml:space="preserve">This section draws on United Nations Economic Commission for Europe and World Bank Institute, 2010, </w:t>
      </w:r>
      <w:r w:rsidRPr="00906198">
        <w:rPr>
          <w:rFonts w:asciiTheme="majorHAnsi" w:hAnsiTheme="majorHAnsi" w:cstheme="majorHAnsi"/>
          <w:i/>
          <w:sz w:val="18"/>
          <w:szCs w:val="18"/>
        </w:rPr>
        <w:t>Developing gender statistics: a practical tool</w:t>
      </w:r>
      <w:r w:rsidRPr="00906198">
        <w:rPr>
          <w:rFonts w:asciiTheme="majorHAnsi" w:hAnsiTheme="majorHAnsi" w:cstheme="majorHAnsi"/>
          <w:sz w:val="18"/>
          <w:szCs w:val="18"/>
        </w:rPr>
        <w:t>.</w:t>
      </w:r>
    </w:p>
  </w:endnote>
  <w:endnote w:id="27">
    <w:p w14:paraId="6589DCAD" w14:textId="77777777" w:rsidR="00BD7507" w:rsidRPr="0096424B" w:rsidRDefault="00BD7507" w:rsidP="00906198">
      <w:pPr>
        <w:pStyle w:val="EndnoteText"/>
        <w:tabs>
          <w:tab w:val="left" w:pos="180"/>
        </w:tabs>
        <w:spacing w:after="40"/>
        <w:contextualSpacing/>
        <w:rPr>
          <w:rFonts w:asciiTheme="majorHAnsi" w:hAnsiTheme="majorHAnsi" w:cstheme="majorHAnsi"/>
          <w:sz w:val="18"/>
          <w:szCs w:val="18"/>
        </w:rPr>
      </w:pPr>
      <w:r w:rsidRPr="0096424B">
        <w:rPr>
          <w:rStyle w:val="EndnoteReference"/>
          <w:rFonts w:asciiTheme="majorHAnsi" w:hAnsiTheme="majorHAnsi" w:cstheme="majorHAnsi"/>
          <w:sz w:val="18"/>
          <w:szCs w:val="18"/>
        </w:rPr>
        <w:endnoteRef/>
      </w:r>
      <w:r w:rsidRPr="0096424B">
        <w:rPr>
          <w:rFonts w:asciiTheme="majorHAnsi" w:hAnsiTheme="majorHAnsi" w:cstheme="majorHAnsi"/>
          <w:sz w:val="18"/>
          <w:szCs w:val="18"/>
        </w:rPr>
        <w:t xml:space="preserve"> </w:t>
      </w:r>
      <w:r w:rsidRPr="0096424B">
        <w:rPr>
          <w:rFonts w:asciiTheme="majorHAnsi" w:hAnsiTheme="majorHAnsi" w:cstheme="majorHAnsi"/>
          <w:sz w:val="18"/>
          <w:szCs w:val="18"/>
        </w:rPr>
        <w:tab/>
        <w:t xml:space="preserve">United Nations Economic Commission for Europe and World Bank Institute, 2010, </w:t>
      </w:r>
      <w:r w:rsidRPr="0096424B">
        <w:rPr>
          <w:rFonts w:asciiTheme="majorHAnsi" w:hAnsiTheme="majorHAnsi" w:cstheme="majorHAnsi"/>
          <w:i/>
          <w:sz w:val="18"/>
          <w:szCs w:val="18"/>
        </w:rPr>
        <w:t>Developing gender statistics: a practical tool</w:t>
      </w:r>
      <w:r w:rsidRPr="0096424B">
        <w:rPr>
          <w:rFonts w:asciiTheme="majorHAnsi" w:hAnsiTheme="majorHAnsi" w:cstheme="majorHAnsi"/>
          <w:sz w:val="18"/>
          <w:szCs w:val="18"/>
        </w:rPr>
        <w:t xml:space="preserve">, p.1. </w:t>
      </w:r>
    </w:p>
  </w:endnote>
  <w:endnote w:id="28">
    <w:p w14:paraId="01A2139C" w14:textId="77777777" w:rsidR="00BD7507" w:rsidRPr="0096424B" w:rsidRDefault="00BD7507" w:rsidP="00F116AB">
      <w:pPr>
        <w:pStyle w:val="EndnoteText"/>
        <w:tabs>
          <w:tab w:val="left" w:pos="180"/>
        </w:tabs>
        <w:spacing w:after="40"/>
        <w:rPr>
          <w:rFonts w:asciiTheme="majorHAnsi" w:hAnsiTheme="majorHAnsi" w:cstheme="majorHAnsi"/>
          <w:sz w:val="18"/>
          <w:szCs w:val="18"/>
        </w:rPr>
      </w:pPr>
      <w:r w:rsidRPr="0096424B">
        <w:rPr>
          <w:rStyle w:val="EndnoteReference"/>
          <w:rFonts w:asciiTheme="majorHAnsi" w:hAnsiTheme="majorHAnsi" w:cstheme="majorHAnsi"/>
          <w:sz w:val="18"/>
          <w:szCs w:val="18"/>
        </w:rPr>
        <w:endnoteRef/>
      </w:r>
      <w:r w:rsidRPr="0096424B">
        <w:rPr>
          <w:rFonts w:asciiTheme="majorHAnsi" w:hAnsiTheme="majorHAnsi" w:cstheme="majorHAnsi"/>
          <w:sz w:val="18"/>
          <w:szCs w:val="18"/>
        </w:rPr>
        <w:t xml:space="preserve"> </w:t>
      </w:r>
      <w:r w:rsidRPr="0096424B">
        <w:rPr>
          <w:rFonts w:asciiTheme="majorHAnsi" w:hAnsiTheme="majorHAnsi" w:cstheme="majorHAnsi"/>
          <w:sz w:val="18"/>
          <w:szCs w:val="18"/>
        </w:rPr>
        <w:tab/>
        <w:t xml:space="preserve">The context of the community centre breakfast club draws on the Government of South Australia Office for Women, </w:t>
      </w:r>
      <w:r w:rsidRPr="0096424B">
        <w:rPr>
          <w:rFonts w:asciiTheme="majorHAnsi" w:hAnsiTheme="majorHAnsi" w:cstheme="majorHAnsi"/>
          <w:i/>
          <w:sz w:val="18"/>
          <w:szCs w:val="18"/>
        </w:rPr>
        <w:t>A public sector guide towards gender equity: inclusion matters</w:t>
      </w:r>
      <w:r w:rsidRPr="0096424B">
        <w:rPr>
          <w:rFonts w:asciiTheme="majorHAnsi" w:hAnsiTheme="majorHAnsi" w:cstheme="majorHAnsi"/>
          <w:sz w:val="18"/>
          <w:szCs w:val="18"/>
        </w:rPr>
        <w:t>. The content is modified and expanded.</w:t>
      </w:r>
    </w:p>
  </w:endnote>
  <w:endnote w:id="29">
    <w:p w14:paraId="41D6F3CE" w14:textId="77777777" w:rsidR="00BD7507" w:rsidRPr="0096424B" w:rsidRDefault="00BD7507" w:rsidP="00F116AB">
      <w:pPr>
        <w:pStyle w:val="EndnoteText"/>
        <w:spacing w:after="40"/>
        <w:rPr>
          <w:rFonts w:asciiTheme="majorHAnsi" w:hAnsiTheme="majorHAnsi" w:cstheme="majorHAnsi"/>
          <w:sz w:val="18"/>
          <w:szCs w:val="18"/>
        </w:rPr>
      </w:pPr>
      <w:r w:rsidRPr="0096424B">
        <w:rPr>
          <w:rStyle w:val="EndnoteReference"/>
          <w:rFonts w:asciiTheme="majorHAnsi" w:hAnsiTheme="majorHAnsi" w:cstheme="majorHAnsi"/>
          <w:sz w:val="18"/>
          <w:szCs w:val="18"/>
        </w:rPr>
        <w:endnoteRef/>
      </w:r>
      <w:r w:rsidRPr="0096424B">
        <w:rPr>
          <w:rFonts w:asciiTheme="majorHAnsi" w:hAnsiTheme="majorHAnsi" w:cstheme="majorHAnsi"/>
          <w:sz w:val="18"/>
          <w:szCs w:val="18"/>
        </w:rPr>
        <w:t xml:space="preserve"> </w:t>
      </w:r>
      <w:r w:rsidRPr="0096424B">
        <w:rPr>
          <w:rFonts w:asciiTheme="majorHAnsi" w:hAnsiTheme="majorHAnsi" w:cstheme="majorHAnsi"/>
          <w:sz w:val="18"/>
          <w:szCs w:val="18"/>
        </w:rPr>
        <w:tab/>
        <w:t xml:space="preserve">Australian Bureau of Statistics, 2017, </w:t>
      </w:r>
      <w:r w:rsidRPr="0096424B">
        <w:rPr>
          <w:rFonts w:asciiTheme="majorHAnsi" w:hAnsiTheme="majorHAnsi" w:cstheme="majorHAnsi"/>
          <w:i/>
          <w:iCs/>
          <w:sz w:val="18"/>
          <w:szCs w:val="18"/>
        </w:rPr>
        <w:t>2016 Census of Population and Housing</w:t>
      </w:r>
      <w:r w:rsidRPr="0096424B">
        <w:rPr>
          <w:rFonts w:asciiTheme="majorHAnsi" w:hAnsiTheme="majorHAnsi" w:cstheme="majorHAnsi"/>
          <w:sz w:val="18"/>
          <w:szCs w:val="18"/>
        </w:rPr>
        <w:t xml:space="preserve">, ‘Queensland (State/Territory), General Community Profile, Table G22 Unpaid child care by age by sex’, cat. no. 2001.0.  </w:t>
      </w:r>
    </w:p>
  </w:endnote>
  <w:endnote w:id="30">
    <w:p w14:paraId="6E53FF26" w14:textId="77777777" w:rsidR="00BD7507" w:rsidRPr="0096424B" w:rsidRDefault="00BD7507" w:rsidP="00F116AB">
      <w:pPr>
        <w:pStyle w:val="EndnoteText"/>
        <w:spacing w:after="40"/>
        <w:rPr>
          <w:rFonts w:asciiTheme="majorHAnsi" w:hAnsiTheme="majorHAnsi" w:cstheme="majorHAnsi"/>
          <w:sz w:val="18"/>
          <w:szCs w:val="18"/>
        </w:rPr>
      </w:pPr>
      <w:r w:rsidRPr="0096424B">
        <w:rPr>
          <w:rStyle w:val="EndnoteReference"/>
          <w:rFonts w:asciiTheme="majorHAnsi" w:hAnsiTheme="majorHAnsi" w:cstheme="majorHAnsi"/>
          <w:sz w:val="18"/>
          <w:szCs w:val="18"/>
        </w:rPr>
        <w:endnoteRef/>
      </w:r>
      <w:r w:rsidRPr="0096424B">
        <w:rPr>
          <w:rFonts w:asciiTheme="majorHAnsi" w:hAnsiTheme="majorHAnsi" w:cstheme="majorHAnsi"/>
          <w:sz w:val="18"/>
          <w:szCs w:val="18"/>
        </w:rPr>
        <w:t xml:space="preserve"> </w:t>
      </w:r>
      <w:r w:rsidRPr="0096424B">
        <w:rPr>
          <w:rFonts w:asciiTheme="majorHAnsi" w:hAnsiTheme="majorHAnsi" w:cstheme="majorHAnsi"/>
          <w:sz w:val="18"/>
          <w:szCs w:val="18"/>
        </w:rPr>
        <w:tab/>
        <w:t xml:space="preserve">Australian Bureau of Statistics, 2015, </w:t>
      </w:r>
      <w:r w:rsidRPr="0096424B">
        <w:rPr>
          <w:rFonts w:asciiTheme="majorHAnsi" w:hAnsiTheme="majorHAnsi" w:cstheme="majorHAnsi"/>
          <w:i/>
          <w:iCs/>
          <w:sz w:val="18"/>
          <w:szCs w:val="18"/>
        </w:rPr>
        <w:t>Childhood education and care, Australia, June 2014</w:t>
      </w:r>
      <w:r w:rsidRPr="0096424B">
        <w:rPr>
          <w:rFonts w:asciiTheme="majorHAnsi" w:hAnsiTheme="majorHAnsi" w:cstheme="majorHAnsi"/>
          <w:sz w:val="18"/>
          <w:szCs w:val="18"/>
        </w:rPr>
        <w:t xml:space="preserve">, ‘Childhood education and care, Queensland, Table 5 work arrangements: Arrangements used by male and female parent to care for child, Families with children aged 0-12 years with at least one parent employed -Queensland’, cat. no. 4402.0.  </w:t>
      </w:r>
    </w:p>
  </w:endnote>
  <w:endnote w:id="31">
    <w:p w14:paraId="27704DE4" w14:textId="77777777" w:rsidR="00BD7507" w:rsidRPr="0096424B" w:rsidRDefault="00BD7507" w:rsidP="00F116AB">
      <w:pPr>
        <w:pStyle w:val="EndnoteText"/>
        <w:spacing w:after="40"/>
        <w:rPr>
          <w:rFonts w:asciiTheme="majorHAnsi" w:hAnsiTheme="majorHAnsi" w:cstheme="majorHAnsi"/>
          <w:sz w:val="18"/>
          <w:szCs w:val="18"/>
        </w:rPr>
      </w:pPr>
      <w:r w:rsidRPr="0096424B">
        <w:rPr>
          <w:rStyle w:val="EndnoteReference"/>
          <w:rFonts w:asciiTheme="majorHAnsi" w:hAnsiTheme="majorHAnsi" w:cstheme="majorHAnsi"/>
          <w:sz w:val="18"/>
          <w:szCs w:val="18"/>
        </w:rPr>
        <w:endnoteRef/>
      </w:r>
      <w:r w:rsidRPr="0096424B">
        <w:rPr>
          <w:rFonts w:asciiTheme="majorHAnsi" w:hAnsiTheme="majorHAnsi" w:cstheme="majorHAnsi"/>
          <w:sz w:val="18"/>
          <w:szCs w:val="18"/>
        </w:rPr>
        <w:t xml:space="preserve"> </w:t>
      </w:r>
      <w:r w:rsidRPr="0096424B">
        <w:rPr>
          <w:rFonts w:asciiTheme="majorHAnsi" w:hAnsiTheme="majorHAnsi" w:cstheme="majorHAnsi"/>
          <w:sz w:val="18"/>
          <w:szCs w:val="18"/>
        </w:rPr>
        <w:tab/>
        <w:t xml:space="preserve">Australian Bureau of Statistics, 2015, </w:t>
      </w:r>
      <w:r w:rsidRPr="0096424B">
        <w:rPr>
          <w:rFonts w:asciiTheme="majorHAnsi" w:hAnsiTheme="majorHAnsi" w:cstheme="majorHAnsi"/>
          <w:i/>
          <w:iCs/>
          <w:sz w:val="18"/>
          <w:szCs w:val="18"/>
        </w:rPr>
        <w:t>Childhood education and care, Australia, June 2014</w:t>
      </w:r>
      <w:r w:rsidRPr="0096424B">
        <w:rPr>
          <w:rFonts w:asciiTheme="majorHAnsi" w:hAnsiTheme="majorHAnsi" w:cstheme="majorHAnsi"/>
          <w:sz w:val="18"/>
          <w:szCs w:val="18"/>
        </w:rPr>
        <w:t xml:space="preserve">, ‘Childhood education and care, Queensland, Table 5 work arrangements: Arrangements used by male and female parent to care for child, Families with children aged 0-12 years with at least one parent employed -Queensland’, cat. no. 4402.0.  </w:t>
      </w:r>
    </w:p>
  </w:endnote>
  <w:endnote w:id="32">
    <w:p w14:paraId="1A68EBB0" w14:textId="77777777" w:rsidR="00BD7507" w:rsidRPr="0096424B" w:rsidRDefault="00BD7507" w:rsidP="00F116AB">
      <w:pPr>
        <w:pStyle w:val="EndnoteText"/>
        <w:spacing w:after="40"/>
        <w:rPr>
          <w:rFonts w:asciiTheme="majorHAnsi" w:hAnsiTheme="majorHAnsi" w:cstheme="majorHAnsi"/>
          <w:sz w:val="18"/>
          <w:szCs w:val="18"/>
        </w:rPr>
      </w:pPr>
      <w:r w:rsidRPr="0096424B">
        <w:rPr>
          <w:rStyle w:val="EndnoteReference"/>
          <w:rFonts w:asciiTheme="majorHAnsi" w:hAnsiTheme="majorHAnsi" w:cstheme="majorHAnsi"/>
          <w:sz w:val="18"/>
          <w:szCs w:val="18"/>
        </w:rPr>
        <w:endnoteRef/>
      </w:r>
      <w:r w:rsidRPr="0096424B">
        <w:rPr>
          <w:rFonts w:asciiTheme="majorHAnsi" w:hAnsiTheme="majorHAnsi" w:cstheme="majorHAnsi"/>
          <w:sz w:val="18"/>
          <w:szCs w:val="18"/>
        </w:rPr>
        <w:t xml:space="preserve"> </w:t>
      </w:r>
      <w:r w:rsidRPr="0096424B">
        <w:rPr>
          <w:rFonts w:asciiTheme="majorHAnsi" w:hAnsiTheme="majorHAnsi" w:cstheme="majorHAnsi"/>
          <w:sz w:val="18"/>
          <w:szCs w:val="18"/>
        </w:rPr>
        <w:tab/>
        <w:t xml:space="preserve">Australian Bureau of Statistics, 2017, </w:t>
      </w:r>
      <w:r w:rsidRPr="0096424B">
        <w:rPr>
          <w:rFonts w:asciiTheme="majorHAnsi" w:hAnsiTheme="majorHAnsi" w:cstheme="majorHAnsi"/>
          <w:i/>
          <w:iCs/>
          <w:sz w:val="18"/>
          <w:szCs w:val="18"/>
        </w:rPr>
        <w:t>2016 Census of Population and Housing</w:t>
      </w:r>
      <w:r w:rsidRPr="0096424B">
        <w:rPr>
          <w:rFonts w:asciiTheme="majorHAnsi" w:hAnsiTheme="majorHAnsi" w:cstheme="majorHAnsi"/>
          <w:sz w:val="18"/>
          <w:szCs w:val="18"/>
        </w:rPr>
        <w:t xml:space="preserve">, ‘Queensland (State/Territory), General Community Profile, Table G20 Unpaid domestic work: number of hours by age by sex’, cat. no. 2001.0.  </w:t>
      </w:r>
    </w:p>
  </w:endnote>
  <w:endnote w:id="33">
    <w:p w14:paraId="462679D5" w14:textId="77777777" w:rsidR="00BD7507" w:rsidRPr="0096424B" w:rsidRDefault="00BD7507" w:rsidP="00F116AB">
      <w:pPr>
        <w:pStyle w:val="EndnoteText"/>
        <w:spacing w:after="40"/>
        <w:rPr>
          <w:rFonts w:asciiTheme="majorHAnsi" w:hAnsiTheme="majorHAnsi" w:cstheme="majorHAnsi"/>
          <w:sz w:val="18"/>
          <w:szCs w:val="18"/>
        </w:rPr>
      </w:pPr>
      <w:r w:rsidRPr="0096424B">
        <w:rPr>
          <w:rStyle w:val="EndnoteReference"/>
          <w:rFonts w:asciiTheme="majorHAnsi" w:hAnsiTheme="majorHAnsi" w:cstheme="majorHAnsi"/>
          <w:sz w:val="18"/>
          <w:szCs w:val="18"/>
        </w:rPr>
        <w:endnoteRef/>
      </w:r>
      <w:r w:rsidRPr="0096424B">
        <w:rPr>
          <w:rFonts w:asciiTheme="majorHAnsi" w:hAnsiTheme="majorHAnsi" w:cstheme="majorHAnsi"/>
          <w:sz w:val="18"/>
          <w:szCs w:val="18"/>
        </w:rPr>
        <w:t xml:space="preserve"> </w:t>
      </w:r>
      <w:r w:rsidRPr="0096424B">
        <w:rPr>
          <w:rFonts w:asciiTheme="majorHAnsi" w:hAnsiTheme="majorHAnsi" w:cstheme="majorHAnsi"/>
          <w:sz w:val="18"/>
          <w:szCs w:val="18"/>
        </w:rPr>
        <w:tab/>
        <w:t xml:space="preserve">Australian Bureau of Statistics, 2017, </w:t>
      </w:r>
      <w:r w:rsidRPr="0096424B">
        <w:rPr>
          <w:rFonts w:asciiTheme="majorHAnsi" w:hAnsiTheme="majorHAnsi" w:cstheme="majorHAnsi"/>
          <w:i/>
          <w:iCs/>
          <w:sz w:val="18"/>
          <w:szCs w:val="18"/>
        </w:rPr>
        <w:t>Labour force, Australia, detailed, quarterly, Aug 2017</w:t>
      </w:r>
      <w:r w:rsidRPr="0096424B">
        <w:rPr>
          <w:rFonts w:asciiTheme="majorHAnsi" w:hAnsiTheme="majorHAnsi" w:cstheme="majorHAnsi"/>
          <w:sz w:val="18"/>
          <w:szCs w:val="18"/>
        </w:rPr>
        <w:t xml:space="preserve">, ‘EQ08 - Employed persons by occupational unit group of main job (ANZSCO), sex, state and territory, August 1984 onwards’, cat. no. 6291.0.55.003.  </w:t>
      </w:r>
    </w:p>
  </w:endnote>
  <w:endnote w:id="34">
    <w:p w14:paraId="4D1CB160" w14:textId="77777777" w:rsidR="00BD7507" w:rsidRPr="0096424B" w:rsidRDefault="00BD7507" w:rsidP="00F116AB">
      <w:pPr>
        <w:pStyle w:val="EndnoteText"/>
        <w:spacing w:after="40"/>
        <w:rPr>
          <w:rFonts w:asciiTheme="majorHAnsi" w:hAnsiTheme="majorHAnsi" w:cstheme="majorHAnsi"/>
          <w:sz w:val="18"/>
          <w:szCs w:val="18"/>
        </w:rPr>
      </w:pPr>
      <w:r w:rsidRPr="0096424B">
        <w:rPr>
          <w:rStyle w:val="EndnoteReference"/>
          <w:rFonts w:asciiTheme="majorHAnsi" w:hAnsiTheme="majorHAnsi" w:cstheme="majorHAnsi"/>
          <w:sz w:val="18"/>
          <w:szCs w:val="18"/>
        </w:rPr>
        <w:endnoteRef/>
      </w:r>
      <w:r w:rsidRPr="0096424B">
        <w:rPr>
          <w:rFonts w:asciiTheme="majorHAnsi" w:hAnsiTheme="majorHAnsi" w:cstheme="majorHAnsi"/>
          <w:sz w:val="18"/>
          <w:szCs w:val="18"/>
        </w:rPr>
        <w:t xml:space="preserve"> </w:t>
      </w:r>
      <w:r w:rsidRPr="0096424B">
        <w:rPr>
          <w:rFonts w:asciiTheme="majorHAnsi" w:hAnsiTheme="majorHAnsi" w:cstheme="majorHAnsi"/>
          <w:sz w:val="18"/>
          <w:szCs w:val="18"/>
        </w:rPr>
        <w:tab/>
        <w:t xml:space="preserve">Australian Bureau of Statistics, 2017, </w:t>
      </w:r>
      <w:r w:rsidRPr="0096424B">
        <w:rPr>
          <w:rFonts w:asciiTheme="majorHAnsi" w:hAnsiTheme="majorHAnsi" w:cstheme="majorHAnsi"/>
          <w:i/>
          <w:sz w:val="18"/>
          <w:szCs w:val="18"/>
        </w:rPr>
        <w:t>Labour force, Australia, detailed, quarterly, Feb 2017</w:t>
      </w:r>
      <w:r w:rsidRPr="0096424B">
        <w:rPr>
          <w:rFonts w:asciiTheme="majorHAnsi" w:hAnsiTheme="majorHAnsi" w:cstheme="majorHAnsi"/>
          <w:sz w:val="18"/>
          <w:szCs w:val="18"/>
        </w:rPr>
        <w:t>, ‘Table 1: EQ08 – Employed persons by occupation unit group of main job (ANZSCO), sex, state and territory, August 1986 onwards’, cat. no. 6291.0.55.003.</w:t>
      </w:r>
    </w:p>
  </w:endnote>
  <w:endnote w:id="35">
    <w:p w14:paraId="60CD9746" w14:textId="77777777" w:rsidR="00BD7507" w:rsidRPr="0096424B" w:rsidRDefault="00BD7507" w:rsidP="00F116AB">
      <w:pPr>
        <w:pStyle w:val="EndnoteText"/>
        <w:spacing w:after="40"/>
        <w:rPr>
          <w:rFonts w:asciiTheme="majorHAnsi" w:hAnsiTheme="majorHAnsi" w:cstheme="majorHAnsi"/>
          <w:sz w:val="18"/>
          <w:szCs w:val="18"/>
        </w:rPr>
      </w:pPr>
      <w:r w:rsidRPr="0096424B">
        <w:rPr>
          <w:rStyle w:val="EndnoteReference"/>
          <w:rFonts w:asciiTheme="majorHAnsi" w:hAnsiTheme="majorHAnsi" w:cstheme="majorHAnsi"/>
          <w:sz w:val="18"/>
          <w:szCs w:val="18"/>
        </w:rPr>
        <w:endnoteRef/>
      </w:r>
      <w:r w:rsidRPr="0096424B">
        <w:rPr>
          <w:rFonts w:asciiTheme="majorHAnsi" w:hAnsiTheme="majorHAnsi" w:cstheme="majorHAnsi"/>
          <w:sz w:val="18"/>
          <w:szCs w:val="18"/>
        </w:rPr>
        <w:t xml:space="preserve"> </w:t>
      </w:r>
      <w:r w:rsidRPr="0096424B">
        <w:rPr>
          <w:rFonts w:asciiTheme="majorHAnsi" w:hAnsiTheme="majorHAnsi" w:cstheme="majorHAnsi"/>
          <w:sz w:val="18"/>
          <w:szCs w:val="18"/>
        </w:rPr>
        <w:tab/>
        <w:t>Figures do not include employees under the classification of chief executives and managing directors not further defined.</w:t>
      </w:r>
    </w:p>
  </w:endnote>
  <w:endnote w:id="36">
    <w:p w14:paraId="53C5F6A9" w14:textId="77777777" w:rsidR="00BD7507" w:rsidRPr="0096424B" w:rsidRDefault="00BD7507" w:rsidP="00906198">
      <w:pPr>
        <w:pStyle w:val="BodyText2"/>
        <w:tabs>
          <w:tab w:val="left" w:pos="180"/>
        </w:tabs>
        <w:spacing w:after="40" w:line="240" w:lineRule="auto"/>
        <w:ind w:left="181" w:hanging="181"/>
        <w:contextualSpacing/>
        <w:rPr>
          <w:rFonts w:asciiTheme="majorHAnsi" w:hAnsiTheme="majorHAnsi" w:cstheme="majorHAnsi"/>
          <w:sz w:val="18"/>
          <w:szCs w:val="18"/>
        </w:rPr>
      </w:pPr>
      <w:r w:rsidRPr="0096424B">
        <w:rPr>
          <w:rStyle w:val="EndnoteReference"/>
          <w:rFonts w:asciiTheme="majorHAnsi" w:hAnsiTheme="majorHAnsi" w:cstheme="majorHAnsi"/>
          <w:sz w:val="18"/>
          <w:szCs w:val="18"/>
        </w:rPr>
        <w:endnoteRef/>
      </w:r>
      <w:r w:rsidRPr="0096424B">
        <w:rPr>
          <w:rFonts w:asciiTheme="majorHAnsi" w:hAnsiTheme="majorHAnsi" w:cstheme="majorHAnsi"/>
          <w:sz w:val="18"/>
          <w:szCs w:val="18"/>
        </w:rPr>
        <w:t xml:space="preserve"> </w:t>
      </w:r>
      <w:r w:rsidRPr="0096424B">
        <w:rPr>
          <w:rFonts w:asciiTheme="majorHAnsi" w:hAnsiTheme="majorHAnsi" w:cstheme="majorHAnsi"/>
          <w:sz w:val="18"/>
          <w:szCs w:val="18"/>
        </w:rPr>
        <w:tab/>
        <w:t xml:space="preserve">Acknowledgments to United Nations Economic Commission for Europe and World Bank Institute, 2010, </w:t>
      </w:r>
      <w:r w:rsidRPr="0096424B">
        <w:rPr>
          <w:rFonts w:asciiTheme="majorHAnsi" w:hAnsiTheme="majorHAnsi" w:cstheme="majorHAnsi"/>
          <w:i/>
          <w:sz w:val="18"/>
          <w:szCs w:val="18"/>
        </w:rPr>
        <w:t>Developing gender statistics: a practical tool</w:t>
      </w:r>
      <w:r w:rsidRPr="0096424B">
        <w:rPr>
          <w:rFonts w:asciiTheme="majorHAnsi" w:hAnsiTheme="majorHAnsi" w:cstheme="majorHAnsi"/>
          <w:sz w:val="18"/>
          <w:szCs w:val="18"/>
        </w:rPr>
        <w:t xml:space="preserve">; and United Nations Development Programme, 2001, </w:t>
      </w:r>
      <w:r w:rsidRPr="0096424B">
        <w:rPr>
          <w:rFonts w:asciiTheme="majorHAnsi" w:hAnsiTheme="majorHAnsi" w:cstheme="majorHAnsi"/>
          <w:i/>
          <w:sz w:val="18"/>
          <w:szCs w:val="18"/>
        </w:rPr>
        <w:t>Learning &amp; Information Pack – Process and Advocacy Skills for Gender Mainstreaming</w:t>
      </w:r>
      <w:r w:rsidRPr="0096424B">
        <w:rPr>
          <w:rFonts w:asciiTheme="majorHAnsi" w:hAnsiTheme="majorHAnsi" w:cstheme="majorHAnsi"/>
          <w:sz w:val="18"/>
          <w:szCs w:val="18"/>
        </w:rPr>
        <w:t>.</w:t>
      </w:r>
    </w:p>
  </w:endnote>
  <w:endnote w:id="37">
    <w:p w14:paraId="6CB550A5" w14:textId="77777777" w:rsidR="00BD7507" w:rsidRPr="0096424B" w:rsidRDefault="00BD7507" w:rsidP="00906198">
      <w:pPr>
        <w:pStyle w:val="BodyText2"/>
        <w:tabs>
          <w:tab w:val="left" w:pos="180"/>
        </w:tabs>
        <w:spacing w:after="40" w:line="240" w:lineRule="auto"/>
        <w:ind w:left="181" w:hanging="181"/>
        <w:contextualSpacing/>
        <w:rPr>
          <w:rFonts w:asciiTheme="majorHAnsi" w:hAnsiTheme="majorHAnsi" w:cstheme="majorHAnsi"/>
          <w:sz w:val="18"/>
          <w:szCs w:val="18"/>
        </w:rPr>
      </w:pPr>
      <w:r w:rsidRPr="0096424B">
        <w:rPr>
          <w:rStyle w:val="EndnoteReference"/>
          <w:rFonts w:asciiTheme="majorHAnsi" w:hAnsiTheme="majorHAnsi" w:cstheme="majorHAnsi"/>
          <w:sz w:val="18"/>
          <w:szCs w:val="18"/>
        </w:rPr>
        <w:endnoteRef/>
      </w:r>
      <w:r w:rsidRPr="0096424B">
        <w:rPr>
          <w:rFonts w:asciiTheme="majorHAnsi" w:hAnsiTheme="majorHAnsi" w:cstheme="majorHAnsi"/>
          <w:sz w:val="18"/>
          <w:szCs w:val="18"/>
        </w:rPr>
        <w:t xml:space="preserve"> </w:t>
      </w:r>
      <w:r w:rsidRPr="0096424B">
        <w:rPr>
          <w:rFonts w:asciiTheme="majorHAnsi" w:hAnsiTheme="majorHAnsi" w:cstheme="majorHAnsi"/>
          <w:sz w:val="18"/>
          <w:szCs w:val="18"/>
        </w:rPr>
        <w:tab/>
        <w:t xml:space="preserve">Acknowledgments to UNDP, </w:t>
      </w:r>
      <w:r w:rsidRPr="0096424B">
        <w:rPr>
          <w:rFonts w:asciiTheme="majorHAnsi" w:hAnsiTheme="majorHAnsi" w:cstheme="majorHAnsi"/>
          <w:i/>
          <w:sz w:val="18"/>
          <w:szCs w:val="18"/>
        </w:rPr>
        <w:t>Draft Learning &amp; Information Pack – Process and Advocacy Skills for Gender Mainstreaming.</w:t>
      </w:r>
      <w:r w:rsidRPr="0096424B">
        <w:rPr>
          <w:rFonts w:asciiTheme="majorHAnsi" w:hAnsiTheme="majorHAnsi" w:cstheme="majorHAnsi"/>
          <w:sz w:val="18"/>
          <w:szCs w:val="18"/>
        </w:rPr>
        <w:t xml:space="preserve"> </w:t>
      </w:r>
    </w:p>
  </w:endnote>
  <w:endnote w:id="38">
    <w:p w14:paraId="443C2C5D" w14:textId="26BEA28A" w:rsidR="00BD7507" w:rsidRPr="0096424B" w:rsidRDefault="00BD7507" w:rsidP="00906198">
      <w:pPr>
        <w:pStyle w:val="EndnoteText"/>
        <w:spacing w:after="40"/>
        <w:contextualSpacing/>
        <w:rPr>
          <w:rFonts w:asciiTheme="majorHAnsi" w:hAnsiTheme="majorHAnsi" w:cstheme="majorHAnsi"/>
          <w:sz w:val="18"/>
          <w:szCs w:val="18"/>
        </w:rPr>
      </w:pPr>
      <w:r w:rsidRPr="0096424B">
        <w:rPr>
          <w:rStyle w:val="EndnoteReference"/>
          <w:rFonts w:asciiTheme="majorHAnsi" w:hAnsiTheme="majorHAnsi" w:cstheme="majorHAnsi"/>
          <w:sz w:val="18"/>
          <w:szCs w:val="18"/>
        </w:rPr>
        <w:endnoteRef/>
      </w:r>
      <w:r w:rsidRPr="0096424B">
        <w:rPr>
          <w:rFonts w:asciiTheme="majorHAnsi" w:hAnsiTheme="majorHAnsi" w:cstheme="majorHAnsi"/>
          <w:sz w:val="18"/>
          <w:szCs w:val="18"/>
        </w:rPr>
        <w:t xml:space="preserve"> The </w:t>
      </w:r>
      <w:r w:rsidRPr="0096424B">
        <w:rPr>
          <w:rFonts w:asciiTheme="majorHAnsi" w:hAnsiTheme="majorHAnsi" w:cstheme="majorHAnsi"/>
          <w:sz w:val="18"/>
          <w:szCs w:val="18"/>
          <w:lang w:val="en-US"/>
        </w:rPr>
        <w:t>target applies to 239 boards designated by the Queensland Government as “in scope”. The target does not apply to the following government bodies/ roles on the Queensland Register of Appointees: (i) courts and tribunals (as the target is directed at board or committee appointments); (ii) Government and Non-Government ex-officio positions (as these appointments are by position); full-time or part-time statutory office holders (as the target is directed at board or committee appointments); and bodies established to meet inter-jurisdictional agreements (as appointees are decided with the agreement of another State or the Commonwealth).</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3E4D3" w14:textId="77777777" w:rsidR="00BD7507" w:rsidRDefault="00BD7507" w:rsidP="009A05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ADE6F54" w14:textId="77777777" w:rsidR="00BD7507" w:rsidRDefault="00BD7507">
    <w:pPr>
      <w:pStyle w:val="Footer"/>
    </w:pPr>
  </w:p>
  <w:p w14:paraId="4EC259C6" w14:textId="77777777" w:rsidR="00BD7507" w:rsidRDefault="00BD7507"/>
  <w:p w14:paraId="205ECAD2" w14:textId="77777777" w:rsidR="00BD7507" w:rsidRDefault="00BD750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FF909" w14:textId="77777777" w:rsidR="00BD7507" w:rsidRDefault="00BD7507" w:rsidP="009A05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91751">
      <w:rPr>
        <w:rStyle w:val="PageNumber"/>
        <w:noProof/>
      </w:rPr>
      <w:t>25</w:t>
    </w:r>
    <w:r>
      <w:rPr>
        <w:rStyle w:val="PageNumber"/>
      </w:rPr>
      <w:fldChar w:fldCharType="end"/>
    </w:r>
  </w:p>
  <w:p w14:paraId="59C1B838" w14:textId="4812B682" w:rsidR="00BD7507" w:rsidRDefault="00BD75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A862A4" w14:textId="77777777" w:rsidR="00BD7507" w:rsidRDefault="00BD7507" w:rsidP="00DB1ED6">
      <w:pPr>
        <w:spacing w:after="0" w:line="240" w:lineRule="auto"/>
      </w:pPr>
      <w:r>
        <w:separator/>
      </w:r>
    </w:p>
  </w:footnote>
  <w:footnote w:type="continuationSeparator" w:id="0">
    <w:p w14:paraId="3BD80614" w14:textId="77777777" w:rsidR="00BD7507" w:rsidRDefault="00BD7507" w:rsidP="00DB1E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A0E29" w14:textId="62740F7A" w:rsidR="00BD7507" w:rsidRDefault="00BD7507" w:rsidP="00E04526">
    <w:pPr>
      <w:pStyle w:val="Header"/>
      <w:tabs>
        <w:tab w:val="clear" w:pos="4320"/>
        <w:tab w:val="clear" w:pos="8640"/>
        <w:tab w:val="left" w:pos="5457"/>
      </w:tabs>
    </w:pPr>
    <w:r>
      <w:rPr>
        <w:noProof/>
        <w:lang w:val="en-AU" w:eastAsia="ko-KR"/>
      </w:rPr>
      <w:drawing>
        <wp:anchor distT="0" distB="0" distL="114300" distR="114300" simplePos="0" relativeHeight="251659264" behindDoc="1" locked="0" layoutInCell="1" allowOverlap="1" wp14:anchorId="4A6CCDEE" wp14:editId="13768CAA">
          <wp:simplePos x="0" y="0"/>
          <wp:positionH relativeFrom="page">
            <wp:align>left</wp:align>
          </wp:positionH>
          <wp:positionV relativeFrom="paragraph">
            <wp:posOffset>-449922</wp:posOffset>
          </wp:positionV>
          <wp:extent cx="7559040" cy="10692384"/>
          <wp:effectExtent l="0" t="0" r="381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8 GenericToolkit_7.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tab/>
    </w:r>
  </w:p>
  <w:p w14:paraId="4F783485" w14:textId="77777777" w:rsidR="00BD7507" w:rsidRDefault="00BD750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52559" w14:textId="50B1FD51" w:rsidR="00BD7507" w:rsidRDefault="00BD7507">
    <w:pPr>
      <w:pStyle w:val="Header"/>
    </w:pPr>
    <w:r>
      <w:rPr>
        <w:noProof/>
        <w:lang w:val="en-AU" w:eastAsia="ko-KR"/>
      </w:rPr>
      <w:drawing>
        <wp:anchor distT="0" distB="0" distL="114300" distR="114300" simplePos="0" relativeHeight="251661312" behindDoc="1" locked="1" layoutInCell="1" allowOverlap="1" wp14:anchorId="574FE597" wp14:editId="2F27B18A">
          <wp:simplePos x="0" y="0"/>
          <wp:positionH relativeFrom="page">
            <wp:posOffset>-31531</wp:posOffset>
          </wp:positionH>
          <wp:positionV relativeFrom="page">
            <wp:posOffset>-31531</wp:posOffset>
          </wp:positionV>
          <wp:extent cx="7562088" cy="10693908"/>
          <wp:effectExtent l="0" t="0" r="762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8 GenericToolkit_6-p1.jpg"/>
                  <pic:cNvPicPr/>
                </pic:nvPicPr>
                <pic:blipFill>
                  <a:blip r:embed="rId1">
                    <a:extLst>
                      <a:ext uri="{28A0092B-C50C-407E-A947-70E740481C1C}">
                        <a14:useLocalDpi xmlns:a14="http://schemas.microsoft.com/office/drawing/2010/main" val="0"/>
                      </a:ext>
                    </a:extLst>
                  </a:blip>
                  <a:stretch>
                    <a:fillRect/>
                  </a:stretch>
                </pic:blipFill>
                <pic:spPr>
                  <a:xfrm>
                    <a:off x="0" y="0"/>
                    <a:ext cx="7562088" cy="10693908"/>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AU" w:eastAsia="ko-KR"/>
      </w:rPr>
      <w:drawing>
        <wp:anchor distT="0" distB="0" distL="114300" distR="114300" simplePos="0" relativeHeight="251658240" behindDoc="1" locked="0" layoutInCell="1" allowOverlap="1" wp14:anchorId="0DDDD62C" wp14:editId="126E1C92">
          <wp:simplePos x="0" y="0"/>
          <wp:positionH relativeFrom="column">
            <wp:posOffset>-948641</wp:posOffset>
          </wp:positionH>
          <wp:positionV relativeFrom="paragraph">
            <wp:posOffset>-485092</wp:posOffset>
          </wp:positionV>
          <wp:extent cx="7605734" cy="1075563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8 GenericToolkit_.jpg"/>
                  <pic:cNvPicPr/>
                </pic:nvPicPr>
                <pic:blipFill>
                  <a:blip r:embed="rId2">
                    <a:extLst>
                      <a:ext uri="{28A0092B-C50C-407E-A947-70E740481C1C}">
                        <a14:useLocalDpi xmlns:a14="http://schemas.microsoft.com/office/drawing/2010/main" val="0"/>
                      </a:ext>
                    </a:extLst>
                  </a:blip>
                  <a:stretch>
                    <a:fillRect/>
                  </a:stretch>
                </pic:blipFill>
                <pic:spPr>
                  <a:xfrm>
                    <a:off x="0" y="0"/>
                    <a:ext cx="7605734" cy="107556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80EAD"/>
    <w:multiLevelType w:val="hybridMultilevel"/>
    <w:tmpl w:val="58A651AC"/>
    <w:lvl w:ilvl="0" w:tplc="FE9A2412">
      <w:start w:val="1"/>
      <w:numFmt w:val="bullet"/>
      <w:lvlText w:val=""/>
      <w:lvlJc w:val="left"/>
      <w:pPr>
        <w:ind w:left="720" w:hanging="360"/>
      </w:pPr>
      <w:rPr>
        <w:rFonts w:ascii="Symbol" w:hAnsi="Symbol" w:hint="default"/>
        <w:color w:val="76923C" w:themeColor="accent3" w:themeShade="BF"/>
        <w:u w:color="76923C" w:themeColor="accent3"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244B41"/>
    <w:multiLevelType w:val="hybridMultilevel"/>
    <w:tmpl w:val="6490506A"/>
    <w:lvl w:ilvl="0" w:tplc="FE9A2412">
      <w:start w:val="1"/>
      <w:numFmt w:val="bullet"/>
      <w:lvlText w:val=""/>
      <w:lvlJc w:val="left"/>
      <w:pPr>
        <w:ind w:left="720" w:hanging="360"/>
      </w:pPr>
      <w:rPr>
        <w:rFonts w:ascii="Symbol" w:hAnsi="Symbol" w:hint="default"/>
        <w:color w:val="76923C" w:themeColor="accent3" w:themeShade="BF"/>
        <w:u w:color="76923C" w:themeColor="accent3"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AA442A"/>
    <w:multiLevelType w:val="hybridMultilevel"/>
    <w:tmpl w:val="8C96CA34"/>
    <w:lvl w:ilvl="0" w:tplc="8DD6C108">
      <w:numFmt w:val="bullet"/>
      <w:lvlText w:val="•"/>
      <w:lvlJc w:val="left"/>
      <w:pPr>
        <w:ind w:left="720" w:hanging="360"/>
      </w:pPr>
      <w:rPr>
        <w:rFonts w:ascii="Times New Roman" w:eastAsiaTheme="minorEastAsia" w:hAnsi="Times New Roman" w:cs="Times New Roman" w:hint="default"/>
        <w:color w:val="984806" w:themeColor="accent6" w:themeShade="80"/>
        <w:u w:color="984806" w:themeColor="accent6" w:themeShade="80"/>
      </w:rPr>
    </w:lvl>
    <w:lvl w:ilvl="1" w:tplc="D6065022">
      <w:start w:val="1"/>
      <w:numFmt w:val="bullet"/>
      <w:lvlText w:val="o"/>
      <w:lvlJc w:val="left"/>
      <w:pPr>
        <w:ind w:left="1440" w:hanging="360"/>
      </w:pPr>
      <w:rPr>
        <w:rFonts w:ascii="Courier New" w:hAnsi="Courier New" w:hint="default"/>
        <w:color w:val="76923C" w:themeColor="accent3" w:themeShade="BF"/>
        <w:sz w:val="1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F66A3E"/>
    <w:multiLevelType w:val="hybridMultilevel"/>
    <w:tmpl w:val="482ACDF0"/>
    <w:lvl w:ilvl="0" w:tplc="19288000">
      <w:start w:val="1"/>
      <w:numFmt w:val="bullet"/>
      <w:lvlText w:val="-"/>
      <w:lvlJc w:val="left"/>
      <w:pPr>
        <w:tabs>
          <w:tab w:val="num" w:pos="720"/>
        </w:tabs>
        <w:ind w:left="720" w:hanging="360"/>
      </w:pPr>
      <w:rPr>
        <w:rFonts w:ascii="Courier New" w:hAnsi="Courier New" w:hint="default"/>
        <w:color w:val="5A5098"/>
        <w:u w:color="5A509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952216"/>
    <w:multiLevelType w:val="hybridMultilevel"/>
    <w:tmpl w:val="C3203C6C"/>
    <w:lvl w:ilvl="0" w:tplc="8F02DB6E">
      <w:start w:val="1"/>
      <w:numFmt w:val="bullet"/>
      <w:lvlText w:val="-"/>
      <w:lvlJc w:val="left"/>
      <w:pPr>
        <w:ind w:left="720" w:hanging="360"/>
      </w:pPr>
      <w:rPr>
        <w:rFonts w:ascii="Courier New" w:hAnsi="Courier New" w:hint="default"/>
        <w:color w:val="76923C" w:themeColor="accent3" w:themeShade="BF"/>
        <w:sz w:val="16"/>
        <w:u w:color="76923C" w:themeColor="accent3"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416AA2"/>
    <w:multiLevelType w:val="hybridMultilevel"/>
    <w:tmpl w:val="2C1C7BBA"/>
    <w:lvl w:ilvl="0" w:tplc="8F02DB6E">
      <w:start w:val="1"/>
      <w:numFmt w:val="bullet"/>
      <w:lvlText w:val="-"/>
      <w:lvlJc w:val="left"/>
      <w:pPr>
        <w:ind w:left="720" w:hanging="360"/>
      </w:pPr>
      <w:rPr>
        <w:rFonts w:ascii="Courier New" w:hAnsi="Courier New" w:hint="default"/>
        <w:color w:val="76923C" w:themeColor="accent3" w:themeShade="BF"/>
        <w:sz w:val="16"/>
        <w:u w:color="76923C" w:themeColor="accent3"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423071"/>
    <w:multiLevelType w:val="hybridMultilevel"/>
    <w:tmpl w:val="283AA90E"/>
    <w:lvl w:ilvl="0" w:tplc="D6065022">
      <w:start w:val="1"/>
      <w:numFmt w:val="bullet"/>
      <w:lvlText w:val="o"/>
      <w:lvlJc w:val="left"/>
      <w:pPr>
        <w:ind w:left="720" w:hanging="360"/>
      </w:pPr>
      <w:rPr>
        <w:rFonts w:ascii="Courier New" w:hAnsi="Courier New" w:hint="default"/>
        <w:color w:val="76923C" w:themeColor="accent3" w:themeShade="BF"/>
        <w:sz w:val="16"/>
        <w:u w:color="E36C0A" w:themeColor="accent6"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4E203C"/>
    <w:multiLevelType w:val="hybridMultilevel"/>
    <w:tmpl w:val="0D665CA8"/>
    <w:lvl w:ilvl="0" w:tplc="FE9A2412">
      <w:start w:val="1"/>
      <w:numFmt w:val="bullet"/>
      <w:lvlText w:val=""/>
      <w:lvlJc w:val="left"/>
      <w:pPr>
        <w:ind w:left="360" w:hanging="360"/>
      </w:pPr>
      <w:rPr>
        <w:rFonts w:ascii="Symbol" w:hAnsi="Symbol" w:hint="default"/>
        <w:color w:val="76923C" w:themeColor="accent3" w:themeShade="BF"/>
        <w:u w:color="76923C" w:themeColor="accent3" w:themeShade="BF"/>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4415D5"/>
    <w:multiLevelType w:val="hybridMultilevel"/>
    <w:tmpl w:val="695A3250"/>
    <w:lvl w:ilvl="0" w:tplc="CEC61772">
      <w:start w:val="1"/>
      <w:numFmt w:val="bullet"/>
      <w:lvlText w:val="o"/>
      <w:lvlJc w:val="left"/>
      <w:pPr>
        <w:ind w:left="360" w:hanging="360"/>
      </w:pPr>
      <w:rPr>
        <w:rFonts w:ascii="Courier New" w:hAnsi="Courier New" w:hint="default"/>
        <w:color w:val="333399"/>
        <w:sz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AC261CF"/>
    <w:multiLevelType w:val="hybridMultilevel"/>
    <w:tmpl w:val="B5D4FC9C"/>
    <w:lvl w:ilvl="0" w:tplc="CEC61772">
      <w:start w:val="1"/>
      <w:numFmt w:val="bullet"/>
      <w:lvlText w:val="o"/>
      <w:lvlJc w:val="left"/>
      <w:pPr>
        <w:ind w:left="360" w:hanging="360"/>
      </w:pPr>
      <w:rPr>
        <w:rFonts w:ascii="Courier New" w:hAnsi="Courier New" w:hint="default"/>
        <w:color w:val="333399"/>
        <w:sz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C9A26C7"/>
    <w:multiLevelType w:val="hybridMultilevel"/>
    <w:tmpl w:val="3354715C"/>
    <w:lvl w:ilvl="0" w:tplc="8B92E34E">
      <w:numFmt w:val="bullet"/>
      <w:lvlText w:val="•"/>
      <w:lvlJc w:val="left"/>
      <w:pPr>
        <w:tabs>
          <w:tab w:val="num" w:pos="720"/>
        </w:tabs>
        <w:ind w:left="720" w:hanging="360"/>
      </w:pPr>
      <w:rPr>
        <w:rFonts w:ascii="Times New Roman" w:eastAsiaTheme="minorEastAsia" w:hAnsi="Times New Roman" w:cs="Times New Roman" w:hint="default"/>
        <w:color w:val="4F6228" w:themeColor="accent3" w:themeShade="80"/>
        <w:u w:color="4F6228" w:themeColor="accent3" w:themeShade="8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7E19B0"/>
    <w:multiLevelType w:val="multilevel"/>
    <w:tmpl w:val="55AE5D28"/>
    <w:lvl w:ilvl="0">
      <w:numFmt w:val="bullet"/>
      <w:lvlText w:val="•"/>
      <w:lvlJc w:val="left"/>
      <w:pPr>
        <w:tabs>
          <w:tab w:val="num" w:pos="720"/>
        </w:tabs>
        <w:ind w:left="720" w:hanging="360"/>
      </w:pPr>
      <w:rPr>
        <w:rFonts w:ascii="Times New Roman" w:eastAsiaTheme="minorEastAsia" w:hAnsi="Times New Roman" w:cs="Times New Roman" w:hint="default"/>
        <w:color w:val="4F6228" w:themeColor="accent3" w:themeShade="80"/>
        <w:sz w:val="20"/>
        <w:u w:color="4F6228" w:themeColor="accent3" w:themeShade="8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D2485A"/>
    <w:multiLevelType w:val="hybridMultilevel"/>
    <w:tmpl w:val="73364CF6"/>
    <w:lvl w:ilvl="0" w:tplc="D6065022">
      <w:start w:val="1"/>
      <w:numFmt w:val="bullet"/>
      <w:lvlText w:val="o"/>
      <w:lvlJc w:val="left"/>
      <w:pPr>
        <w:ind w:left="360" w:hanging="360"/>
      </w:pPr>
      <w:rPr>
        <w:rFonts w:ascii="Courier New" w:hAnsi="Courier New" w:hint="default"/>
        <w:color w:val="76923C" w:themeColor="accent3" w:themeShade="BF"/>
        <w:sz w:val="16"/>
      </w:rPr>
    </w:lvl>
    <w:lvl w:ilvl="1" w:tplc="19288000">
      <w:start w:val="1"/>
      <w:numFmt w:val="bullet"/>
      <w:lvlText w:val="-"/>
      <w:lvlJc w:val="left"/>
      <w:pPr>
        <w:ind w:left="1080" w:hanging="360"/>
      </w:pPr>
      <w:rPr>
        <w:rFonts w:ascii="Courier New" w:hAnsi="Courier New" w:hint="default"/>
        <w:color w:val="5A5098"/>
        <w:u w:color="5A5098"/>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0AD6AC7"/>
    <w:multiLevelType w:val="hybridMultilevel"/>
    <w:tmpl w:val="AB1A742C"/>
    <w:lvl w:ilvl="0" w:tplc="CEC61772">
      <w:start w:val="1"/>
      <w:numFmt w:val="bullet"/>
      <w:lvlText w:val="o"/>
      <w:lvlJc w:val="left"/>
      <w:pPr>
        <w:ind w:left="360" w:hanging="360"/>
      </w:pPr>
      <w:rPr>
        <w:rFonts w:ascii="Courier New" w:hAnsi="Courier New" w:hint="default"/>
        <w:color w:val="333399"/>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46F190A"/>
    <w:multiLevelType w:val="hybridMultilevel"/>
    <w:tmpl w:val="7DE067DA"/>
    <w:lvl w:ilvl="0" w:tplc="CEC61772">
      <w:start w:val="1"/>
      <w:numFmt w:val="bullet"/>
      <w:lvlText w:val="o"/>
      <w:lvlJc w:val="left"/>
      <w:pPr>
        <w:ind w:left="720" w:hanging="360"/>
      </w:pPr>
      <w:rPr>
        <w:rFonts w:ascii="Courier New" w:hAnsi="Courier New" w:hint="default"/>
        <w:color w:val="333399"/>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AE1C43"/>
    <w:multiLevelType w:val="hybridMultilevel"/>
    <w:tmpl w:val="BEA8ABD6"/>
    <w:lvl w:ilvl="0" w:tplc="0C0ED52E">
      <w:start w:val="1"/>
      <w:numFmt w:val="decimal"/>
      <w:lvlText w:val="%1."/>
      <w:lvlJc w:val="left"/>
      <w:pPr>
        <w:ind w:left="720" w:hanging="360"/>
      </w:pPr>
      <w:rPr>
        <w:rFonts w:hint="default"/>
        <w:color w:val="76923C" w:themeColor="accent3" w:themeShade="BF"/>
        <w:u w:color="984806" w:themeColor="accent6"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7D16364"/>
    <w:multiLevelType w:val="hybridMultilevel"/>
    <w:tmpl w:val="6F3E3162"/>
    <w:lvl w:ilvl="0" w:tplc="FE9A2412">
      <w:start w:val="1"/>
      <w:numFmt w:val="bullet"/>
      <w:lvlText w:val=""/>
      <w:lvlJc w:val="left"/>
      <w:pPr>
        <w:ind w:left="360" w:hanging="360"/>
      </w:pPr>
      <w:rPr>
        <w:rFonts w:ascii="Symbol" w:hAnsi="Symbol" w:hint="default"/>
        <w:color w:val="76923C" w:themeColor="accent3" w:themeShade="BF"/>
        <w:u w:color="76923C" w:themeColor="accent3" w:themeShade="BF"/>
      </w:rPr>
    </w:lvl>
    <w:lvl w:ilvl="1" w:tplc="0C090003">
      <w:start w:val="1"/>
      <w:numFmt w:val="bullet"/>
      <w:lvlText w:val="o"/>
      <w:lvlJc w:val="left"/>
      <w:pPr>
        <w:ind w:left="1080" w:hanging="360"/>
      </w:pPr>
      <w:rPr>
        <w:rFonts w:ascii="Courier New" w:hAnsi="Courier New" w:cs="Courier New" w:hint="default"/>
        <w:color w:val="333399"/>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A590090"/>
    <w:multiLevelType w:val="hybridMultilevel"/>
    <w:tmpl w:val="8B94306A"/>
    <w:lvl w:ilvl="0" w:tplc="FE9A2412">
      <w:start w:val="1"/>
      <w:numFmt w:val="bullet"/>
      <w:lvlText w:val=""/>
      <w:lvlJc w:val="left"/>
      <w:pPr>
        <w:ind w:left="360" w:hanging="360"/>
      </w:pPr>
      <w:rPr>
        <w:rFonts w:ascii="Symbol" w:hAnsi="Symbol" w:hint="default"/>
        <w:color w:val="76923C" w:themeColor="accent3" w:themeShade="BF"/>
        <w:sz w:val="16"/>
        <w:u w:color="76923C" w:themeColor="accent3" w:themeShade="BF"/>
      </w:rPr>
    </w:lvl>
    <w:lvl w:ilvl="1" w:tplc="D6065022">
      <w:start w:val="1"/>
      <w:numFmt w:val="bullet"/>
      <w:lvlText w:val="o"/>
      <w:lvlJc w:val="left"/>
      <w:pPr>
        <w:ind w:left="1080" w:hanging="360"/>
      </w:pPr>
      <w:rPr>
        <w:rFonts w:ascii="Courier New" w:hAnsi="Courier New" w:hint="default"/>
        <w:color w:val="76923C" w:themeColor="accent3" w:themeShade="BF"/>
        <w:sz w:val="16"/>
        <w:u w:color="E36C0A" w:themeColor="accent6" w:themeShade="BF"/>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E107C54"/>
    <w:multiLevelType w:val="hybridMultilevel"/>
    <w:tmpl w:val="F3CC999C"/>
    <w:lvl w:ilvl="0" w:tplc="FE9A2412">
      <w:start w:val="1"/>
      <w:numFmt w:val="bullet"/>
      <w:lvlText w:val=""/>
      <w:lvlJc w:val="left"/>
      <w:pPr>
        <w:ind w:left="360" w:hanging="360"/>
      </w:pPr>
      <w:rPr>
        <w:rFonts w:ascii="Symbol" w:hAnsi="Symbol" w:hint="default"/>
        <w:color w:val="76923C" w:themeColor="accent3" w:themeShade="BF"/>
        <w:u w:color="76923C" w:themeColor="accent3" w:themeShade="BF"/>
      </w:rPr>
    </w:lvl>
    <w:lvl w:ilvl="1" w:tplc="68D88416">
      <w:start w:val="1"/>
      <w:numFmt w:val="bullet"/>
      <w:lvlText w:val="o"/>
      <w:lvlJc w:val="left"/>
      <w:pPr>
        <w:ind w:left="1440" w:hanging="360"/>
      </w:pPr>
      <w:rPr>
        <w:rFonts w:ascii="Courier New" w:hAnsi="Courier New" w:hint="default"/>
        <w:color w:val="E36C0A" w:themeColor="accent6" w:themeShade="BF"/>
        <w:sz w:val="16"/>
        <w:u w:color="E36C0A" w:themeColor="accent6" w:themeShade="BF"/>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767DC4"/>
    <w:multiLevelType w:val="hybridMultilevel"/>
    <w:tmpl w:val="7E9831B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63E495D"/>
    <w:multiLevelType w:val="hybridMultilevel"/>
    <w:tmpl w:val="1F7ADDB4"/>
    <w:lvl w:ilvl="0" w:tplc="8B92E34E">
      <w:numFmt w:val="bullet"/>
      <w:lvlText w:val="•"/>
      <w:lvlJc w:val="left"/>
      <w:pPr>
        <w:ind w:left="360" w:hanging="360"/>
      </w:pPr>
      <w:rPr>
        <w:rFonts w:ascii="Times New Roman" w:eastAsiaTheme="minorEastAsia" w:hAnsi="Times New Roman" w:cs="Times New Roman" w:hint="default"/>
        <w:color w:val="4F6228" w:themeColor="accent3" w:themeShade="80"/>
        <w:u w:color="4F6228" w:themeColor="accent3" w:themeShade="8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7D97723"/>
    <w:multiLevelType w:val="hybridMultilevel"/>
    <w:tmpl w:val="16147694"/>
    <w:lvl w:ilvl="0" w:tplc="CEC61772">
      <w:start w:val="1"/>
      <w:numFmt w:val="bullet"/>
      <w:lvlText w:val="o"/>
      <w:lvlJc w:val="left"/>
      <w:pPr>
        <w:ind w:left="360" w:hanging="360"/>
      </w:pPr>
      <w:rPr>
        <w:rFonts w:ascii="Courier New" w:hAnsi="Courier New" w:hint="default"/>
        <w:color w:val="333399"/>
        <w:sz w:val="16"/>
      </w:rPr>
    </w:lvl>
    <w:lvl w:ilvl="1" w:tplc="19288000">
      <w:start w:val="1"/>
      <w:numFmt w:val="bullet"/>
      <w:lvlText w:val="-"/>
      <w:lvlJc w:val="left"/>
      <w:pPr>
        <w:ind w:left="1080" w:hanging="360"/>
      </w:pPr>
      <w:rPr>
        <w:rFonts w:ascii="Courier New" w:hAnsi="Courier New" w:hint="default"/>
        <w:color w:val="5A5098"/>
        <w:u w:color="5A5098"/>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CB96B6A"/>
    <w:multiLevelType w:val="hybridMultilevel"/>
    <w:tmpl w:val="2BCCC078"/>
    <w:lvl w:ilvl="0" w:tplc="FE9A2412">
      <w:start w:val="1"/>
      <w:numFmt w:val="bullet"/>
      <w:lvlText w:val=""/>
      <w:lvlJc w:val="left"/>
      <w:pPr>
        <w:ind w:left="360" w:hanging="360"/>
      </w:pPr>
      <w:rPr>
        <w:rFonts w:ascii="Symbol" w:hAnsi="Symbol" w:hint="default"/>
        <w:color w:val="76923C" w:themeColor="accent3" w:themeShade="BF"/>
        <w:u w:color="76923C" w:themeColor="accent3" w:themeShade="BF"/>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E314765"/>
    <w:multiLevelType w:val="hybridMultilevel"/>
    <w:tmpl w:val="BCBE72CC"/>
    <w:lvl w:ilvl="0" w:tplc="CEC61772">
      <w:start w:val="1"/>
      <w:numFmt w:val="bullet"/>
      <w:lvlText w:val="o"/>
      <w:lvlJc w:val="left"/>
      <w:pPr>
        <w:ind w:left="360" w:hanging="360"/>
      </w:pPr>
      <w:rPr>
        <w:rFonts w:ascii="Courier New" w:hAnsi="Courier New" w:hint="default"/>
        <w:color w:val="333399"/>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E6D3587"/>
    <w:multiLevelType w:val="hybridMultilevel"/>
    <w:tmpl w:val="54ACB4D2"/>
    <w:lvl w:ilvl="0" w:tplc="BEF2C3BA">
      <w:numFmt w:val="bullet"/>
      <w:lvlText w:val="•"/>
      <w:lvlJc w:val="left"/>
      <w:pPr>
        <w:ind w:left="360" w:hanging="360"/>
      </w:pPr>
      <w:rPr>
        <w:rFonts w:ascii="Times New Roman" w:eastAsiaTheme="minorEastAsia" w:hAnsi="Times New Roman" w:cs="Times New Roman" w:hint="default"/>
        <w:color w:val="403152" w:themeColor="accent4" w:themeShade="80"/>
        <w:u w:color="00206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E750065"/>
    <w:multiLevelType w:val="hybridMultilevel"/>
    <w:tmpl w:val="81F4F20E"/>
    <w:lvl w:ilvl="0" w:tplc="D6065022">
      <w:start w:val="1"/>
      <w:numFmt w:val="bullet"/>
      <w:lvlText w:val="o"/>
      <w:lvlJc w:val="left"/>
      <w:pPr>
        <w:ind w:left="720" w:hanging="360"/>
      </w:pPr>
      <w:rPr>
        <w:rFonts w:ascii="Courier New" w:hAnsi="Courier New" w:hint="default"/>
        <w:color w:val="76923C" w:themeColor="accent3" w:themeShade="BF"/>
        <w:sz w:val="16"/>
      </w:rPr>
    </w:lvl>
    <w:lvl w:ilvl="1" w:tplc="08BC83A2">
      <w:start w:val="1"/>
      <w:numFmt w:val="bullet"/>
      <w:lvlText w:val="o"/>
      <w:lvlJc w:val="left"/>
      <w:pPr>
        <w:ind w:left="1440" w:hanging="360"/>
      </w:pPr>
      <w:rPr>
        <w:rFonts w:ascii="Courier New" w:hAnsi="Courier New" w:hint="default"/>
        <w:color w:val="E36C0A" w:themeColor="accent6" w:themeShade="B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080523C"/>
    <w:multiLevelType w:val="hybridMultilevel"/>
    <w:tmpl w:val="F47865CC"/>
    <w:lvl w:ilvl="0" w:tplc="8B92E34E">
      <w:numFmt w:val="bullet"/>
      <w:lvlText w:val="•"/>
      <w:lvlJc w:val="left"/>
      <w:pPr>
        <w:tabs>
          <w:tab w:val="num" w:pos="720"/>
        </w:tabs>
        <w:ind w:left="720" w:hanging="360"/>
      </w:pPr>
      <w:rPr>
        <w:rFonts w:ascii="Times New Roman" w:eastAsiaTheme="minorEastAsia" w:hAnsi="Times New Roman" w:cs="Times New Roman" w:hint="default"/>
        <w:color w:val="4F6228" w:themeColor="accent3" w:themeShade="80"/>
        <w:u w:color="4F6228" w:themeColor="accent3" w:themeShade="80"/>
      </w:rPr>
    </w:lvl>
    <w:lvl w:ilvl="1" w:tplc="19288000">
      <w:start w:val="1"/>
      <w:numFmt w:val="bullet"/>
      <w:lvlText w:val="-"/>
      <w:lvlJc w:val="left"/>
      <w:pPr>
        <w:tabs>
          <w:tab w:val="num" w:pos="1440"/>
        </w:tabs>
        <w:ind w:left="1440" w:hanging="360"/>
      </w:pPr>
      <w:rPr>
        <w:rFonts w:ascii="Courier New" w:hAnsi="Courier New" w:hint="default"/>
        <w:color w:val="5A5098"/>
        <w:sz w:val="16"/>
        <w:u w:color="5A509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1CA4E1E"/>
    <w:multiLevelType w:val="hybridMultilevel"/>
    <w:tmpl w:val="42EA6288"/>
    <w:lvl w:ilvl="0" w:tplc="8B92E34E">
      <w:numFmt w:val="bullet"/>
      <w:lvlText w:val="•"/>
      <w:lvlJc w:val="left"/>
      <w:pPr>
        <w:ind w:left="720" w:hanging="360"/>
      </w:pPr>
      <w:rPr>
        <w:rFonts w:ascii="Times New Roman" w:eastAsiaTheme="minorEastAsia" w:hAnsi="Times New Roman" w:cs="Times New Roman" w:hint="default"/>
        <w:color w:val="4F6228" w:themeColor="accent3" w:themeShade="80"/>
        <w:u w:color="4F6228" w:themeColor="accent3" w:themeShade="80"/>
      </w:rPr>
    </w:lvl>
    <w:lvl w:ilvl="1" w:tplc="9188A0B8">
      <w:start w:val="1"/>
      <w:numFmt w:val="bullet"/>
      <w:lvlText w:val="-"/>
      <w:lvlJc w:val="left"/>
      <w:pPr>
        <w:ind w:left="1440" w:hanging="360"/>
      </w:pPr>
      <w:rPr>
        <w:rFonts w:ascii="Courier New" w:hAnsi="Courier New" w:hint="default"/>
        <w:color w:val="984806" w:themeColor="accent6" w:themeShade="80"/>
        <w:sz w:val="16"/>
        <w:u w:color="984806" w:themeColor="accent6" w:themeShade="8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2715B14"/>
    <w:multiLevelType w:val="hybridMultilevel"/>
    <w:tmpl w:val="C180F5A0"/>
    <w:lvl w:ilvl="0" w:tplc="8DD6C108">
      <w:numFmt w:val="bullet"/>
      <w:lvlText w:val="•"/>
      <w:lvlJc w:val="left"/>
      <w:pPr>
        <w:ind w:left="360" w:hanging="360"/>
      </w:pPr>
      <w:rPr>
        <w:rFonts w:ascii="Times New Roman" w:eastAsiaTheme="minorEastAsia" w:hAnsi="Times New Roman" w:cs="Times New Roman" w:hint="default"/>
        <w:color w:val="984806" w:themeColor="accent6" w:themeShade="80"/>
        <w:u w:color="984806" w:themeColor="accent6" w:themeShade="8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46A04C2"/>
    <w:multiLevelType w:val="hybridMultilevel"/>
    <w:tmpl w:val="097EA470"/>
    <w:lvl w:ilvl="0" w:tplc="8B92E34E">
      <w:numFmt w:val="bullet"/>
      <w:lvlText w:val="•"/>
      <w:lvlJc w:val="left"/>
      <w:pPr>
        <w:ind w:left="360" w:hanging="360"/>
      </w:pPr>
      <w:rPr>
        <w:rFonts w:ascii="Times New Roman" w:eastAsiaTheme="minorEastAsia" w:hAnsi="Times New Roman" w:cs="Times New Roman" w:hint="default"/>
        <w:color w:val="4F6228" w:themeColor="accent3" w:themeShade="80"/>
        <w:u w:color="4F6228" w:themeColor="accent3" w:themeShade="8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7916E07"/>
    <w:multiLevelType w:val="hybridMultilevel"/>
    <w:tmpl w:val="3372FDE2"/>
    <w:lvl w:ilvl="0" w:tplc="4BD0DCE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37B14662"/>
    <w:multiLevelType w:val="hybridMultilevel"/>
    <w:tmpl w:val="9CDC3DA2"/>
    <w:lvl w:ilvl="0" w:tplc="4C48EFC8">
      <w:start w:val="1"/>
      <w:numFmt w:val="bullet"/>
      <w:lvlText w:val=""/>
      <w:lvlJc w:val="left"/>
      <w:pPr>
        <w:ind w:left="720" w:hanging="360"/>
      </w:pPr>
      <w:rPr>
        <w:rFonts w:ascii="Symbol" w:hAnsi="Symbol" w:hint="default"/>
        <w:color w:val="E36C0A" w:themeColor="accent6" w:themeShade="BF"/>
        <w:sz w:val="16"/>
        <w:u w:color="E36C0A" w:themeColor="accent6" w:themeShade="BF"/>
      </w:rPr>
    </w:lvl>
    <w:lvl w:ilvl="1" w:tplc="D6065022">
      <w:start w:val="1"/>
      <w:numFmt w:val="bullet"/>
      <w:lvlText w:val="o"/>
      <w:lvlJc w:val="left"/>
      <w:pPr>
        <w:ind w:left="1440" w:hanging="360"/>
      </w:pPr>
      <w:rPr>
        <w:rFonts w:ascii="Courier New" w:hAnsi="Courier New" w:hint="default"/>
        <w:color w:val="76923C" w:themeColor="accent3" w:themeShade="BF"/>
        <w:sz w:val="1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8A607FC"/>
    <w:multiLevelType w:val="hybridMultilevel"/>
    <w:tmpl w:val="343A02B0"/>
    <w:lvl w:ilvl="0" w:tplc="8B92E34E">
      <w:numFmt w:val="bullet"/>
      <w:lvlText w:val="•"/>
      <w:lvlJc w:val="left"/>
      <w:pPr>
        <w:ind w:left="360" w:hanging="360"/>
      </w:pPr>
      <w:rPr>
        <w:rFonts w:ascii="Times New Roman" w:eastAsiaTheme="minorEastAsia" w:hAnsi="Times New Roman" w:cs="Times New Roman" w:hint="default"/>
        <w:color w:val="4F6228" w:themeColor="accent3" w:themeShade="80"/>
        <w:u w:color="4F6228" w:themeColor="accent3" w:themeShade="8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D92542F"/>
    <w:multiLevelType w:val="hybridMultilevel"/>
    <w:tmpl w:val="12FA5E6E"/>
    <w:lvl w:ilvl="0" w:tplc="D6065022">
      <w:start w:val="1"/>
      <w:numFmt w:val="bullet"/>
      <w:lvlText w:val="o"/>
      <w:lvlJc w:val="left"/>
      <w:pPr>
        <w:ind w:left="360" w:hanging="360"/>
      </w:pPr>
      <w:rPr>
        <w:rFonts w:ascii="Courier New" w:hAnsi="Courier New" w:hint="default"/>
        <w:color w:val="76923C" w:themeColor="accent3" w:themeShade="BF"/>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E685314"/>
    <w:multiLevelType w:val="hybridMultilevel"/>
    <w:tmpl w:val="2D964A66"/>
    <w:lvl w:ilvl="0" w:tplc="FE9A2412">
      <w:start w:val="1"/>
      <w:numFmt w:val="bullet"/>
      <w:lvlText w:val=""/>
      <w:lvlJc w:val="left"/>
      <w:pPr>
        <w:ind w:left="360" w:hanging="360"/>
      </w:pPr>
      <w:rPr>
        <w:rFonts w:ascii="Symbol" w:hAnsi="Symbol" w:hint="default"/>
        <w:color w:val="76923C" w:themeColor="accent3" w:themeShade="BF"/>
        <w:u w:color="76923C" w:themeColor="accent3"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1173E22"/>
    <w:multiLevelType w:val="hybridMultilevel"/>
    <w:tmpl w:val="B7E4517C"/>
    <w:lvl w:ilvl="0" w:tplc="A948C430">
      <w:start w:val="1"/>
      <w:numFmt w:val="bullet"/>
      <w:lvlText w:val=""/>
      <w:lvlJc w:val="left"/>
      <w:pPr>
        <w:ind w:left="720" w:hanging="360"/>
      </w:pPr>
      <w:rPr>
        <w:rFonts w:ascii="Wingdings" w:hAnsi="Wingdings" w:hint="default"/>
        <w:color w:val="5A509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4315442"/>
    <w:multiLevelType w:val="hybridMultilevel"/>
    <w:tmpl w:val="43BE49AE"/>
    <w:lvl w:ilvl="0" w:tplc="FE9A2412">
      <w:start w:val="1"/>
      <w:numFmt w:val="bullet"/>
      <w:lvlText w:val=""/>
      <w:lvlJc w:val="left"/>
      <w:pPr>
        <w:ind w:left="360" w:hanging="360"/>
      </w:pPr>
      <w:rPr>
        <w:rFonts w:ascii="Symbol" w:hAnsi="Symbol" w:hint="default"/>
        <w:color w:val="76923C" w:themeColor="accent3" w:themeShade="BF"/>
        <w:u w:color="76923C" w:themeColor="accent3" w:themeShade="BF"/>
      </w:rPr>
    </w:lvl>
    <w:lvl w:ilvl="1" w:tplc="68D88416">
      <w:start w:val="1"/>
      <w:numFmt w:val="bullet"/>
      <w:lvlText w:val="o"/>
      <w:lvlJc w:val="left"/>
      <w:pPr>
        <w:ind w:left="1440" w:hanging="360"/>
      </w:pPr>
      <w:rPr>
        <w:rFonts w:ascii="Courier New" w:hAnsi="Courier New" w:hint="default"/>
        <w:color w:val="E36C0A" w:themeColor="accent6" w:themeShade="BF"/>
        <w:sz w:val="16"/>
        <w:u w:color="E36C0A" w:themeColor="accent6" w:themeShade="BF"/>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72529CE"/>
    <w:multiLevelType w:val="hybridMultilevel"/>
    <w:tmpl w:val="18A82DEC"/>
    <w:lvl w:ilvl="0" w:tplc="E7CAD226">
      <w:numFmt w:val="bullet"/>
      <w:lvlText w:val="•"/>
      <w:lvlJc w:val="left"/>
      <w:pPr>
        <w:ind w:left="360" w:hanging="360"/>
      </w:pPr>
      <w:rPr>
        <w:rFonts w:ascii="Times New Roman" w:eastAsiaTheme="minorEastAsia" w:hAnsi="Times New Roman" w:cs="Times New Roman" w:hint="default"/>
        <w:color w:val="8064A2" w:themeColor="accent4"/>
        <w:u w:color="8064A2"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A49296E"/>
    <w:multiLevelType w:val="hybridMultilevel"/>
    <w:tmpl w:val="273813FE"/>
    <w:lvl w:ilvl="0" w:tplc="DE1A2AAC">
      <w:numFmt w:val="bullet"/>
      <w:lvlText w:val="•"/>
      <w:lvlJc w:val="left"/>
      <w:pPr>
        <w:ind w:left="360" w:hanging="360"/>
      </w:pPr>
      <w:rPr>
        <w:rFonts w:ascii="Times New Roman" w:eastAsiaTheme="minorEastAsia" w:hAnsi="Times New Roman" w:cs="Times New Roman" w:hint="default"/>
        <w:color w:val="8064A2" w:themeColor="accent4"/>
        <w:u w:color="8064A2"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4A734FEE"/>
    <w:multiLevelType w:val="hybridMultilevel"/>
    <w:tmpl w:val="435451A6"/>
    <w:lvl w:ilvl="0" w:tplc="19288000">
      <w:start w:val="1"/>
      <w:numFmt w:val="bullet"/>
      <w:lvlText w:val="-"/>
      <w:lvlJc w:val="left"/>
      <w:pPr>
        <w:tabs>
          <w:tab w:val="num" w:pos="720"/>
        </w:tabs>
        <w:ind w:left="720" w:hanging="360"/>
      </w:pPr>
      <w:rPr>
        <w:rFonts w:ascii="Courier New" w:hAnsi="Courier New" w:hint="default"/>
        <w:color w:val="5A5098"/>
        <w:u w:color="5A509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ADE603F"/>
    <w:multiLevelType w:val="hybridMultilevel"/>
    <w:tmpl w:val="32D8DDDE"/>
    <w:lvl w:ilvl="0" w:tplc="FE9A2412">
      <w:start w:val="1"/>
      <w:numFmt w:val="bullet"/>
      <w:lvlText w:val=""/>
      <w:lvlJc w:val="left"/>
      <w:pPr>
        <w:ind w:left="360" w:hanging="360"/>
      </w:pPr>
      <w:rPr>
        <w:rFonts w:ascii="Symbol" w:hAnsi="Symbol" w:hint="default"/>
        <w:color w:val="76923C" w:themeColor="accent3" w:themeShade="BF"/>
        <w:u w:color="76923C" w:themeColor="accent3" w:themeShade="BF"/>
      </w:rPr>
    </w:lvl>
    <w:lvl w:ilvl="1" w:tplc="68D88416">
      <w:start w:val="1"/>
      <w:numFmt w:val="bullet"/>
      <w:lvlText w:val="o"/>
      <w:lvlJc w:val="left"/>
      <w:pPr>
        <w:ind w:left="1080" w:hanging="360"/>
      </w:pPr>
      <w:rPr>
        <w:rFonts w:ascii="Courier New" w:hAnsi="Courier New" w:hint="default"/>
        <w:color w:val="E36C0A" w:themeColor="accent6" w:themeShade="BF"/>
        <w:sz w:val="16"/>
        <w:u w:color="E36C0A" w:themeColor="accent6" w:themeShade="BF"/>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B431AA1"/>
    <w:multiLevelType w:val="hybridMultilevel"/>
    <w:tmpl w:val="72A0DE5A"/>
    <w:lvl w:ilvl="0" w:tplc="CEC61772">
      <w:start w:val="1"/>
      <w:numFmt w:val="bullet"/>
      <w:lvlText w:val="o"/>
      <w:lvlJc w:val="left"/>
      <w:pPr>
        <w:ind w:left="360" w:hanging="360"/>
      </w:pPr>
      <w:rPr>
        <w:rFonts w:ascii="Courier New" w:hAnsi="Courier New" w:hint="default"/>
        <w:color w:val="333399"/>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4D4C2E87"/>
    <w:multiLevelType w:val="hybridMultilevel"/>
    <w:tmpl w:val="612C3C3E"/>
    <w:lvl w:ilvl="0" w:tplc="8B92E34E">
      <w:numFmt w:val="bullet"/>
      <w:lvlText w:val="•"/>
      <w:lvlJc w:val="left"/>
      <w:pPr>
        <w:ind w:left="720" w:hanging="360"/>
      </w:pPr>
      <w:rPr>
        <w:rFonts w:ascii="Times New Roman" w:eastAsiaTheme="minorEastAsia" w:hAnsi="Times New Roman" w:cs="Times New Roman" w:hint="default"/>
        <w:color w:val="4F6228" w:themeColor="accent3" w:themeShade="80"/>
        <w:u w:color="4F6228" w:themeColor="accent3"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E3D38E9"/>
    <w:multiLevelType w:val="hybridMultilevel"/>
    <w:tmpl w:val="F68E517E"/>
    <w:lvl w:ilvl="0" w:tplc="8B92E34E">
      <w:numFmt w:val="bullet"/>
      <w:lvlText w:val="•"/>
      <w:lvlJc w:val="left"/>
      <w:pPr>
        <w:ind w:left="720" w:hanging="360"/>
      </w:pPr>
      <w:rPr>
        <w:rFonts w:ascii="Times New Roman" w:eastAsiaTheme="minorEastAsia" w:hAnsi="Times New Roman" w:cs="Times New Roman" w:hint="default"/>
        <w:color w:val="4F6228" w:themeColor="accent3" w:themeShade="80"/>
        <w:u w:color="4F6228" w:themeColor="accent3"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14B6B3A"/>
    <w:multiLevelType w:val="hybridMultilevel"/>
    <w:tmpl w:val="D578E2F0"/>
    <w:lvl w:ilvl="0" w:tplc="8B92E34E">
      <w:numFmt w:val="bullet"/>
      <w:lvlText w:val="•"/>
      <w:lvlJc w:val="left"/>
      <w:pPr>
        <w:tabs>
          <w:tab w:val="num" w:pos="720"/>
        </w:tabs>
        <w:ind w:left="720" w:hanging="360"/>
      </w:pPr>
      <w:rPr>
        <w:rFonts w:ascii="Times New Roman" w:eastAsiaTheme="minorEastAsia" w:hAnsi="Times New Roman" w:cs="Times New Roman" w:hint="default"/>
        <w:color w:val="4F6228" w:themeColor="accent3" w:themeShade="80"/>
        <w:u w:color="4F6228" w:themeColor="accent3" w:themeShade="8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5003A52"/>
    <w:multiLevelType w:val="hybridMultilevel"/>
    <w:tmpl w:val="3404DDA8"/>
    <w:lvl w:ilvl="0" w:tplc="8B92E34E">
      <w:numFmt w:val="bullet"/>
      <w:lvlText w:val="•"/>
      <w:lvlJc w:val="left"/>
      <w:pPr>
        <w:tabs>
          <w:tab w:val="num" w:pos="720"/>
        </w:tabs>
        <w:ind w:left="720" w:hanging="360"/>
      </w:pPr>
      <w:rPr>
        <w:rFonts w:ascii="Times New Roman" w:eastAsiaTheme="minorEastAsia" w:hAnsi="Times New Roman" w:cs="Times New Roman" w:hint="default"/>
        <w:color w:val="4F6228" w:themeColor="accent3" w:themeShade="80"/>
        <w:u w:color="4F6228" w:themeColor="accent3" w:themeShade="80"/>
      </w:rPr>
    </w:lvl>
    <w:lvl w:ilvl="1" w:tplc="19288000">
      <w:start w:val="1"/>
      <w:numFmt w:val="bullet"/>
      <w:lvlText w:val="-"/>
      <w:lvlJc w:val="left"/>
      <w:pPr>
        <w:tabs>
          <w:tab w:val="num" w:pos="1440"/>
        </w:tabs>
        <w:ind w:left="1440" w:hanging="360"/>
      </w:pPr>
      <w:rPr>
        <w:rFonts w:ascii="Courier New" w:hAnsi="Courier New" w:hint="default"/>
        <w:color w:val="5A5098"/>
        <w:sz w:val="16"/>
        <w:u w:color="5A509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50206C0"/>
    <w:multiLevelType w:val="hybridMultilevel"/>
    <w:tmpl w:val="3EA81F1A"/>
    <w:lvl w:ilvl="0" w:tplc="0C0ED52E">
      <w:start w:val="1"/>
      <w:numFmt w:val="decimal"/>
      <w:lvlText w:val="%1."/>
      <w:lvlJc w:val="left"/>
      <w:pPr>
        <w:ind w:left="360" w:hanging="360"/>
      </w:pPr>
      <w:rPr>
        <w:rFonts w:hint="default"/>
        <w:color w:val="76923C" w:themeColor="accent3" w:themeShade="BF"/>
        <w:u w:color="984806" w:themeColor="accent6" w:themeShade="8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55D46D11"/>
    <w:multiLevelType w:val="hybridMultilevel"/>
    <w:tmpl w:val="03565B18"/>
    <w:lvl w:ilvl="0" w:tplc="FE9A2412">
      <w:start w:val="1"/>
      <w:numFmt w:val="bullet"/>
      <w:lvlText w:val=""/>
      <w:lvlJc w:val="left"/>
      <w:pPr>
        <w:ind w:left="360" w:hanging="360"/>
      </w:pPr>
      <w:rPr>
        <w:rFonts w:ascii="Symbol" w:hAnsi="Symbol" w:hint="default"/>
        <w:color w:val="76923C" w:themeColor="accent3" w:themeShade="BF"/>
        <w:u w:color="76923C" w:themeColor="accent3" w:themeShade="BF"/>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71165E5"/>
    <w:multiLevelType w:val="hybridMultilevel"/>
    <w:tmpl w:val="A59E18BE"/>
    <w:lvl w:ilvl="0" w:tplc="8B92E34E">
      <w:numFmt w:val="bullet"/>
      <w:lvlText w:val="•"/>
      <w:lvlJc w:val="left"/>
      <w:pPr>
        <w:ind w:left="360" w:hanging="360"/>
      </w:pPr>
      <w:rPr>
        <w:rFonts w:ascii="Times New Roman" w:eastAsiaTheme="minorEastAsia" w:hAnsi="Times New Roman" w:cs="Times New Roman" w:hint="default"/>
        <w:color w:val="4F6228" w:themeColor="accent3" w:themeShade="80"/>
        <w:u w:color="4F6228" w:themeColor="accent3" w:themeShade="8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587F4500"/>
    <w:multiLevelType w:val="hybridMultilevel"/>
    <w:tmpl w:val="1F8A788A"/>
    <w:lvl w:ilvl="0" w:tplc="9188A0B8">
      <w:start w:val="1"/>
      <w:numFmt w:val="bullet"/>
      <w:lvlText w:val="-"/>
      <w:lvlJc w:val="left"/>
      <w:pPr>
        <w:ind w:left="1080" w:hanging="360"/>
      </w:pPr>
      <w:rPr>
        <w:rFonts w:ascii="Courier New" w:hAnsi="Courier New" w:hint="default"/>
        <w:color w:val="984806" w:themeColor="accent6" w:themeShade="80"/>
        <w:sz w:val="16"/>
        <w:u w:color="984806" w:themeColor="accent6" w:themeShade="8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590674DC"/>
    <w:multiLevelType w:val="hybridMultilevel"/>
    <w:tmpl w:val="BA3C0514"/>
    <w:lvl w:ilvl="0" w:tplc="CEC61772">
      <w:start w:val="1"/>
      <w:numFmt w:val="bullet"/>
      <w:lvlText w:val="o"/>
      <w:lvlJc w:val="left"/>
      <w:pPr>
        <w:ind w:left="360" w:hanging="360"/>
      </w:pPr>
      <w:rPr>
        <w:rFonts w:ascii="Courier New" w:hAnsi="Courier New" w:hint="default"/>
        <w:color w:val="333399"/>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593F20F2"/>
    <w:multiLevelType w:val="hybridMultilevel"/>
    <w:tmpl w:val="29D663C2"/>
    <w:lvl w:ilvl="0" w:tplc="8B92E34E">
      <w:numFmt w:val="bullet"/>
      <w:lvlText w:val="•"/>
      <w:lvlJc w:val="left"/>
      <w:pPr>
        <w:ind w:left="720" w:hanging="360"/>
      </w:pPr>
      <w:rPr>
        <w:rFonts w:ascii="Times New Roman" w:eastAsiaTheme="minorEastAsia" w:hAnsi="Times New Roman" w:cs="Times New Roman" w:hint="default"/>
        <w:color w:val="4F6228" w:themeColor="accent3" w:themeShade="80"/>
        <w:u w:color="4F6228" w:themeColor="accent3"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A4A0FB7"/>
    <w:multiLevelType w:val="hybridMultilevel"/>
    <w:tmpl w:val="07406B64"/>
    <w:lvl w:ilvl="0" w:tplc="19288000">
      <w:start w:val="1"/>
      <w:numFmt w:val="bullet"/>
      <w:lvlText w:val="-"/>
      <w:lvlJc w:val="left"/>
      <w:pPr>
        <w:ind w:left="720" w:hanging="360"/>
      </w:pPr>
      <w:rPr>
        <w:rFonts w:ascii="Courier New" w:hAnsi="Courier New" w:hint="default"/>
        <w:color w:val="5A5098"/>
        <w:u w:color="5A509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BAD4815"/>
    <w:multiLevelType w:val="hybridMultilevel"/>
    <w:tmpl w:val="AED25C54"/>
    <w:lvl w:ilvl="0" w:tplc="8B92E34E">
      <w:numFmt w:val="bullet"/>
      <w:lvlText w:val="•"/>
      <w:lvlJc w:val="left"/>
      <w:pPr>
        <w:ind w:left="360" w:hanging="360"/>
      </w:pPr>
      <w:rPr>
        <w:rFonts w:ascii="Times New Roman" w:eastAsiaTheme="minorEastAsia" w:hAnsi="Times New Roman" w:cs="Times New Roman" w:hint="default"/>
        <w:color w:val="4F6228" w:themeColor="accent3" w:themeShade="80"/>
        <w:u w:color="4F6228" w:themeColor="accent3" w:themeShade="8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5CE330E1"/>
    <w:multiLevelType w:val="hybridMultilevel"/>
    <w:tmpl w:val="E65270F4"/>
    <w:lvl w:ilvl="0" w:tplc="8B92E34E">
      <w:numFmt w:val="bullet"/>
      <w:lvlText w:val="•"/>
      <w:lvlJc w:val="left"/>
      <w:pPr>
        <w:ind w:left="360" w:hanging="360"/>
      </w:pPr>
      <w:rPr>
        <w:rFonts w:ascii="Times New Roman" w:eastAsiaTheme="minorEastAsia" w:hAnsi="Times New Roman" w:cs="Times New Roman" w:hint="default"/>
        <w:color w:val="4F6228" w:themeColor="accent3" w:themeShade="80"/>
        <w:u w:color="4F6228" w:themeColor="accent3" w:themeShade="8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DBB1FF8"/>
    <w:multiLevelType w:val="hybridMultilevel"/>
    <w:tmpl w:val="DDF6E61A"/>
    <w:lvl w:ilvl="0" w:tplc="8B92E34E">
      <w:numFmt w:val="bullet"/>
      <w:lvlText w:val="•"/>
      <w:lvlJc w:val="left"/>
      <w:pPr>
        <w:ind w:left="720" w:hanging="360"/>
      </w:pPr>
      <w:rPr>
        <w:rFonts w:ascii="Times New Roman" w:eastAsiaTheme="minorEastAsia" w:hAnsi="Times New Roman" w:cs="Times New Roman" w:hint="default"/>
        <w:color w:val="4F6228" w:themeColor="accent3" w:themeShade="80"/>
        <w:u w:color="4F6228" w:themeColor="accent3"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E8D110B"/>
    <w:multiLevelType w:val="hybridMultilevel"/>
    <w:tmpl w:val="178CC9FA"/>
    <w:lvl w:ilvl="0" w:tplc="FE9A2412">
      <w:start w:val="1"/>
      <w:numFmt w:val="bullet"/>
      <w:lvlText w:val=""/>
      <w:lvlJc w:val="left"/>
      <w:pPr>
        <w:ind w:left="360" w:hanging="360"/>
      </w:pPr>
      <w:rPr>
        <w:rFonts w:ascii="Symbol" w:hAnsi="Symbol" w:hint="default"/>
        <w:color w:val="76923C" w:themeColor="accent3" w:themeShade="BF"/>
        <w:u w:color="76923C" w:themeColor="accent3"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619675D6"/>
    <w:multiLevelType w:val="hybridMultilevel"/>
    <w:tmpl w:val="C9A6865C"/>
    <w:lvl w:ilvl="0" w:tplc="FE9A2412">
      <w:start w:val="1"/>
      <w:numFmt w:val="bullet"/>
      <w:lvlText w:val=""/>
      <w:lvlJc w:val="left"/>
      <w:pPr>
        <w:ind w:left="360" w:hanging="360"/>
      </w:pPr>
      <w:rPr>
        <w:rFonts w:ascii="Symbol" w:hAnsi="Symbol" w:hint="default"/>
        <w:color w:val="76923C" w:themeColor="accent3" w:themeShade="BF"/>
        <w:u w:color="76923C" w:themeColor="accent3" w:themeShade="BF"/>
      </w:rPr>
    </w:lvl>
    <w:lvl w:ilvl="1" w:tplc="0C090003">
      <w:start w:val="1"/>
      <w:numFmt w:val="bullet"/>
      <w:lvlText w:val="o"/>
      <w:lvlJc w:val="left"/>
      <w:pPr>
        <w:ind w:left="1080" w:hanging="360"/>
      </w:pPr>
      <w:rPr>
        <w:rFonts w:ascii="Courier New" w:hAnsi="Courier New" w:cs="Courier New" w:hint="default"/>
        <w:color w:val="333399"/>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642A74C5"/>
    <w:multiLevelType w:val="hybridMultilevel"/>
    <w:tmpl w:val="17662A3C"/>
    <w:lvl w:ilvl="0" w:tplc="FE9A2412">
      <w:start w:val="1"/>
      <w:numFmt w:val="bullet"/>
      <w:lvlText w:val=""/>
      <w:lvlJc w:val="left"/>
      <w:pPr>
        <w:ind w:left="720" w:hanging="360"/>
      </w:pPr>
      <w:rPr>
        <w:rFonts w:ascii="Symbol" w:hAnsi="Symbol" w:hint="default"/>
        <w:color w:val="76923C" w:themeColor="accent3" w:themeShade="BF"/>
        <w:sz w:val="16"/>
        <w:u w:color="76923C" w:themeColor="accent3" w:themeShade="BF"/>
      </w:rPr>
    </w:lvl>
    <w:lvl w:ilvl="1" w:tplc="ACF2633A">
      <w:start w:val="1"/>
      <w:numFmt w:val="bullet"/>
      <w:lvlText w:val="o"/>
      <w:lvlJc w:val="left"/>
      <w:pPr>
        <w:ind w:left="1440" w:hanging="360"/>
      </w:pPr>
      <w:rPr>
        <w:rFonts w:ascii="Courier New" w:hAnsi="Courier New" w:hint="default"/>
        <w:color w:val="E36C0A" w:themeColor="accent6" w:themeShade="BF"/>
        <w:sz w:val="1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46C3EF6"/>
    <w:multiLevelType w:val="hybridMultilevel"/>
    <w:tmpl w:val="398C2CA2"/>
    <w:lvl w:ilvl="0" w:tplc="CEC61772">
      <w:start w:val="1"/>
      <w:numFmt w:val="bullet"/>
      <w:lvlText w:val="o"/>
      <w:lvlJc w:val="left"/>
      <w:pPr>
        <w:ind w:left="363" w:hanging="360"/>
      </w:pPr>
      <w:rPr>
        <w:rFonts w:ascii="Courier New" w:hAnsi="Courier New" w:hint="default"/>
        <w:color w:val="333399"/>
        <w:sz w:val="16"/>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60" w15:restartNumberingAfterBreak="0">
    <w:nsid w:val="66941447"/>
    <w:multiLevelType w:val="hybridMultilevel"/>
    <w:tmpl w:val="25C4593A"/>
    <w:lvl w:ilvl="0" w:tplc="8B92E34E">
      <w:numFmt w:val="bullet"/>
      <w:lvlText w:val="•"/>
      <w:lvlJc w:val="left"/>
      <w:pPr>
        <w:ind w:left="720" w:hanging="360"/>
      </w:pPr>
      <w:rPr>
        <w:rFonts w:ascii="Times New Roman" w:eastAsiaTheme="minorEastAsia" w:hAnsi="Times New Roman" w:cs="Times New Roman" w:hint="default"/>
        <w:color w:val="4F6228" w:themeColor="accent3" w:themeShade="80"/>
        <w:u w:color="4F6228" w:themeColor="accent3"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B5C6497"/>
    <w:multiLevelType w:val="hybridMultilevel"/>
    <w:tmpl w:val="7E18C4F6"/>
    <w:lvl w:ilvl="0" w:tplc="CEC61772">
      <w:start w:val="1"/>
      <w:numFmt w:val="bullet"/>
      <w:lvlText w:val="o"/>
      <w:lvlJc w:val="left"/>
      <w:pPr>
        <w:ind w:left="360" w:hanging="360"/>
      </w:pPr>
      <w:rPr>
        <w:rFonts w:ascii="Courier New" w:hAnsi="Courier New" w:hint="default"/>
        <w:color w:val="333399"/>
        <w:sz w:val="16"/>
      </w:rPr>
    </w:lvl>
    <w:lvl w:ilvl="1" w:tplc="7FAC482C">
      <w:start w:val="1"/>
      <w:numFmt w:val="bullet"/>
      <w:lvlText w:val="-"/>
      <w:lvlJc w:val="left"/>
      <w:pPr>
        <w:ind w:left="1080" w:hanging="360"/>
      </w:pPr>
      <w:rPr>
        <w:rFonts w:ascii="Courier New" w:hAnsi="Courier New" w:hint="default"/>
        <w:color w:val="E36C0A" w:themeColor="accent6" w:themeShade="BF"/>
        <w:u w:color="E36C0A" w:themeColor="accent6" w:themeShade="BF"/>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6BCD5544"/>
    <w:multiLevelType w:val="hybridMultilevel"/>
    <w:tmpl w:val="A6268D1A"/>
    <w:lvl w:ilvl="0" w:tplc="A8845128">
      <w:numFmt w:val="bullet"/>
      <w:lvlText w:val="•"/>
      <w:lvlJc w:val="left"/>
      <w:pPr>
        <w:ind w:left="360" w:hanging="360"/>
      </w:pPr>
      <w:rPr>
        <w:rFonts w:ascii="Times New Roman" w:eastAsiaTheme="minorEastAsia" w:hAnsi="Times New Roman" w:cs="Times New Roman" w:hint="default"/>
        <w:color w:val="002060"/>
        <w:u w:color="00206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6C350B7A"/>
    <w:multiLevelType w:val="hybridMultilevel"/>
    <w:tmpl w:val="F08CCD4C"/>
    <w:lvl w:ilvl="0" w:tplc="712C0758">
      <w:start w:val="15"/>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 w15:restartNumberingAfterBreak="0">
    <w:nsid w:val="6C490D7D"/>
    <w:multiLevelType w:val="hybridMultilevel"/>
    <w:tmpl w:val="288840A8"/>
    <w:lvl w:ilvl="0" w:tplc="E354A56E">
      <w:numFmt w:val="bullet"/>
      <w:lvlText w:val="•"/>
      <w:lvlJc w:val="left"/>
      <w:pPr>
        <w:ind w:left="360" w:hanging="360"/>
      </w:pPr>
      <w:rPr>
        <w:rFonts w:ascii="Times New Roman" w:eastAsiaTheme="minorEastAsia" w:hAnsi="Times New Roman" w:cs="Times New Roman" w:hint="default"/>
        <w:color w:val="8064A2" w:themeColor="accent4"/>
        <w:u w:color="8064A2"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6D6D2F57"/>
    <w:multiLevelType w:val="hybridMultilevel"/>
    <w:tmpl w:val="AE00C940"/>
    <w:lvl w:ilvl="0" w:tplc="FE9A2412">
      <w:start w:val="1"/>
      <w:numFmt w:val="bullet"/>
      <w:lvlText w:val=""/>
      <w:lvlJc w:val="left"/>
      <w:pPr>
        <w:ind w:left="720" w:hanging="360"/>
      </w:pPr>
      <w:rPr>
        <w:rFonts w:ascii="Symbol" w:hAnsi="Symbol" w:hint="default"/>
        <w:color w:val="76923C" w:themeColor="accent3" w:themeShade="BF"/>
        <w:u w:color="76923C" w:themeColor="accent3" w:themeShade="BF"/>
      </w:rPr>
    </w:lvl>
    <w:lvl w:ilvl="1" w:tplc="ACF2633A">
      <w:start w:val="1"/>
      <w:numFmt w:val="bullet"/>
      <w:lvlText w:val="o"/>
      <w:lvlJc w:val="left"/>
      <w:pPr>
        <w:ind w:left="1440" w:hanging="360"/>
      </w:pPr>
      <w:rPr>
        <w:rFonts w:ascii="Courier New" w:hAnsi="Courier New" w:hint="default"/>
        <w:color w:val="E36C0A" w:themeColor="accent6" w:themeShade="BF"/>
        <w:sz w:val="1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EE51614"/>
    <w:multiLevelType w:val="hybridMultilevel"/>
    <w:tmpl w:val="4B5A2F7E"/>
    <w:lvl w:ilvl="0" w:tplc="FE9A2412">
      <w:start w:val="1"/>
      <w:numFmt w:val="bullet"/>
      <w:lvlText w:val=""/>
      <w:lvlJc w:val="left"/>
      <w:pPr>
        <w:ind w:left="360" w:hanging="360"/>
      </w:pPr>
      <w:rPr>
        <w:rFonts w:ascii="Symbol" w:hAnsi="Symbol" w:hint="default"/>
        <w:color w:val="76923C" w:themeColor="accent3" w:themeShade="BF"/>
        <w:sz w:val="16"/>
        <w:u w:color="76923C" w:themeColor="accent3"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6F1547E8"/>
    <w:multiLevelType w:val="hybridMultilevel"/>
    <w:tmpl w:val="AF2230F6"/>
    <w:lvl w:ilvl="0" w:tplc="FE9A2412">
      <w:start w:val="1"/>
      <w:numFmt w:val="bullet"/>
      <w:lvlText w:val=""/>
      <w:lvlJc w:val="left"/>
      <w:pPr>
        <w:ind w:left="360" w:hanging="360"/>
      </w:pPr>
      <w:rPr>
        <w:rFonts w:ascii="Symbol" w:hAnsi="Symbol" w:hint="default"/>
        <w:color w:val="76923C" w:themeColor="accent3" w:themeShade="BF"/>
        <w:u w:color="76923C" w:themeColor="accent3" w:themeShade="BF"/>
      </w:rPr>
    </w:lvl>
    <w:lvl w:ilvl="1" w:tplc="0C090003">
      <w:start w:val="1"/>
      <w:numFmt w:val="bullet"/>
      <w:lvlText w:val="o"/>
      <w:lvlJc w:val="left"/>
      <w:pPr>
        <w:ind w:left="1080" w:hanging="360"/>
      </w:pPr>
      <w:rPr>
        <w:rFonts w:ascii="Courier New" w:hAnsi="Courier New" w:cs="Courier New" w:hint="default"/>
        <w:color w:val="333399"/>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6FE504F5"/>
    <w:multiLevelType w:val="hybridMultilevel"/>
    <w:tmpl w:val="D66EFBA6"/>
    <w:lvl w:ilvl="0" w:tplc="8B92E34E">
      <w:numFmt w:val="bullet"/>
      <w:lvlText w:val="•"/>
      <w:lvlJc w:val="left"/>
      <w:pPr>
        <w:ind w:left="360" w:hanging="360"/>
      </w:pPr>
      <w:rPr>
        <w:rFonts w:ascii="Times New Roman" w:eastAsiaTheme="minorEastAsia" w:hAnsi="Times New Roman" w:cs="Times New Roman" w:hint="default"/>
        <w:color w:val="4F6228" w:themeColor="accent3" w:themeShade="80"/>
        <w:u w:color="4F6228" w:themeColor="accent3" w:themeShade="8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712D1439"/>
    <w:multiLevelType w:val="hybridMultilevel"/>
    <w:tmpl w:val="FD5E838A"/>
    <w:lvl w:ilvl="0" w:tplc="FE9A2412">
      <w:start w:val="1"/>
      <w:numFmt w:val="bullet"/>
      <w:lvlText w:val=""/>
      <w:lvlJc w:val="left"/>
      <w:pPr>
        <w:ind w:left="360" w:hanging="360"/>
      </w:pPr>
      <w:rPr>
        <w:rFonts w:ascii="Symbol" w:hAnsi="Symbol" w:hint="default"/>
        <w:color w:val="76923C" w:themeColor="accent3" w:themeShade="BF"/>
        <w:u w:color="76923C" w:themeColor="accent3"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73820E13"/>
    <w:multiLevelType w:val="hybridMultilevel"/>
    <w:tmpl w:val="4288C92E"/>
    <w:lvl w:ilvl="0" w:tplc="FE9A2412">
      <w:start w:val="1"/>
      <w:numFmt w:val="bullet"/>
      <w:lvlText w:val=""/>
      <w:lvlJc w:val="left"/>
      <w:pPr>
        <w:ind w:left="360" w:hanging="360"/>
      </w:pPr>
      <w:rPr>
        <w:rFonts w:ascii="Symbol" w:hAnsi="Symbol" w:hint="default"/>
        <w:color w:val="76923C" w:themeColor="accent3" w:themeShade="BF"/>
        <w:u w:color="76923C" w:themeColor="accent3" w:themeShade="BF"/>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75AB7348"/>
    <w:multiLevelType w:val="hybridMultilevel"/>
    <w:tmpl w:val="7332E24A"/>
    <w:lvl w:ilvl="0" w:tplc="8B92E34E">
      <w:numFmt w:val="bullet"/>
      <w:lvlText w:val="•"/>
      <w:lvlJc w:val="left"/>
      <w:pPr>
        <w:tabs>
          <w:tab w:val="num" w:pos="720"/>
        </w:tabs>
        <w:ind w:left="720" w:hanging="360"/>
      </w:pPr>
      <w:rPr>
        <w:rFonts w:ascii="Times New Roman" w:eastAsiaTheme="minorEastAsia" w:hAnsi="Times New Roman" w:cs="Times New Roman" w:hint="default"/>
        <w:color w:val="4F6228" w:themeColor="accent3" w:themeShade="80"/>
        <w:u w:color="4F6228" w:themeColor="accent3" w:themeShade="8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69740E0"/>
    <w:multiLevelType w:val="hybridMultilevel"/>
    <w:tmpl w:val="1E3A1BAA"/>
    <w:lvl w:ilvl="0" w:tplc="9188A0B8">
      <w:start w:val="1"/>
      <w:numFmt w:val="bullet"/>
      <w:lvlText w:val="-"/>
      <w:lvlJc w:val="left"/>
      <w:pPr>
        <w:ind w:left="720" w:hanging="360"/>
      </w:pPr>
      <w:rPr>
        <w:rFonts w:ascii="Courier New" w:hAnsi="Courier New" w:hint="default"/>
        <w:color w:val="984806" w:themeColor="accent6" w:themeShade="80"/>
        <w:sz w:val="16"/>
        <w:u w:color="984806" w:themeColor="accent6"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A531B90"/>
    <w:multiLevelType w:val="hybridMultilevel"/>
    <w:tmpl w:val="2A428FCE"/>
    <w:lvl w:ilvl="0" w:tplc="FE9A2412">
      <w:start w:val="1"/>
      <w:numFmt w:val="bullet"/>
      <w:lvlText w:val=""/>
      <w:lvlJc w:val="left"/>
      <w:pPr>
        <w:ind w:left="720" w:hanging="360"/>
      </w:pPr>
      <w:rPr>
        <w:rFonts w:ascii="Symbol" w:hAnsi="Symbol" w:hint="default"/>
        <w:color w:val="76923C" w:themeColor="accent3" w:themeShade="BF"/>
        <w:sz w:val="16"/>
        <w:u w:color="76923C" w:themeColor="accent3" w:themeShade="BF"/>
      </w:rPr>
    </w:lvl>
    <w:lvl w:ilvl="1" w:tplc="ACF2633A">
      <w:start w:val="1"/>
      <w:numFmt w:val="bullet"/>
      <w:lvlText w:val="o"/>
      <w:lvlJc w:val="left"/>
      <w:pPr>
        <w:ind w:left="1440" w:hanging="360"/>
      </w:pPr>
      <w:rPr>
        <w:rFonts w:ascii="Courier New" w:hAnsi="Courier New" w:hint="default"/>
        <w:color w:val="E36C0A" w:themeColor="accent6" w:themeShade="BF"/>
        <w:sz w:val="1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CA10DF9"/>
    <w:multiLevelType w:val="hybridMultilevel"/>
    <w:tmpl w:val="3B689420"/>
    <w:lvl w:ilvl="0" w:tplc="8B92E34E">
      <w:numFmt w:val="bullet"/>
      <w:lvlText w:val="•"/>
      <w:lvlJc w:val="left"/>
      <w:pPr>
        <w:ind w:left="360" w:hanging="360"/>
      </w:pPr>
      <w:rPr>
        <w:rFonts w:ascii="Times New Roman" w:eastAsiaTheme="minorEastAsia" w:hAnsi="Times New Roman" w:cs="Times New Roman" w:hint="default"/>
        <w:color w:val="4F6228" w:themeColor="accent3" w:themeShade="80"/>
        <w:u w:color="4F6228" w:themeColor="accent3" w:themeShade="8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7CE23D15"/>
    <w:multiLevelType w:val="hybridMultilevel"/>
    <w:tmpl w:val="A442F48C"/>
    <w:lvl w:ilvl="0" w:tplc="FE9A2412">
      <w:start w:val="1"/>
      <w:numFmt w:val="bullet"/>
      <w:lvlText w:val=""/>
      <w:lvlJc w:val="left"/>
      <w:pPr>
        <w:ind w:left="360" w:hanging="360"/>
      </w:pPr>
      <w:rPr>
        <w:rFonts w:ascii="Symbol" w:hAnsi="Symbol" w:hint="default"/>
        <w:color w:val="76923C" w:themeColor="accent3" w:themeShade="BF"/>
        <w:u w:color="76923C" w:themeColor="accent3" w:themeShade="BF"/>
      </w:rPr>
    </w:lvl>
    <w:lvl w:ilvl="1" w:tplc="D6065022">
      <w:start w:val="1"/>
      <w:numFmt w:val="bullet"/>
      <w:lvlText w:val="o"/>
      <w:lvlJc w:val="left"/>
      <w:pPr>
        <w:ind w:left="1440" w:hanging="360"/>
      </w:pPr>
      <w:rPr>
        <w:rFonts w:ascii="Courier New" w:hAnsi="Courier New" w:hint="default"/>
        <w:color w:val="76923C" w:themeColor="accent3" w:themeShade="BF"/>
        <w:sz w:val="16"/>
        <w:u w:color="E36C0A" w:themeColor="accent6" w:themeShade="BF"/>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FB93CE4"/>
    <w:multiLevelType w:val="hybridMultilevel"/>
    <w:tmpl w:val="BA82B4E8"/>
    <w:lvl w:ilvl="0" w:tplc="D6065022">
      <w:start w:val="1"/>
      <w:numFmt w:val="bullet"/>
      <w:lvlText w:val="o"/>
      <w:lvlJc w:val="left"/>
      <w:pPr>
        <w:ind w:left="360" w:hanging="360"/>
      </w:pPr>
      <w:rPr>
        <w:rFonts w:ascii="Courier New" w:hAnsi="Courier New" w:hint="default"/>
        <w:color w:val="76923C" w:themeColor="accent3" w:themeShade="BF"/>
        <w:sz w:val="16"/>
      </w:rPr>
    </w:lvl>
    <w:lvl w:ilvl="1" w:tplc="8F02DB6E">
      <w:start w:val="1"/>
      <w:numFmt w:val="bullet"/>
      <w:lvlText w:val="-"/>
      <w:lvlJc w:val="left"/>
      <w:pPr>
        <w:ind w:left="1080" w:hanging="360"/>
      </w:pPr>
      <w:rPr>
        <w:rFonts w:ascii="Courier New" w:hAnsi="Courier New" w:hint="default"/>
        <w:color w:val="76923C" w:themeColor="accent3" w:themeShade="BF"/>
        <w:sz w:val="16"/>
        <w:u w:color="76923C" w:themeColor="accent3" w:themeShade="BF"/>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70"/>
  </w:num>
  <w:num w:numId="2">
    <w:abstractNumId w:val="22"/>
  </w:num>
  <w:num w:numId="3">
    <w:abstractNumId w:val="47"/>
  </w:num>
  <w:num w:numId="4">
    <w:abstractNumId w:val="25"/>
  </w:num>
  <w:num w:numId="5">
    <w:abstractNumId w:val="46"/>
  </w:num>
  <w:num w:numId="6">
    <w:abstractNumId w:val="69"/>
  </w:num>
  <w:num w:numId="7">
    <w:abstractNumId w:val="0"/>
  </w:num>
  <w:num w:numId="8">
    <w:abstractNumId w:val="51"/>
  </w:num>
  <w:num w:numId="9">
    <w:abstractNumId w:val="42"/>
  </w:num>
  <w:num w:numId="10">
    <w:abstractNumId w:val="61"/>
  </w:num>
  <w:num w:numId="11">
    <w:abstractNumId w:val="13"/>
  </w:num>
  <w:num w:numId="12">
    <w:abstractNumId w:val="50"/>
  </w:num>
  <w:num w:numId="13">
    <w:abstractNumId w:val="3"/>
  </w:num>
  <w:num w:numId="14">
    <w:abstractNumId w:val="8"/>
  </w:num>
  <w:num w:numId="15">
    <w:abstractNumId w:val="39"/>
  </w:num>
  <w:num w:numId="16">
    <w:abstractNumId w:val="23"/>
  </w:num>
  <w:num w:numId="17">
    <w:abstractNumId w:val="34"/>
  </w:num>
  <w:num w:numId="18">
    <w:abstractNumId w:val="66"/>
  </w:num>
  <w:num w:numId="19">
    <w:abstractNumId w:val="56"/>
  </w:num>
  <w:num w:numId="20">
    <w:abstractNumId w:val="35"/>
  </w:num>
  <w:num w:numId="21">
    <w:abstractNumId w:val="65"/>
  </w:num>
  <w:num w:numId="22">
    <w:abstractNumId w:val="73"/>
  </w:num>
  <w:num w:numId="23">
    <w:abstractNumId w:val="31"/>
  </w:num>
  <w:num w:numId="24">
    <w:abstractNumId w:val="58"/>
  </w:num>
  <w:num w:numId="25">
    <w:abstractNumId w:val="2"/>
  </w:num>
  <w:num w:numId="26">
    <w:abstractNumId w:val="15"/>
  </w:num>
  <w:num w:numId="27">
    <w:abstractNumId w:val="6"/>
  </w:num>
  <w:num w:numId="28">
    <w:abstractNumId w:val="75"/>
  </w:num>
  <w:num w:numId="29">
    <w:abstractNumId w:val="7"/>
  </w:num>
  <w:num w:numId="30">
    <w:abstractNumId w:val="36"/>
  </w:num>
  <w:num w:numId="31">
    <w:abstractNumId w:val="18"/>
  </w:num>
  <w:num w:numId="32">
    <w:abstractNumId w:val="57"/>
  </w:num>
  <w:num w:numId="33">
    <w:abstractNumId w:val="67"/>
  </w:num>
  <w:num w:numId="34">
    <w:abstractNumId w:val="17"/>
  </w:num>
  <w:num w:numId="35">
    <w:abstractNumId w:val="16"/>
  </w:num>
  <w:num w:numId="36">
    <w:abstractNumId w:val="40"/>
  </w:num>
  <w:num w:numId="37">
    <w:abstractNumId w:val="1"/>
  </w:num>
  <w:num w:numId="38">
    <w:abstractNumId w:val="52"/>
  </w:num>
  <w:num w:numId="39">
    <w:abstractNumId w:val="14"/>
  </w:num>
  <w:num w:numId="40">
    <w:abstractNumId w:val="55"/>
  </w:num>
  <w:num w:numId="41">
    <w:abstractNumId w:val="74"/>
  </w:num>
  <w:num w:numId="42">
    <w:abstractNumId w:val="32"/>
  </w:num>
  <w:num w:numId="43">
    <w:abstractNumId w:val="20"/>
  </w:num>
  <w:num w:numId="44">
    <w:abstractNumId w:val="28"/>
  </w:num>
  <w:num w:numId="45">
    <w:abstractNumId w:val="53"/>
  </w:num>
  <w:num w:numId="46">
    <w:abstractNumId w:val="68"/>
  </w:num>
  <w:num w:numId="47">
    <w:abstractNumId w:val="29"/>
  </w:num>
  <w:num w:numId="48">
    <w:abstractNumId w:val="26"/>
  </w:num>
  <w:num w:numId="49">
    <w:abstractNumId w:val="71"/>
  </w:num>
  <w:num w:numId="50">
    <w:abstractNumId w:val="10"/>
  </w:num>
  <w:num w:numId="51">
    <w:abstractNumId w:val="44"/>
  </w:num>
  <w:num w:numId="52">
    <w:abstractNumId w:val="45"/>
  </w:num>
  <w:num w:numId="53">
    <w:abstractNumId w:val="49"/>
  </w:num>
  <w:num w:numId="54">
    <w:abstractNumId w:val="27"/>
  </w:num>
  <w:num w:numId="55">
    <w:abstractNumId w:val="63"/>
  </w:num>
  <w:num w:numId="56">
    <w:abstractNumId w:val="60"/>
  </w:num>
  <w:num w:numId="57">
    <w:abstractNumId w:val="11"/>
  </w:num>
  <w:num w:numId="58">
    <w:abstractNumId w:val="54"/>
  </w:num>
  <w:num w:numId="59">
    <w:abstractNumId w:val="19"/>
  </w:num>
  <w:num w:numId="60">
    <w:abstractNumId w:val="30"/>
  </w:num>
  <w:num w:numId="61">
    <w:abstractNumId w:val="43"/>
  </w:num>
  <w:num w:numId="62">
    <w:abstractNumId w:val="41"/>
  </w:num>
  <w:num w:numId="63">
    <w:abstractNumId w:val="21"/>
  </w:num>
  <w:num w:numId="64">
    <w:abstractNumId w:val="12"/>
  </w:num>
  <w:num w:numId="65">
    <w:abstractNumId w:val="33"/>
  </w:num>
  <w:num w:numId="66">
    <w:abstractNumId w:val="76"/>
  </w:num>
  <w:num w:numId="67">
    <w:abstractNumId w:val="9"/>
  </w:num>
  <w:num w:numId="68">
    <w:abstractNumId w:val="72"/>
  </w:num>
  <w:num w:numId="69">
    <w:abstractNumId w:val="59"/>
  </w:num>
  <w:num w:numId="70">
    <w:abstractNumId w:val="5"/>
  </w:num>
  <w:num w:numId="71">
    <w:abstractNumId w:val="4"/>
  </w:num>
  <w:num w:numId="72">
    <w:abstractNumId w:val="48"/>
  </w:num>
  <w:num w:numId="73">
    <w:abstractNumId w:val="24"/>
  </w:num>
  <w:num w:numId="74">
    <w:abstractNumId w:val="62"/>
  </w:num>
  <w:num w:numId="75">
    <w:abstractNumId w:val="37"/>
  </w:num>
  <w:num w:numId="76">
    <w:abstractNumId w:val="38"/>
  </w:num>
  <w:num w:numId="77">
    <w:abstractNumId w:val="6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81"/>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ED6"/>
    <w:rsid w:val="00004A98"/>
    <w:rsid w:val="00005F0B"/>
    <w:rsid w:val="00036F92"/>
    <w:rsid w:val="00040A63"/>
    <w:rsid w:val="00056F75"/>
    <w:rsid w:val="00071944"/>
    <w:rsid w:val="000B50D5"/>
    <w:rsid w:val="000B6BAE"/>
    <w:rsid w:val="000B78D4"/>
    <w:rsid w:val="000C2B65"/>
    <w:rsid w:val="00122CD9"/>
    <w:rsid w:val="00146B6C"/>
    <w:rsid w:val="00153F7A"/>
    <w:rsid w:val="00157086"/>
    <w:rsid w:val="00165363"/>
    <w:rsid w:val="00165ABC"/>
    <w:rsid w:val="00173930"/>
    <w:rsid w:val="001767C1"/>
    <w:rsid w:val="001801FF"/>
    <w:rsid w:val="00184809"/>
    <w:rsid w:val="00192BAF"/>
    <w:rsid w:val="00197126"/>
    <w:rsid w:val="001C1BBB"/>
    <w:rsid w:val="001D443E"/>
    <w:rsid w:val="001E0422"/>
    <w:rsid w:val="001F2CF5"/>
    <w:rsid w:val="00201786"/>
    <w:rsid w:val="00214B0D"/>
    <w:rsid w:val="0021758B"/>
    <w:rsid w:val="0023144E"/>
    <w:rsid w:val="00242C10"/>
    <w:rsid w:val="00250AC1"/>
    <w:rsid w:val="00252B60"/>
    <w:rsid w:val="00253428"/>
    <w:rsid w:val="00255A61"/>
    <w:rsid w:val="00284916"/>
    <w:rsid w:val="002A6845"/>
    <w:rsid w:val="002E1479"/>
    <w:rsid w:val="002E2365"/>
    <w:rsid w:val="002E2640"/>
    <w:rsid w:val="002F39AD"/>
    <w:rsid w:val="002F43AD"/>
    <w:rsid w:val="00305C96"/>
    <w:rsid w:val="00307CCF"/>
    <w:rsid w:val="0033359B"/>
    <w:rsid w:val="00340BAC"/>
    <w:rsid w:val="00354C8E"/>
    <w:rsid w:val="00365889"/>
    <w:rsid w:val="00370A9A"/>
    <w:rsid w:val="003738FB"/>
    <w:rsid w:val="00380550"/>
    <w:rsid w:val="003A378E"/>
    <w:rsid w:val="003A4504"/>
    <w:rsid w:val="003D0394"/>
    <w:rsid w:val="003D241B"/>
    <w:rsid w:val="003D71F5"/>
    <w:rsid w:val="003F7B7D"/>
    <w:rsid w:val="00404F09"/>
    <w:rsid w:val="0040775A"/>
    <w:rsid w:val="00410F9F"/>
    <w:rsid w:val="004420AB"/>
    <w:rsid w:val="00480F75"/>
    <w:rsid w:val="004946D2"/>
    <w:rsid w:val="004C5DE9"/>
    <w:rsid w:val="004E71F8"/>
    <w:rsid w:val="00504EBB"/>
    <w:rsid w:val="00510840"/>
    <w:rsid w:val="00514F31"/>
    <w:rsid w:val="0052193A"/>
    <w:rsid w:val="00521ED3"/>
    <w:rsid w:val="00524C35"/>
    <w:rsid w:val="0054022C"/>
    <w:rsid w:val="00586BC4"/>
    <w:rsid w:val="00590212"/>
    <w:rsid w:val="00591874"/>
    <w:rsid w:val="005D011F"/>
    <w:rsid w:val="005D349E"/>
    <w:rsid w:val="005D4B83"/>
    <w:rsid w:val="005E05DF"/>
    <w:rsid w:val="005E0C90"/>
    <w:rsid w:val="005E28AA"/>
    <w:rsid w:val="00610147"/>
    <w:rsid w:val="006125DD"/>
    <w:rsid w:val="00646C7F"/>
    <w:rsid w:val="00646FE1"/>
    <w:rsid w:val="00654806"/>
    <w:rsid w:val="00663D2B"/>
    <w:rsid w:val="00680F22"/>
    <w:rsid w:val="006816D9"/>
    <w:rsid w:val="006912A5"/>
    <w:rsid w:val="006A48DA"/>
    <w:rsid w:val="006C1C75"/>
    <w:rsid w:val="006E5BE2"/>
    <w:rsid w:val="006F3CD7"/>
    <w:rsid w:val="00702716"/>
    <w:rsid w:val="007154A4"/>
    <w:rsid w:val="00732B21"/>
    <w:rsid w:val="00737B69"/>
    <w:rsid w:val="007474A0"/>
    <w:rsid w:val="00751629"/>
    <w:rsid w:val="00751F2B"/>
    <w:rsid w:val="00753A43"/>
    <w:rsid w:val="00764D5B"/>
    <w:rsid w:val="0077240E"/>
    <w:rsid w:val="00772DDA"/>
    <w:rsid w:val="00775FCC"/>
    <w:rsid w:val="007E14F2"/>
    <w:rsid w:val="007F0768"/>
    <w:rsid w:val="00821D89"/>
    <w:rsid w:val="008232BD"/>
    <w:rsid w:val="008239A8"/>
    <w:rsid w:val="00851C13"/>
    <w:rsid w:val="0086019F"/>
    <w:rsid w:val="00864C2C"/>
    <w:rsid w:val="00864D6E"/>
    <w:rsid w:val="0087334F"/>
    <w:rsid w:val="00894870"/>
    <w:rsid w:val="008C002C"/>
    <w:rsid w:val="008C7059"/>
    <w:rsid w:val="008D67A6"/>
    <w:rsid w:val="008E6034"/>
    <w:rsid w:val="008F76A5"/>
    <w:rsid w:val="00906198"/>
    <w:rsid w:val="0096424B"/>
    <w:rsid w:val="009733CA"/>
    <w:rsid w:val="00977BC1"/>
    <w:rsid w:val="00980A78"/>
    <w:rsid w:val="0099147A"/>
    <w:rsid w:val="00991751"/>
    <w:rsid w:val="009953C9"/>
    <w:rsid w:val="009A05A1"/>
    <w:rsid w:val="009A5C68"/>
    <w:rsid w:val="009B76ED"/>
    <w:rsid w:val="009C65CB"/>
    <w:rsid w:val="009C696B"/>
    <w:rsid w:val="009D61D4"/>
    <w:rsid w:val="00A11162"/>
    <w:rsid w:val="00A33FFF"/>
    <w:rsid w:val="00A40F92"/>
    <w:rsid w:val="00AC33CE"/>
    <w:rsid w:val="00AE379E"/>
    <w:rsid w:val="00AF30E8"/>
    <w:rsid w:val="00B30C69"/>
    <w:rsid w:val="00B441FB"/>
    <w:rsid w:val="00B62D5C"/>
    <w:rsid w:val="00B76666"/>
    <w:rsid w:val="00B83B04"/>
    <w:rsid w:val="00B85DDB"/>
    <w:rsid w:val="00BD726D"/>
    <w:rsid w:val="00BD7507"/>
    <w:rsid w:val="00BE2C99"/>
    <w:rsid w:val="00BE504B"/>
    <w:rsid w:val="00BE6E10"/>
    <w:rsid w:val="00BF0E1A"/>
    <w:rsid w:val="00C01137"/>
    <w:rsid w:val="00C071EA"/>
    <w:rsid w:val="00C4083F"/>
    <w:rsid w:val="00C5716D"/>
    <w:rsid w:val="00C60C93"/>
    <w:rsid w:val="00C76A4F"/>
    <w:rsid w:val="00C778D9"/>
    <w:rsid w:val="00C840B1"/>
    <w:rsid w:val="00C87CE9"/>
    <w:rsid w:val="00C93432"/>
    <w:rsid w:val="00C96C0F"/>
    <w:rsid w:val="00CE4F3E"/>
    <w:rsid w:val="00CE4F89"/>
    <w:rsid w:val="00D11F27"/>
    <w:rsid w:val="00D16B03"/>
    <w:rsid w:val="00D33074"/>
    <w:rsid w:val="00D41647"/>
    <w:rsid w:val="00D55FDD"/>
    <w:rsid w:val="00D629DB"/>
    <w:rsid w:val="00D6483E"/>
    <w:rsid w:val="00D742E6"/>
    <w:rsid w:val="00D74FFE"/>
    <w:rsid w:val="00D7570E"/>
    <w:rsid w:val="00DB1ED6"/>
    <w:rsid w:val="00DB4F0E"/>
    <w:rsid w:val="00DC03F5"/>
    <w:rsid w:val="00DC5570"/>
    <w:rsid w:val="00DC7BD2"/>
    <w:rsid w:val="00DE008F"/>
    <w:rsid w:val="00DE435D"/>
    <w:rsid w:val="00E04526"/>
    <w:rsid w:val="00E3276A"/>
    <w:rsid w:val="00E32C19"/>
    <w:rsid w:val="00E436A5"/>
    <w:rsid w:val="00E51FD4"/>
    <w:rsid w:val="00E62B22"/>
    <w:rsid w:val="00EB619F"/>
    <w:rsid w:val="00ED3455"/>
    <w:rsid w:val="00EE2FAE"/>
    <w:rsid w:val="00EE33FC"/>
    <w:rsid w:val="00F116AB"/>
    <w:rsid w:val="00F254B2"/>
    <w:rsid w:val="00F51FB0"/>
    <w:rsid w:val="00F62632"/>
    <w:rsid w:val="00F860A9"/>
    <w:rsid w:val="00F929BF"/>
    <w:rsid w:val="00F97499"/>
    <w:rsid w:val="00FA07F6"/>
    <w:rsid w:val="00FE176D"/>
    <w:rsid w:val="00FE1BB2"/>
    <w:rsid w:val="00FF0728"/>
    <w:rsid w:val="00FF1150"/>
    <w:rsid w:val="00FF4A94"/>
    <w:rsid w:val="00FF775E"/>
    <w:rsid w:val="00FF7F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50E443BD"/>
  <w14:defaultImageDpi w14:val="300"/>
  <w15:docId w15:val="{6E4B67B9-2B61-42CA-A2C0-4CCF39199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1ED6"/>
    <w:pPr>
      <w:spacing w:after="120" w:line="280" w:lineRule="atLeast"/>
      <w:jc w:val="both"/>
    </w:pPr>
    <w:rPr>
      <w:rFonts w:ascii="Arial" w:hAnsi="Arial"/>
      <w:sz w:val="22"/>
    </w:rPr>
  </w:style>
  <w:style w:type="paragraph" w:styleId="Heading1">
    <w:name w:val="heading 1"/>
    <w:basedOn w:val="Normal"/>
    <w:next w:val="Normal"/>
    <w:link w:val="Heading1Char"/>
    <w:uiPriority w:val="9"/>
    <w:qFormat/>
    <w:rsid w:val="00305C96"/>
    <w:pPr>
      <w:keepNext/>
      <w:keepLines/>
      <w:spacing w:before="240" w:after="0"/>
      <w:outlineLvl w:val="0"/>
    </w:pPr>
    <w:rPr>
      <w:rFonts w:ascii="Calibri Light" w:eastAsia="Malgun Gothic"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1ED6"/>
    <w:pPr>
      <w:tabs>
        <w:tab w:val="center" w:pos="4320"/>
        <w:tab w:val="right" w:pos="8640"/>
      </w:tabs>
    </w:pPr>
  </w:style>
  <w:style w:type="character" w:customStyle="1" w:styleId="HeaderChar">
    <w:name w:val="Header Char"/>
    <w:basedOn w:val="DefaultParagraphFont"/>
    <w:link w:val="Header"/>
    <w:uiPriority w:val="99"/>
    <w:rsid w:val="00DB1ED6"/>
  </w:style>
  <w:style w:type="paragraph" w:styleId="Footer">
    <w:name w:val="footer"/>
    <w:basedOn w:val="Normal"/>
    <w:link w:val="FooterChar"/>
    <w:uiPriority w:val="99"/>
    <w:unhideWhenUsed/>
    <w:rsid w:val="00DB1ED6"/>
    <w:pPr>
      <w:tabs>
        <w:tab w:val="center" w:pos="4320"/>
        <w:tab w:val="right" w:pos="8640"/>
      </w:tabs>
    </w:pPr>
  </w:style>
  <w:style w:type="character" w:customStyle="1" w:styleId="FooterChar">
    <w:name w:val="Footer Char"/>
    <w:basedOn w:val="DefaultParagraphFont"/>
    <w:link w:val="Footer"/>
    <w:uiPriority w:val="99"/>
    <w:rsid w:val="00DB1ED6"/>
  </w:style>
  <w:style w:type="paragraph" w:styleId="Title">
    <w:name w:val="Title"/>
    <w:basedOn w:val="Normal"/>
    <w:next w:val="Normal"/>
    <w:link w:val="TitleChar"/>
    <w:uiPriority w:val="10"/>
    <w:qFormat/>
    <w:rsid w:val="009A05A1"/>
    <w:pPr>
      <w:jc w:val="right"/>
    </w:pPr>
    <w:rPr>
      <w:color w:val="660066"/>
      <w:sz w:val="56"/>
      <w:szCs w:val="56"/>
    </w:rPr>
  </w:style>
  <w:style w:type="character" w:customStyle="1" w:styleId="TitleChar">
    <w:name w:val="Title Char"/>
    <w:basedOn w:val="DefaultParagraphFont"/>
    <w:link w:val="Title"/>
    <w:uiPriority w:val="10"/>
    <w:rsid w:val="009A05A1"/>
    <w:rPr>
      <w:rFonts w:ascii="Arial" w:hAnsi="Arial"/>
      <w:color w:val="660066"/>
      <w:sz w:val="56"/>
      <w:szCs w:val="56"/>
    </w:rPr>
  </w:style>
  <w:style w:type="character" w:styleId="PageNumber">
    <w:name w:val="page number"/>
    <w:basedOn w:val="DefaultParagraphFont"/>
    <w:uiPriority w:val="99"/>
    <w:semiHidden/>
    <w:unhideWhenUsed/>
    <w:rsid w:val="009A05A1"/>
  </w:style>
  <w:style w:type="paragraph" w:customStyle="1" w:styleId="BasicParagraph">
    <w:name w:val="[Basic Paragraph]"/>
    <w:basedOn w:val="Normal"/>
    <w:uiPriority w:val="99"/>
    <w:rsid w:val="009A05A1"/>
    <w:pPr>
      <w:widowControl w:val="0"/>
      <w:autoSpaceDE w:val="0"/>
      <w:autoSpaceDN w:val="0"/>
      <w:adjustRightInd w:val="0"/>
      <w:spacing w:after="0" w:line="288" w:lineRule="auto"/>
      <w:jc w:val="left"/>
      <w:textAlignment w:val="center"/>
    </w:pPr>
    <w:rPr>
      <w:rFonts w:ascii="MinionPro-Regular" w:hAnsi="MinionPro-Regular" w:cs="MinionPro-Regular"/>
      <w:color w:val="000000"/>
      <w:sz w:val="24"/>
    </w:rPr>
  </w:style>
  <w:style w:type="paragraph" w:styleId="BalloonText">
    <w:name w:val="Balloon Text"/>
    <w:basedOn w:val="Normal"/>
    <w:link w:val="BalloonTextChar"/>
    <w:uiPriority w:val="99"/>
    <w:semiHidden/>
    <w:unhideWhenUsed/>
    <w:rsid w:val="004420A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20AB"/>
    <w:rPr>
      <w:rFonts w:ascii="Lucida Grande" w:hAnsi="Lucida Grande" w:cs="Lucida Grande"/>
      <w:sz w:val="18"/>
      <w:szCs w:val="18"/>
    </w:rPr>
  </w:style>
  <w:style w:type="character" w:styleId="Hyperlink">
    <w:name w:val="Hyperlink"/>
    <w:rsid w:val="00680F22"/>
    <w:rPr>
      <w:color w:val="0000FF"/>
      <w:u w:val="single"/>
    </w:rPr>
  </w:style>
  <w:style w:type="paragraph" w:styleId="EndnoteText">
    <w:name w:val="endnote text"/>
    <w:basedOn w:val="Normal"/>
    <w:link w:val="EndnoteTextChar"/>
    <w:uiPriority w:val="99"/>
    <w:semiHidden/>
    <w:unhideWhenUsed/>
    <w:rsid w:val="00680F22"/>
    <w:pPr>
      <w:spacing w:after="0" w:line="240" w:lineRule="auto"/>
      <w:ind w:left="181" w:hanging="181"/>
      <w:jc w:val="left"/>
    </w:pPr>
    <w:rPr>
      <w:rFonts w:ascii="Calibri" w:hAnsi="Calibri"/>
      <w:sz w:val="20"/>
      <w:szCs w:val="20"/>
      <w:lang w:val="en-AU" w:eastAsia="ko-KR"/>
    </w:rPr>
  </w:style>
  <w:style w:type="character" w:customStyle="1" w:styleId="EndnoteTextChar">
    <w:name w:val="Endnote Text Char"/>
    <w:basedOn w:val="DefaultParagraphFont"/>
    <w:link w:val="EndnoteText"/>
    <w:uiPriority w:val="99"/>
    <w:semiHidden/>
    <w:rsid w:val="00680F22"/>
    <w:rPr>
      <w:rFonts w:ascii="Calibri" w:hAnsi="Calibri"/>
      <w:sz w:val="20"/>
      <w:szCs w:val="20"/>
      <w:lang w:val="en-AU" w:eastAsia="ko-KR"/>
    </w:rPr>
  </w:style>
  <w:style w:type="character" w:styleId="EndnoteReference">
    <w:name w:val="endnote reference"/>
    <w:basedOn w:val="DefaultParagraphFont"/>
    <w:uiPriority w:val="99"/>
    <w:unhideWhenUsed/>
    <w:rsid w:val="00680F22"/>
    <w:rPr>
      <w:vertAlign w:val="superscript"/>
    </w:rPr>
  </w:style>
  <w:style w:type="paragraph" w:customStyle="1" w:styleId="Heading11">
    <w:name w:val="Heading 11"/>
    <w:basedOn w:val="Normal"/>
    <w:next w:val="Normal"/>
    <w:uiPriority w:val="9"/>
    <w:qFormat/>
    <w:rsid w:val="00305C96"/>
    <w:pPr>
      <w:keepNext/>
      <w:keepLines/>
      <w:spacing w:before="240" w:after="0" w:line="240" w:lineRule="auto"/>
      <w:ind w:left="181" w:hanging="181"/>
      <w:jc w:val="left"/>
      <w:outlineLvl w:val="0"/>
    </w:pPr>
    <w:rPr>
      <w:rFonts w:ascii="Calibri Light" w:eastAsia="Malgun Gothic" w:hAnsi="Calibri Light" w:cs="Times New Roman"/>
      <w:color w:val="2E74B5"/>
      <w:sz w:val="32"/>
      <w:szCs w:val="32"/>
      <w:lang w:val="en-AU" w:eastAsia="ko-KR"/>
    </w:rPr>
  </w:style>
  <w:style w:type="character" w:customStyle="1" w:styleId="Heading1Char">
    <w:name w:val="Heading 1 Char"/>
    <w:basedOn w:val="DefaultParagraphFont"/>
    <w:link w:val="Heading1"/>
    <w:uiPriority w:val="9"/>
    <w:rsid w:val="00305C96"/>
    <w:rPr>
      <w:rFonts w:ascii="Calibri Light" w:eastAsia="Malgun Gothic" w:hAnsi="Calibri Light" w:cs="Times New Roman"/>
      <w:color w:val="2E74B5"/>
      <w:sz w:val="32"/>
      <w:szCs w:val="32"/>
    </w:rPr>
  </w:style>
  <w:style w:type="character" w:customStyle="1" w:styleId="Heading1Char1">
    <w:name w:val="Heading 1 Char1"/>
    <w:basedOn w:val="DefaultParagraphFont"/>
    <w:uiPriority w:val="9"/>
    <w:rsid w:val="00305C96"/>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C93432"/>
    <w:pPr>
      <w:ind w:left="720"/>
      <w:contextualSpacing/>
    </w:pPr>
  </w:style>
  <w:style w:type="table" w:styleId="TableGrid">
    <w:name w:val="Table Grid"/>
    <w:basedOn w:val="TableNormal"/>
    <w:uiPriority w:val="39"/>
    <w:rsid w:val="00D16B03"/>
    <w:pPr>
      <w:ind w:left="181" w:hanging="181"/>
    </w:pPr>
    <w:rPr>
      <w:sz w:val="22"/>
      <w:szCs w:val="22"/>
      <w:lang w:val="en-AU"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65ABC"/>
    <w:rPr>
      <w:color w:val="800080" w:themeColor="followedHyperlink"/>
      <w:u w:val="single"/>
    </w:rPr>
  </w:style>
  <w:style w:type="table" w:customStyle="1" w:styleId="TableGrid1">
    <w:name w:val="Table Grid1"/>
    <w:basedOn w:val="TableNormal"/>
    <w:next w:val="TableGrid"/>
    <w:uiPriority w:val="39"/>
    <w:rsid w:val="005D349E"/>
    <w:rPr>
      <w:sz w:val="22"/>
      <w:szCs w:val="22"/>
      <w:lang w:val="en-AU"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801FF"/>
    <w:rPr>
      <w:sz w:val="22"/>
      <w:szCs w:val="22"/>
      <w:lang w:val="en-AU"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821D89"/>
    <w:pPr>
      <w:spacing w:line="480" w:lineRule="auto"/>
    </w:pPr>
  </w:style>
  <w:style w:type="character" w:customStyle="1" w:styleId="BodyText2Char">
    <w:name w:val="Body Text 2 Char"/>
    <w:basedOn w:val="DefaultParagraphFont"/>
    <w:link w:val="BodyText2"/>
    <w:uiPriority w:val="99"/>
    <w:semiHidden/>
    <w:rsid w:val="00821D89"/>
    <w:rPr>
      <w:rFonts w:ascii="Arial" w:hAnsi="Arial"/>
      <w:sz w:val="22"/>
    </w:rPr>
  </w:style>
  <w:style w:type="table" w:customStyle="1" w:styleId="TableGrid3">
    <w:name w:val="Table Grid3"/>
    <w:basedOn w:val="TableNormal"/>
    <w:next w:val="TableGrid"/>
    <w:uiPriority w:val="39"/>
    <w:rsid w:val="00D74FFE"/>
    <w:pPr>
      <w:spacing w:before="100" w:beforeAutospacing="1" w:afterAutospacing="1"/>
    </w:pPr>
    <w:rPr>
      <w:sz w:val="22"/>
      <w:szCs w:val="22"/>
      <w:lang w:val="en-AU"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197126"/>
    <w:rPr>
      <w:sz w:val="22"/>
      <w:szCs w:val="22"/>
      <w:lang w:val="en-AU"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116AB"/>
    <w:rPr>
      <w:sz w:val="22"/>
      <w:szCs w:val="22"/>
      <w:lang w:val="en-AU"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645184">
      <w:bodyDiv w:val="1"/>
      <w:marLeft w:val="0"/>
      <w:marRight w:val="0"/>
      <w:marTop w:val="0"/>
      <w:marBottom w:val="0"/>
      <w:divBdr>
        <w:top w:val="none" w:sz="0" w:space="0" w:color="auto"/>
        <w:left w:val="none" w:sz="0" w:space="0" w:color="auto"/>
        <w:bottom w:val="none" w:sz="0" w:space="0" w:color="auto"/>
        <w:right w:val="none" w:sz="0" w:space="0" w:color="auto"/>
      </w:divBdr>
    </w:div>
    <w:div w:id="926885061">
      <w:bodyDiv w:val="1"/>
      <w:marLeft w:val="0"/>
      <w:marRight w:val="0"/>
      <w:marTop w:val="0"/>
      <w:marBottom w:val="0"/>
      <w:divBdr>
        <w:top w:val="none" w:sz="0" w:space="0" w:color="auto"/>
        <w:left w:val="none" w:sz="0" w:space="0" w:color="auto"/>
        <w:bottom w:val="none" w:sz="0" w:space="0" w:color="auto"/>
        <w:right w:val="none" w:sz="0" w:space="0" w:color="auto"/>
      </w:divBdr>
    </w:div>
    <w:div w:id="1302006545">
      <w:bodyDiv w:val="1"/>
      <w:marLeft w:val="0"/>
      <w:marRight w:val="0"/>
      <w:marTop w:val="0"/>
      <w:marBottom w:val="0"/>
      <w:divBdr>
        <w:top w:val="none" w:sz="0" w:space="0" w:color="auto"/>
        <w:left w:val="none" w:sz="0" w:space="0" w:color="auto"/>
        <w:bottom w:val="none" w:sz="0" w:space="0" w:color="auto"/>
        <w:right w:val="none" w:sz="0" w:space="0" w:color="auto"/>
      </w:divBdr>
    </w:div>
    <w:div w:id="1406993015">
      <w:bodyDiv w:val="1"/>
      <w:marLeft w:val="0"/>
      <w:marRight w:val="0"/>
      <w:marTop w:val="0"/>
      <w:marBottom w:val="0"/>
      <w:divBdr>
        <w:top w:val="none" w:sz="0" w:space="0" w:color="auto"/>
        <w:left w:val="none" w:sz="0" w:space="0" w:color="auto"/>
        <w:bottom w:val="none" w:sz="0" w:space="0" w:color="auto"/>
        <w:right w:val="none" w:sz="0" w:space="0" w:color="auto"/>
      </w:divBdr>
    </w:div>
    <w:div w:id="1616719273">
      <w:bodyDiv w:val="1"/>
      <w:marLeft w:val="0"/>
      <w:marRight w:val="0"/>
      <w:marTop w:val="0"/>
      <w:marBottom w:val="0"/>
      <w:divBdr>
        <w:top w:val="none" w:sz="0" w:space="0" w:color="auto"/>
        <w:left w:val="none" w:sz="0" w:space="0" w:color="auto"/>
        <w:bottom w:val="none" w:sz="0" w:space="0" w:color="auto"/>
        <w:right w:val="none" w:sz="0" w:space="0" w:color="auto"/>
      </w:divBdr>
    </w:div>
    <w:div w:id="18452414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media/image1.jpg" Type="http://schemas.openxmlformats.org/officeDocument/2006/relationships/image"/>
<Relationship Id="rId100" Target="diagrams/drawing12.xml" Type="http://schemas.microsoft.com/office/2007/relationships/diagramDrawing"/>
<Relationship Id="rId101" Target="diagrams/data14.xml" Type="http://schemas.openxmlformats.org/officeDocument/2006/relationships/diagramData"/>
<Relationship Id="rId102" Target="diagrams/layout13.xml" Type="http://schemas.openxmlformats.org/officeDocument/2006/relationships/diagramLayout"/>
<Relationship Id="rId103" Target="diagrams/quickStyle13.xml" Type="http://schemas.openxmlformats.org/officeDocument/2006/relationships/diagramQuickStyle"/>
<Relationship Id="rId104" Target="diagrams/colors13.xml" Type="http://schemas.openxmlformats.org/officeDocument/2006/relationships/diagramColors"/>
<Relationship Id="rId105" Target="diagrams/drawing13.xml" Type="http://schemas.microsoft.com/office/2007/relationships/diagramDrawing"/>
<Relationship Id="rId106" Target="diagrams/data15.xml" Type="http://schemas.openxmlformats.org/officeDocument/2006/relationships/diagramData"/>
<Relationship Id="rId107" Target="diagrams/layout13.xml" Type="http://schemas.openxmlformats.org/officeDocument/2006/relationships/diagramLayout"/>
<Relationship Id="rId108" Target="diagrams/quickStyle13.xml" Type="http://schemas.openxmlformats.org/officeDocument/2006/relationships/diagramQuickStyle"/>
<Relationship Id="rId109" Target="diagrams/colors13.xml" Type="http://schemas.openxmlformats.org/officeDocument/2006/relationships/diagramColors"/>
<Relationship Id="rId11" Target="media/image2.png" Type="http://schemas.openxmlformats.org/officeDocument/2006/relationships/image"/>
<Relationship Id="rId110" Target="charts/chart1.xml" Type="http://schemas.openxmlformats.org/officeDocument/2006/relationships/chart"/>
<Relationship Id="rId111" Target="charts/chart1.xml" Type="http://schemas.openxmlformats.org/officeDocument/2006/relationships/chart"/>
<Relationship Id="rId112" Target="header1.xml" Type="http://schemas.openxmlformats.org/officeDocument/2006/relationships/header"/>
<Relationship Id="rId113" Target="footer1.xml" Type="http://schemas.openxmlformats.org/officeDocument/2006/relationships/footer"/>
<Relationship Id="rId114" Target="footer2.xml" Type="http://schemas.openxmlformats.org/officeDocument/2006/relationships/footer"/>
<Relationship Id="rId115" Target="header2.xml" Type="http://schemas.openxmlformats.org/officeDocument/2006/relationships/header"/>
<Relationship Id="rId116" Target="charts/chart2.xml" Type="http://schemas.openxmlformats.org/officeDocument/2006/relationships/chart"/>
<Relationship Id="rId117" Target="charts/chart2.xml" Type="http://schemas.openxmlformats.org/officeDocument/2006/relationships/chart"/>
<Relationship Id="rId118" Target="media/image16.jpg" Type="http://schemas.openxmlformats.org/officeDocument/2006/relationships/image"/>
<Relationship Id="rId119" Target="media/image17.jpg" Type="http://schemas.openxmlformats.org/officeDocument/2006/relationships/image"/>
<Relationship Id="rId12" Target="diagrams/data1.xml" Type="http://schemas.openxmlformats.org/officeDocument/2006/relationships/diagramData"/>
<Relationship Id="rId120" Target="https://www.apsc.gov.au/balancing-future-australian-public-service-gender-equality-strategy-2016-19" TargetMode="External" Type="http://schemas.openxmlformats.org/officeDocument/2006/relationships/hyperlink"/>
<Relationship Id="rId121" Target="https://www.officeforwomen.sa.gov.au/womens-policy/useful-links-and-resources" TargetMode="External" Type="http://schemas.openxmlformats.org/officeDocument/2006/relationships/hyperlink"/>
<Relationship Id="rId122" Target="http://www.dpac.tas.gov.au/divisions/csr/information_and_resources/gender_analysis/a_typical_gender_inclusive_model" TargetMode="External" Type="http://schemas.openxmlformats.org/officeDocument/2006/relationships/hyperlink"/>
<Relationship Id="rId123" Target="https://www.localgovernment.vic.gov.au/our-programs/gender-equity" TargetMode="External" Type="http://schemas.openxmlformats.org/officeDocument/2006/relationships/hyperlink"/>
<Relationship Id="rId124" Target="https://www.swc-cfc.gc.ca/gba-acs/index-en.html" TargetMode="External" Type="http://schemas.openxmlformats.org/officeDocument/2006/relationships/hyperlink"/>
<Relationship Id="rId125" Target="https://www.mfat.govt.nz/assets/Aid-Prog-docs/Tools-and-guides/Gender-Analysis-Guideline_0.pdf" TargetMode="External" Type="http://schemas.openxmlformats.org/officeDocument/2006/relationships/hyperlink"/>
<Relationship Id="rId126" Target="http://www.cge.org.za/" TargetMode="External" Type="http://schemas.openxmlformats.org/officeDocument/2006/relationships/hyperlink"/>
<Relationship Id="rId127" Target="https://ec.europa.eu/info/policies/justice-and-fundamental-rights/combatting-discrimination/gender-equality_en" TargetMode="External" Type="http://schemas.openxmlformats.org/officeDocument/2006/relationships/hyperlink"/>
<Relationship Id="rId128" Target="http://thecommonwealth.org/mainstreaming-gender-equality-and-empowering-women-policy" TargetMode="External" Type="http://schemas.openxmlformats.org/officeDocument/2006/relationships/hyperlink"/>
<Relationship Id="rId129" Target="http://www.un.org/womenwatch/daw/beijing/platform/index.html" TargetMode="External" Type="http://schemas.openxmlformats.org/officeDocument/2006/relationships/hyperlink"/>
<Relationship Id="rId13" Target="diagrams/layout1.xml" Type="http://schemas.openxmlformats.org/officeDocument/2006/relationships/diagramLayout"/>
<Relationship Id="rId130" Target="http://www.ilo.org/gender/lang--en/index.htm" TargetMode="External" Type="http://schemas.openxmlformats.org/officeDocument/2006/relationships/hyperlink"/>
<Relationship Id="rId131" Target="http://www.oecd.org/gender/" TargetMode="External" Type="http://schemas.openxmlformats.org/officeDocument/2006/relationships/hyperlink"/>
<Relationship Id="rId132" Target="http://www.unwomen.org/en" TargetMode="External" Type="http://schemas.openxmlformats.org/officeDocument/2006/relationships/hyperlink"/>
<Relationship Id="rId133" Target="https://en.unesco.org/genderequality" TargetMode="External" Type="http://schemas.openxmlformats.org/officeDocument/2006/relationships/hyperlink"/>
<Relationship Id="rId134" Target="http://whv.org.au/what-we-do/workshops" TargetMode="External" Type="http://schemas.openxmlformats.org/officeDocument/2006/relationships/hyperlink"/>
<Relationship Id="rId135" Target="http://www.flinders.edu.au/sabs/gender-consortium/home.cfm" TargetMode="External" Type="http://schemas.openxmlformats.org/officeDocument/2006/relationships/hyperlink"/>
<Relationship Id="rId136" Target="https://gest.unu.edu/en" TargetMode="External" Type="http://schemas.openxmlformats.org/officeDocument/2006/relationships/hyperlink"/>
<Relationship Id="rId137" Target="http://www.hrea.org/learn/elearning/gendermainstreaming/" TargetMode="External" Type="http://schemas.openxmlformats.org/officeDocument/2006/relationships/hyperlink"/>
<Relationship Id="rId138" Target="https://trainingcentre.unwomen.org/" TargetMode="External" Type="http://schemas.openxmlformats.org/officeDocument/2006/relationships/hyperlink"/>
<Relationship Id="rId139" Target="http://training.itcilo.org/delta/OHCHR/Genderintegration/player.html" TargetMode="External" Type="http://schemas.openxmlformats.org/officeDocument/2006/relationships/hyperlink"/>
<Relationship Id="rId14" Target="diagrams/quickStyle1.xml" Type="http://schemas.openxmlformats.org/officeDocument/2006/relationships/diagramQuickStyle"/>
<Relationship Id="rId140" Target="http://www.unesco.org/new/en/unesco/themes/gender-equality/tools/elearning-programme/" TargetMode="External" Type="http://schemas.openxmlformats.org/officeDocument/2006/relationships/hyperlink"/>
<Relationship Id="rId141" Target="http://www.ilo.org/public/english/region/asro/mdtmanila/training/homepage/mainmenu.htm" TargetMode="External" Type="http://schemas.openxmlformats.org/officeDocument/2006/relationships/hyperlink"/>
<Relationship Id="rId142" Target="https://info.undp.org/sites/bpps/SES_Toolkit/SES%20Document%20Library/Uploaded%20October%202016/UNDP%20Guidance%20Note%20how%20to%20conduct%20a%20gender%20analysis.pdf" TargetMode="External" Type="http://schemas.openxmlformats.org/officeDocument/2006/relationships/hyperlink"/>
<Relationship Id="rId143" Target="http://www.undp.org/content/dam/somalia/docs/Project_Documents/Womens_Empowerment/Gender%20Mainstreaming%20Made%20Easy_Handbook%20for%20Programme%20Staff1.pdf" TargetMode="External" Type="http://schemas.openxmlformats.org/officeDocument/2006/relationships/hyperlink"/>
<Relationship Id="rId144" Target="http://www.undp.org/content/dam/undp/library/Environment%20and%20Energy/Sustainable%20Energy/Gender_Mainstreaming_Training_Manual_2007.pdf" TargetMode="External" Type="http://schemas.openxmlformats.org/officeDocument/2006/relationships/hyperlink"/>
<Relationship Id="rId145" Target="http://unesdoc.unesco.org/images/0025/002505/250567e.pdf" TargetMode="External" Type="http://schemas.openxmlformats.org/officeDocument/2006/relationships/hyperlink"/>
<Relationship Id="rId146" Target="http://eige.europa.eu/gender-mainstreaming/methods-tools" TargetMode="External" Type="http://schemas.openxmlformats.org/officeDocument/2006/relationships/hyperlink"/>
<Relationship Id="rId147" Target="http://eige.europa.eu/sites/default/files/Good-Practices-in-Gender-Mainstreaming.pdf" TargetMode="External" Type="http://schemas.openxmlformats.org/officeDocument/2006/relationships/hyperlink"/>
<Relationship Id="rId148" Target="http://www.businessandgender.eu/en/products/1break-gender-stereotypes-en.pdf" TargetMode="External" Type="http://schemas.openxmlformats.org/officeDocument/2006/relationships/hyperlink"/>
<Relationship Id="rId149" Target="http://www.un.org/womenwatch/directory/docs/UNODC-GuidanceNote-GenderMainstreaming.pdf" TargetMode="External" Type="http://schemas.openxmlformats.org/officeDocument/2006/relationships/hyperlink"/>
<Relationship Id="rId15" Target="diagrams/colors1.xml" Type="http://schemas.openxmlformats.org/officeDocument/2006/relationships/diagramColors"/>
<Relationship Id="rId150" Target="http://www.abs.gov.au/ausstats/abs@.nsf/mf/4125.0" TargetMode="External" Type="http://schemas.openxmlformats.org/officeDocument/2006/relationships/hyperlink"/>
<Relationship Id="rId151" Target="https://www.wgea.gov.au/fact-sheets-and-research-reports/fact-sheets-and-statistics" TargetMode="External" Type="http://schemas.openxmlformats.org/officeDocument/2006/relationships/hyperlink"/>
<Relationship Id="rId152" Target="https://www.women.nsw.gov.au/womens_data" TargetMode="External" Type="http://schemas.openxmlformats.org/officeDocument/2006/relationships/hyperlink"/>
<Relationship Id="rId153" Target="https://www.pmc.gov.au/office-women/leadership/gender-balance-australian-government-boards" TargetMode="External" Type="http://schemas.openxmlformats.org/officeDocument/2006/relationships/hyperlink"/>
<Relationship Id="rId154" Target="https://www.pmc.gov.au/resource-centre/office-women/profile-australian-women-business" TargetMode="External" Type="http://schemas.openxmlformats.org/officeDocument/2006/relationships/hyperlink"/>
<Relationship Id="rId155" Target="http://victorianwomenshealthatlas.net.au/" TargetMode="External" Type="http://schemas.openxmlformats.org/officeDocument/2006/relationships/hyperlink"/>
<Relationship Id="rId156" Target="https://unstats.un.org/unsd/gender/default.html" TargetMode="External" Type="http://schemas.openxmlformats.org/officeDocument/2006/relationships/hyperlink"/>
<Relationship Id="rId157" Target="https://unstats.un.org/unsd/gender/docs/Guidelines_Statistics_VAW.pdf" TargetMode="External" Type="http://schemas.openxmlformats.org/officeDocument/2006/relationships/hyperlink"/>
<Relationship Id="rId158" Target="https://unstats.un.org/unsd/demographic-social/time-use/icatus-2016/" TargetMode="External" Type="http://schemas.openxmlformats.org/officeDocument/2006/relationships/hyperlink"/>
<Relationship Id="rId159" Target="https://genderstats.un.org/" TargetMode="External" Type="http://schemas.openxmlformats.org/officeDocument/2006/relationships/hyperlink"/>
<Relationship Id="rId16" Target="diagrams/drawing1.xml" Type="http://schemas.microsoft.com/office/2007/relationships/diagramDrawing"/>
<Relationship Id="rId160" Target="http://datatopics.worldbank.org/gender/" TargetMode="External" Type="http://schemas.openxmlformats.org/officeDocument/2006/relationships/hyperlink"/>
<Relationship Id="rId161" Target="https://openknowledge.worldbank.org/bitstream/handle/10986/23436/9781464805561.pdf?sequence=1&amp;isAllowed=y" TargetMode="External" Type="http://schemas.openxmlformats.org/officeDocument/2006/relationships/hyperlink"/>
<Relationship Id="rId162" Target="http://www.unece.org/statistics/areas-of-work/statssoc/gender-statistics.html" TargetMode="External" Type="http://schemas.openxmlformats.org/officeDocument/2006/relationships/hyperlink"/>
<Relationship Id="rId163" Target="http://www.fao.org/3/a-i5769e.pdf" TargetMode="External" Type="http://schemas.openxmlformats.org/officeDocument/2006/relationships/hyperlink"/>
<Relationship Id="rId164" Target="http://www.genderindex.org/" TargetMode="External" Type="http://schemas.openxmlformats.org/officeDocument/2006/relationships/hyperlink"/>
<Relationship Id="rId165" Target="http://www.oecd.org/gender/" TargetMode="External" Type="http://schemas.openxmlformats.org/officeDocument/2006/relationships/hyperlink"/>
<Relationship Id="rId166" Target="http://ec.europa.eu/eurostat/statistics-explained/index.php/Gender_statistics" TargetMode="External" Type="http://schemas.openxmlformats.org/officeDocument/2006/relationships/hyperlink"/>
<Relationship Id="rId167" Target="http://hdr.undp.org/en/data" TargetMode="External" Type="http://schemas.openxmlformats.org/officeDocument/2006/relationships/hyperlink"/>
<Relationship Id="rId168" Target="http://hdr.undp.org/en/content/gender-development-index-gdi" TargetMode="External" Type="http://schemas.openxmlformats.org/officeDocument/2006/relationships/hyperlink"/>
<Relationship Id="rId169" Target="http://hdr.undp.org/en/composite/GII" TargetMode="External" Type="http://schemas.openxmlformats.org/officeDocument/2006/relationships/hyperlink"/>
<Relationship Id="rId17" Target="media/image3.png" Type="http://schemas.openxmlformats.org/officeDocument/2006/relationships/image"/>
<Relationship Id="rId170" Target="http://hdr.undp.org/en/composite/Dashboard1" TargetMode="External" Type="http://schemas.openxmlformats.org/officeDocument/2006/relationships/hyperlink"/>
<Relationship Id="rId171" Target="https://www.weforum.org/agenda/archive/gender-parity/" TargetMode="External" Type="http://schemas.openxmlformats.org/officeDocument/2006/relationships/hyperlink"/>
<Relationship Id="rId172" Target="http://www.ilo.org/global/topics/economic-and-social-development/gender-and-development/lang--en/index.htm" TargetMode="External" Type="http://schemas.openxmlformats.org/officeDocument/2006/relationships/hyperlink"/>
<Relationship Id="rId173" Target="http://www.undp.org/content/undp/en/home/gender-equality.html" TargetMode="External" Type="http://schemas.openxmlformats.org/officeDocument/2006/relationships/hyperlink"/>
<Relationship Id="rId174" Target="http://www.worldbank.org/en/topic/gender" TargetMode="External" Type="http://schemas.openxmlformats.org/officeDocument/2006/relationships/hyperlink"/>
<Relationship Id="rId175" Target="https://www.idrc.ca/en/article/empowering-women" TargetMode="External" Type="http://schemas.openxmlformats.org/officeDocument/2006/relationships/hyperlink"/>
<Relationship Id="rId176" Target="https://gest.unu.edu/en" TargetMode="External" Type="http://schemas.openxmlformats.org/officeDocument/2006/relationships/hyperlink"/>
<Relationship Id="rId177" Target="https://www.sida.se/English/how-we-work/our-fields-of-work/gender-equality/" TargetMode="External" Type="http://schemas.openxmlformats.org/officeDocument/2006/relationships/hyperlink"/>
<Relationship Id="rId178" Target="https://www.researchgate.net/publication/44818571_Gender_Planning_And_Development_Theory_Practice_And_Training" TargetMode="External" Type="http://schemas.openxmlformats.org/officeDocument/2006/relationships/hyperlink"/>
<Relationship Id="rId179" Target="http://apo.org.au/system/files/39500/apo-nid39500-52906.pdf" TargetMode="External" Type="http://schemas.openxmlformats.org/officeDocument/2006/relationships/hyperlink"/>
<Relationship Id="rId18" Target="mailto:women@qld.gov.au" TargetMode="External" Type="http://schemas.openxmlformats.org/officeDocument/2006/relationships/hyperlink"/>
<Relationship Id="rId180" Target="http://apo.org.au/system/files/39500/apo-nid39500-52906.pdf" TargetMode="External" Type="http://schemas.openxmlformats.org/officeDocument/2006/relationships/hyperlink"/>
<Relationship Id="rId181" Target="file://///ebus.root.internal/dc/CFCSSR/OFWDVR/OFW/Projects/QWS/Actions/Gender%20Analysis%20Toolkit/GAT%20update/Draft%20sections/&#8226;%09http:/www.nfaw.org/wp-content/uploads/2017/05/FINAL-Gender-Lens-2017.pdf" TargetMode="External" Type="http://schemas.openxmlformats.org/officeDocument/2006/relationships/hyperlink"/>
<Relationship Id="rId182" Target="http://www.oecd.org/gov/budgeting/gender-budgeting.htm" TargetMode="External" Type="http://schemas.openxmlformats.org/officeDocument/2006/relationships/hyperlink"/>
<Relationship Id="rId183" Target="http://www.entwicklung.at/fileadmin/user_upload/Dokumente/Publikationen/Downloads_Themen_DivBerichte/Gender/CHECKLIST_12032009_barriere.pdf" TargetMode="External" Type="http://schemas.openxmlformats.org/officeDocument/2006/relationships/hyperlink"/>
<Relationship Id="rId184" Target="http://www.adcq.qld.gov.au/" TargetMode="External" Type="http://schemas.openxmlformats.org/officeDocument/2006/relationships/hyperlink"/>
<Relationship Id="rId185" Target="http://www.qgso.qld.gov.au/index.php" TargetMode="External" Type="http://schemas.openxmlformats.org/officeDocument/2006/relationships/hyperlink"/>
<Relationship Id="rId186" Target="http://www.dlgrma.qld.gov.au/multicultural-affairs/multicultural-affairs.html" TargetMode="External" Type="http://schemas.openxmlformats.org/officeDocument/2006/relationships/hyperlink"/>
<Relationship Id="rId187" Target="https://www.police.qld.gov.au/" TargetMode="External" Type="http://schemas.openxmlformats.org/officeDocument/2006/relationships/hyperlink"/>
<Relationship Id="rId188" Target="https://www.humanrights.gov.au/" TargetMode="External" Type="http://schemas.openxmlformats.org/officeDocument/2006/relationships/hyperlink"/>
<Relationship Id="rId189" Target="https://pmc.gov.au/office-women" TargetMode="External" Type="http://schemas.openxmlformats.org/officeDocument/2006/relationships/hyperlink"/>
<Relationship Id="rId19" Target="media/image4.png" Type="http://schemas.openxmlformats.org/officeDocument/2006/relationships/image"/>
<Relationship Id="rId190" Target="https://www.wgea.gov.au/" TargetMode="External" Type="http://schemas.openxmlformats.org/officeDocument/2006/relationships/hyperlink"/>
<Relationship Id="rId191" Target="https://aic.gov.au/" TargetMode="External" Type="http://schemas.openxmlformats.org/officeDocument/2006/relationships/hyperlink"/>
<Relationship Id="rId192" Target="https://www.aihw.gov.au/" TargetMode="External" Type="http://schemas.openxmlformats.org/officeDocument/2006/relationships/hyperlink"/>
<Relationship Id="rId193" Target="https://aifs.gov.au/" TargetMode="External" Type="http://schemas.openxmlformats.org/officeDocument/2006/relationships/hyperlink"/>
<Relationship Id="rId194" Target="https://www.qld.gov.au/community/women" TargetMode="External" Type="http://schemas.openxmlformats.org/officeDocument/2006/relationships/hyperlink"/>
<Relationship Id="rId195" Target="mailto:women@qld.gov.au" TargetMode="External" Type="http://schemas.openxmlformats.org/officeDocument/2006/relationships/hyperlink"/>
<Relationship Id="rId196" Target="fontTable.xml" Type="http://schemas.openxmlformats.org/officeDocument/2006/relationships/fontTable"/>
<Relationship Id="rId197" Target="theme/theme1.xml" Type="http://schemas.openxmlformats.org/officeDocument/2006/relationships/theme"/>
<Relationship Id="rId2" Target="numbering.xml" Type="http://schemas.openxmlformats.org/officeDocument/2006/relationships/numbering"/>
<Relationship Id="rId20" Target="diagrams/data2.xml" Type="http://schemas.openxmlformats.org/officeDocument/2006/relationships/diagramData"/>
<Relationship Id="rId21" Target="diagrams/layout2.xml" Type="http://schemas.openxmlformats.org/officeDocument/2006/relationships/diagramLayout"/>
<Relationship Id="rId22" Target="diagrams/quickStyle2.xml" Type="http://schemas.openxmlformats.org/officeDocument/2006/relationships/diagramQuickStyle"/>
<Relationship Id="rId23" Target="diagrams/colors2.xml" Type="http://schemas.openxmlformats.org/officeDocument/2006/relationships/diagramColors"/>
<Relationship Id="rId24" Target="diagrams/drawing2.xml" Type="http://schemas.microsoft.com/office/2007/relationships/diagramDrawing"/>
<Relationship Id="rId25" Target="diagrams/data3.xml" Type="http://schemas.openxmlformats.org/officeDocument/2006/relationships/diagramData"/>
<Relationship Id="rId26" Target="media/image5.jpg" Type="http://schemas.openxmlformats.org/officeDocument/2006/relationships/image"/>
<Relationship Id="rId27" Target="https://www.humanrights.gov.au/our-work/legal/legislation" TargetMode="External" Type="http://schemas.openxmlformats.org/officeDocument/2006/relationships/hyperlink"/>
<Relationship Id="rId28" Target="https://www.humanrights.gov.au/" TargetMode="External" Type="http://schemas.openxmlformats.org/officeDocument/2006/relationships/hyperlink"/>
<Relationship Id="rId29" Target="https://www.humanrights.gov.au/" TargetMode="External" Type="http://schemas.openxmlformats.org/officeDocument/2006/relationships/hyperlink"/>
<Relationship Id="rId3" Target="styles.xml" Type="http://schemas.openxmlformats.org/officeDocument/2006/relationships/styles"/>
<Relationship Id="rId30" Target="https://www.legislation.gov.au/Details/C2012C00899" TargetMode="External" Type="http://schemas.openxmlformats.org/officeDocument/2006/relationships/hyperlink"/>
<Relationship Id="rId31" Target="https://www.wgea.gov.au/" TargetMode="External" Type="http://schemas.openxmlformats.org/officeDocument/2006/relationships/hyperlink"/>
<Relationship Id="rId32" Target="https://www.legislation.qld.gov.au/LEGISLTN/CURRENT/A/AntiDiscrimA91.pdf" TargetMode="External" Type="http://schemas.openxmlformats.org/officeDocument/2006/relationships/hyperlink"/>
<Relationship Id="rId33" Target="https://www.adcq.qld.gov.au/" TargetMode="External" Type="http://schemas.openxmlformats.org/officeDocument/2006/relationships/hyperlink"/>
<Relationship Id="rId34" Target="https://www.legislation.qld.gov.au/legisltn/current/p/publicserva08.pdf" TargetMode="External" Type="http://schemas.openxmlformats.org/officeDocument/2006/relationships/hyperlink"/>
<Relationship Id="rId35" Target="https://www.legislation.qld.gov.au/LEGISLTN/ACTS/2016/16AC063.pdf" TargetMode="External" Type="http://schemas.openxmlformats.org/officeDocument/2006/relationships/hyperlink"/>
<Relationship Id="rId36" Target="https://www.treasury.qld.gov.au/fair-and-safe-work/industrial-relations/" TargetMode="External" Type="http://schemas.openxmlformats.org/officeDocument/2006/relationships/hyperlink"/>
<Relationship Id="rId37" Target="http://www.un.org/womenwatch/daw/beijing/platform/" TargetMode="External" Type="http://schemas.openxmlformats.org/officeDocument/2006/relationships/hyperlink"/>
<Relationship Id="rId38" Target="media/image6.png" Type="http://schemas.openxmlformats.org/officeDocument/2006/relationships/image"/>
<Relationship Id="rId39" Target="media/hdphoto1.wdp" Type="http://schemas.microsoft.com/office/2007/relationships/hdphoto"/>
<Relationship Id="rId4" Target="settings.xml" Type="http://schemas.openxmlformats.org/officeDocument/2006/relationships/settings"/>
<Relationship Id="rId40" Target="media/image7.jpg" Type="http://schemas.openxmlformats.org/officeDocument/2006/relationships/image"/>
<Relationship Id="rId41" Target="media/image8.jpeg" Type="http://schemas.openxmlformats.org/officeDocument/2006/relationships/image"/>
<Relationship Id="rId42" Target="diagrams/data4.xml" Type="http://schemas.openxmlformats.org/officeDocument/2006/relationships/diagramData"/>
<Relationship Id="rId43" Target="diagrams/layout3.xml" Type="http://schemas.openxmlformats.org/officeDocument/2006/relationships/diagramLayout"/>
<Relationship Id="rId44" Target="diagrams/quickStyle3.xml" Type="http://schemas.openxmlformats.org/officeDocument/2006/relationships/diagramQuickStyle"/>
<Relationship Id="rId45" Target="diagrams/colors3.xml" Type="http://schemas.openxmlformats.org/officeDocument/2006/relationships/diagramColors"/>
<Relationship Id="rId46" Target="diagrams/drawing3.xml" Type="http://schemas.microsoft.com/office/2007/relationships/diagramDrawing"/>
<Relationship Id="rId47" Target="http://www.abs.gov.au/ausstats/abs@.nsf/mf/4125.0" TargetMode="External" Type="http://schemas.openxmlformats.org/officeDocument/2006/relationships/hyperlink"/>
<Relationship Id="rId48" Target="https://www.communities.qld.gov.au/campaign/womens-strategy/queensland-womens-strategy" TargetMode="External" Type="http://schemas.openxmlformats.org/officeDocument/2006/relationships/hyperlink"/>
<Relationship Id="rId49" Target="media/image10.JPG" Type="http://schemas.openxmlformats.org/officeDocument/2006/relationships/image"/>
<Relationship Id="rId5" Target="webSettings.xml" Type="http://schemas.openxmlformats.org/officeDocument/2006/relationships/webSettings"/>
<Relationship Id="rId50" Target="media/image11.JPG" Type="http://schemas.openxmlformats.org/officeDocument/2006/relationships/image"/>
<Relationship Id="rId51" Target="https://www.wgea.gov.au/sites/default/files/gender-pay-gap-statistics.pdf" TargetMode="External" Type="http://schemas.openxmlformats.org/officeDocument/2006/relationships/hyperlink"/>
<Relationship Id="rId52" Target="https://www.wgea.gov.au/sites/default/files/Stats%20at%20a%20Glance%20FEB2017.pdf" TargetMode="External" Type="http://schemas.openxmlformats.org/officeDocument/2006/relationships/hyperlink"/>
<Relationship Id="rId53" Target="https://www.women.nsw.gov.au/womens_data" TargetMode="External" Type="http://schemas.openxmlformats.org/officeDocument/2006/relationships/hyperlink"/>
<Relationship Id="rId54" Target="http://victorianwomenshealthatlas.net.au/" TargetMode="External" Type="http://schemas.openxmlformats.org/officeDocument/2006/relationships/hyperlink"/>
<Relationship Id="rId55" Target="media/image12.jpg" Type="http://schemas.openxmlformats.org/officeDocument/2006/relationships/image"/>
<Relationship Id="rId56" Target="diagrams/data5.xml" Type="http://schemas.openxmlformats.org/officeDocument/2006/relationships/diagramData"/>
<Relationship Id="rId57" Target="diagrams/layout4.xml" Type="http://schemas.openxmlformats.org/officeDocument/2006/relationships/diagramLayout"/>
<Relationship Id="rId58" Target="diagrams/quickStyle4.xml" Type="http://schemas.openxmlformats.org/officeDocument/2006/relationships/diagramQuickStyle"/>
<Relationship Id="rId59" Target="diagrams/colors4.xml" Type="http://schemas.openxmlformats.org/officeDocument/2006/relationships/diagramColors"/>
<Relationship Id="rId6" Target="footnotes.xml" Type="http://schemas.openxmlformats.org/officeDocument/2006/relationships/footnotes"/>
<Relationship Id="rId60" Target="diagrams/drawing4.xml" Type="http://schemas.microsoft.com/office/2007/relationships/diagramDrawing"/>
<Relationship Id="rId61" Target="diagrams/data6.xml" Type="http://schemas.openxmlformats.org/officeDocument/2006/relationships/diagramData"/>
<Relationship Id="rId62" Target="diagrams/layout5.xml" Type="http://schemas.openxmlformats.org/officeDocument/2006/relationships/diagramLayout"/>
<Relationship Id="rId63" Target="diagrams/quickStyle5.xml" Type="http://schemas.openxmlformats.org/officeDocument/2006/relationships/diagramQuickStyle"/>
<Relationship Id="rId64" Target="diagrams/colors5.xml" Type="http://schemas.openxmlformats.org/officeDocument/2006/relationships/diagramColors"/>
<Relationship Id="rId65" Target="diagrams/drawing5.xml" Type="http://schemas.microsoft.com/office/2007/relationships/diagramDrawing"/>
<Relationship Id="rId66" Target="diagrams/data7.xml" Type="http://schemas.openxmlformats.org/officeDocument/2006/relationships/diagramData"/>
<Relationship Id="rId67" Target="diagrams/layout6.xml" Type="http://schemas.openxmlformats.org/officeDocument/2006/relationships/diagramLayout"/>
<Relationship Id="rId68" Target="diagrams/quickStyle6.xml" Type="http://schemas.openxmlformats.org/officeDocument/2006/relationships/diagramQuickStyle"/>
<Relationship Id="rId69" Target="diagrams/colors6.xml" Type="http://schemas.openxmlformats.org/officeDocument/2006/relationships/diagramColors"/>
<Relationship Id="rId7" Target="endnotes.xml" Type="http://schemas.openxmlformats.org/officeDocument/2006/relationships/endnotes"/>
<Relationship Id="rId70" Target="diagrams/drawing6.xml" Type="http://schemas.microsoft.com/office/2007/relationships/diagramDrawing"/>
<Relationship Id="rId71" Target="diagrams/data8.xml" Type="http://schemas.openxmlformats.org/officeDocument/2006/relationships/diagramData"/>
<Relationship Id="rId72" Target="diagrams/layout7.xml" Type="http://schemas.openxmlformats.org/officeDocument/2006/relationships/diagramLayout"/>
<Relationship Id="rId73" Target="diagrams/quickStyle7.xml" Type="http://schemas.openxmlformats.org/officeDocument/2006/relationships/diagramQuickStyle"/>
<Relationship Id="rId74" Target="diagrams/colors7.xml" Type="http://schemas.openxmlformats.org/officeDocument/2006/relationships/diagramColors"/>
<Relationship Id="rId75" Target="diagrams/drawing7.xml" Type="http://schemas.microsoft.com/office/2007/relationships/diagramDrawing"/>
<Relationship Id="rId76" Target="diagrams/data9.xml" Type="http://schemas.openxmlformats.org/officeDocument/2006/relationships/diagramData"/>
<Relationship Id="rId77" Target="diagrams/layout8.xml" Type="http://schemas.openxmlformats.org/officeDocument/2006/relationships/diagramLayout"/>
<Relationship Id="rId78" Target="diagrams/quickStyle8.xml" Type="http://schemas.openxmlformats.org/officeDocument/2006/relationships/diagramQuickStyle"/>
<Relationship Id="rId79" Target="diagrams/colors8.xml" Type="http://schemas.openxmlformats.org/officeDocument/2006/relationships/diagramColors"/>
<Relationship Id="rId8" Target="mailto:women@qld.gov.au" TargetMode="External" Type="http://schemas.openxmlformats.org/officeDocument/2006/relationships/hyperlink"/>
<Relationship Id="rId80" Target="diagrams/drawing8.xml" Type="http://schemas.microsoft.com/office/2007/relationships/diagramDrawing"/>
<Relationship Id="rId81" Target="diagrams/data10.xml" Type="http://schemas.openxmlformats.org/officeDocument/2006/relationships/diagramData"/>
<Relationship Id="rId82" Target="diagrams/layout9.xml" Type="http://schemas.openxmlformats.org/officeDocument/2006/relationships/diagramLayout"/>
<Relationship Id="rId83" Target="diagrams/quickStyle9.xml" Type="http://schemas.openxmlformats.org/officeDocument/2006/relationships/diagramQuickStyle"/>
<Relationship Id="rId84" Target="diagrams/colors9.xml" Type="http://schemas.openxmlformats.org/officeDocument/2006/relationships/diagramColors"/>
<Relationship Id="rId85" Target="diagrams/drawing9.xml" Type="http://schemas.microsoft.com/office/2007/relationships/diagramDrawing"/>
<Relationship Id="rId86" Target="diagrams/data11.xml" Type="http://schemas.openxmlformats.org/officeDocument/2006/relationships/diagramData"/>
<Relationship Id="rId87" Target="diagrams/layout10.xml" Type="http://schemas.openxmlformats.org/officeDocument/2006/relationships/diagramLayout"/>
<Relationship Id="rId88" Target="diagrams/quickStyle10.xml" Type="http://schemas.openxmlformats.org/officeDocument/2006/relationships/diagramQuickStyle"/>
<Relationship Id="rId89" Target="diagrams/colors10.xml" Type="http://schemas.openxmlformats.org/officeDocument/2006/relationships/diagramColors"/>
<Relationship Id="rId9" Target="http://www.qld.gov.au/women" TargetMode="External" Type="http://schemas.openxmlformats.org/officeDocument/2006/relationships/hyperlink"/>
<Relationship Id="rId90" Target="diagrams/drawing10.xml" Type="http://schemas.microsoft.com/office/2007/relationships/diagramDrawing"/>
<Relationship Id="rId91" Target="diagrams/data12.xml" Type="http://schemas.openxmlformats.org/officeDocument/2006/relationships/diagramData"/>
<Relationship Id="rId92" Target="diagrams/layout11.xml" Type="http://schemas.openxmlformats.org/officeDocument/2006/relationships/diagramLayout"/>
<Relationship Id="rId93" Target="diagrams/quickStyle11.xml" Type="http://schemas.openxmlformats.org/officeDocument/2006/relationships/diagramQuickStyle"/>
<Relationship Id="rId94" Target="diagrams/colors11.xml" Type="http://schemas.openxmlformats.org/officeDocument/2006/relationships/diagramColors"/>
<Relationship Id="rId95" Target="diagrams/drawing11.xml" Type="http://schemas.microsoft.com/office/2007/relationships/diagramDrawing"/>
<Relationship Id="rId96" Target="diagrams/data13.xml" Type="http://schemas.openxmlformats.org/officeDocument/2006/relationships/diagramData"/>
<Relationship Id="rId97" Target="diagrams/layout12.xml" Type="http://schemas.openxmlformats.org/officeDocument/2006/relationships/diagramLayout"/>
<Relationship Id="rId98" Target="diagrams/quickStyle12.xml" Type="http://schemas.openxmlformats.org/officeDocument/2006/relationships/diagramQuickStyle"/>
<Relationship Id="rId99" Target="diagrams/colors12.xml" Type="http://schemas.openxmlformats.org/officeDocument/2006/relationships/diagramColors"/>
</Relationships>

</file>

<file path=word/_rels/endnotes.xml.rels><?xml version="1.0" encoding="UTF-8" standalone="yes"?>
<Relationships xmlns="http://schemas.openxmlformats.org/package/2006/relationships">
<Relationship Id="rId1" Target="https://www.macquariedictionary.com.au/features/word/search/?word=analysis&amp;search_word_type=Dictionary" TargetMode="External" Type="http://schemas.openxmlformats.org/officeDocument/2006/relationships/hyperlink"/>
<Relationship Id="rId2" Target="https://www.un.org/documents/ga/docs/52/plenary/a52-3.htm" TargetMode="External" Type="http://schemas.openxmlformats.org/officeDocument/2006/relationships/hyperlink"/>
<Relationship Id="rId3" Target="https://trainingcentre.unwomen.org/mod/glossary/view.php?id=36" TargetMode="External" Type="http://schemas.openxmlformats.org/officeDocument/2006/relationships/hyperlink"/>
<Relationship Id="rId4" Target="http://www.women.nsw.gov.au/PDF/Archived/Applying_a_gender_lens.pdf" TargetMode="External" Type="http://schemas.openxmlformats.org/officeDocument/2006/relationships/hyperlink"/>
</Relationships>

</file>

<file path=word/_rels/header1.xml.rels><?xml version="1.0" encoding="UTF-8" standalone="yes"?>
<Relationships xmlns="http://schemas.openxmlformats.org/package/2006/relationships">
<Relationship Id="rId1" Target="media/image13.jpg" Type="http://schemas.openxmlformats.org/officeDocument/2006/relationships/image"/>
</Relationships>

</file>

<file path=word/_rels/header2.xml.rels><?xml version="1.0" encoding="UTF-8" standalone="yes"?>
<Relationships xmlns="http://schemas.openxmlformats.org/package/2006/relationships">
<Relationship Id="rId1" Target="media/image14.jpg" Type="http://schemas.openxmlformats.org/officeDocument/2006/relationships/image"/>
<Relationship Id="rId2" Target="media/image15.jpg" Type="http://schemas.openxmlformats.org/officeDocument/2006/relationships/image"/>
</Relationships>

</file>

<file path=word/charts/_rels/chart1.xml.rels><?xml version="1.0" encoding="UTF-8" standalone="yes"?>
<Relationships xmlns="http://schemas.openxmlformats.org/package/2006/relationships">
<Relationship Id="rId1" Target="style1.xml" Type="http://schemas.microsoft.com/office/2011/relationships/chartStyle"/>
<Relationship Id="rId2" Target="colors1.xml" Type="http://schemas.microsoft.com/office/2011/relationships/chartColorStyle"/>
<Relationship Id="rId3" Target="../theme/themeOverride1.xml" Type="http://schemas.openxmlformats.org/officeDocument/2006/relationships/themeOverride"/>
<Relationship Id="rId4" Target="../embeddings/Microsoft_Excel_Worksheet1.xlsx" Type="http://schemas.openxmlformats.org/officeDocument/2006/relationships/package"/>
</Relationships>

</file>

<file path=word/charts/_rels/chart2.xml.rels><?xml version="1.0" encoding="UTF-8" standalone="yes"?>
<Relationships xmlns="http://schemas.openxmlformats.org/package/2006/relationships">
<Relationship Id="rId1" Target="style2.xml" Type="http://schemas.microsoft.com/office/2011/relationships/chartStyle"/>
<Relationship Id="rId2" Target="colors2.xml" Type="http://schemas.microsoft.com/office/2011/relationships/chartColorStyle"/>
<Relationship Id="rId3" Target="../theme/themeOverride2.xml" Type="http://schemas.openxmlformats.org/officeDocument/2006/relationships/themeOverride"/>
<Relationship Id="rId4" Target="../embeddings/Microsoft_Excel_Worksheet2.xlsx" Type="http://schemas.openxmlformats.org/officeDocument/2006/relationships/package"/>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j-lt"/>
                <a:ea typeface="+mn-ea"/>
                <a:cs typeface="+mn-cs"/>
              </a:defRPr>
            </a:pPr>
            <a:r>
              <a:rPr lang="en-US" sz="1050"/>
              <a:t>All appointees to Queensland Government bodies </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pieChart>
        <c:varyColors val="1"/>
        <c:ser>
          <c:idx val="0"/>
          <c:order val="0"/>
          <c:tx>
            <c:strRef>
              <c:f>Sheet1!$B$1</c:f>
              <c:strCache>
                <c:ptCount val="1"/>
                <c:pt idx="0">
                  <c:v>All apointees to Queensland Government bodies</c:v>
                </c:pt>
              </c:strCache>
            </c:strRef>
          </c:tx>
          <c:dPt>
            <c:idx val="0"/>
            <c:bubble3D val="0"/>
            <c:spPr>
              <a:solidFill>
                <a:schemeClr val="accent6">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D5E6-404D-A295-2E141D0A4F48}"/>
              </c:ext>
            </c:extLst>
          </c:dPt>
          <c:dPt>
            <c:idx val="1"/>
            <c:bubble3D val="0"/>
            <c:spPr>
              <a:solidFill>
                <a:srgbClr val="5A5098"/>
              </a:solidFill>
              <a:ln w="19050">
                <a:solidFill>
                  <a:schemeClr val="lt1"/>
                </a:solidFill>
              </a:ln>
              <a:effectLst/>
            </c:spPr>
            <c:extLst xmlns:c16r2="http://schemas.microsoft.com/office/drawing/2015/06/chart">
              <c:ext xmlns:c16="http://schemas.microsoft.com/office/drawing/2014/chart" uri="{C3380CC4-5D6E-409C-BE32-E72D297353CC}">
                <c16:uniqueId val="{00000003-D5E6-404D-A295-2E141D0A4F48}"/>
              </c:ext>
            </c:extLst>
          </c:dPt>
          <c:dLbls>
            <c:dLbl>
              <c:idx val="1"/>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j-lt"/>
                      <a:ea typeface="+mn-ea"/>
                      <a:cs typeface="+mn-cs"/>
                    </a:defRPr>
                  </a:pPr>
                  <a:endParaRPr lang="en-US"/>
                </a:p>
              </c:txPr>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0%</c:formatCode>
                <c:ptCount val="2"/>
                <c:pt idx="0">
                  <c:v>0.51</c:v>
                </c:pt>
                <c:pt idx="1">
                  <c:v>0.49</c:v>
                </c:pt>
              </c:numCache>
            </c:numRef>
          </c:val>
          <c:extLst xmlns:c16r2="http://schemas.microsoft.com/office/drawing/2015/06/chart">
            <c:ext xmlns:c16="http://schemas.microsoft.com/office/drawing/2014/chart" uri="{C3380CC4-5D6E-409C-BE32-E72D297353CC}">
              <c16:uniqueId val="{00000004-D5E6-404D-A295-2E141D0A4F4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mj-lt"/>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AU" sz="1050">
                <a:latin typeface="+mj-lt"/>
              </a:rPr>
              <a:t>Gender representation on Queensland Government bodies</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Male</c:v>
                </c:pt>
              </c:strCache>
            </c:strRef>
          </c:tx>
          <c:spPr>
            <a:solidFill>
              <a:schemeClr val="accent6">
                <a:lumMod val="20000"/>
                <a:lumOff val="80000"/>
              </a:schemeClr>
            </a:solidFill>
            <a:ln>
              <a:noFill/>
            </a:ln>
            <a:effectLst/>
          </c:spPr>
          <c:invertIfNegative val="0"/>
          <c:dLbls>
            <c:dLbl>
              <c:idx val="1"/>
              <c:tx>
                <c:rich>
                  <a:bodyPr/>
                  <a:lstStyle/>
                  <a:p>
                    <a:r>
                      <a:rPr lang="en-US"/>
                      <a:t>54%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 July 2015</c:v>
                </c:pt>
                <c:pt idx="1">
                  <c:v> June 2018</c:v>
                </c:pt>
              </c:strCache>
            </c:strRef>
          </c:cat>
          <c:val>
            <c:numRef>
              <c:f>Sheet1!$B$2:$B$3</c:f>
              <c:numCache>
                <c:formatCode>0%</c:formatCode>
                <c:ptCount val="2"/>
                <c:pt idx="0">
                  <c:v>0.69</c:v>
                </c:pt>
                <c:pt idx="1">
                  <c:v>0.54</c:v>
                </c:pt>
              </c:numCache>
            </c:numRef>
          </c:val>
          <c:extLst xmlns:c16r2="http://schemas.microsoft.com/office/drawing/2015/06/chart">
            <c:ext xmlns:c16="http://schemas.microsoft.com/office/drawing/2014/chart" uri="{C3380CC4-5D6E-409C-BE32-E72D297353CC}">
              <c16:uniqueId val="{00000000-6F8F-4BB9-9837-F1343892214B}"/>
            </c:ext>
          </c:extLst>
        </c:ser>
        <c:ser>
          <c:idx val="1"/>
          <c:order val="1"/>
          <c:tx>
            <c:strRef>
              <c:f>Sheet1!$C$1</c:f>
              <c:strCache>
                <c:ptCount val="1"/>
                <c:pt idx="0">
                  <c:v>Female</c:v>
                </c:pt>
              </c:strCache>
            </c:strRef>
          </c:tx>
          <c:spPr>
            <a:solidFill>
              <a:srgbClr val="5A5098"/>
            </a:solidFill>
            <a:ln>
              <a:noFill/>
            </a:ln>
            <a:effectLst/>
          </c:spPr>
          <c:invertIfNegative val="0"/>
          <c:dLbls>
            <c:dLbl>
              <c:idx val="1"/>
              <c:tx>
                <c:rich>
                  <a:bodyPr/>
                  <a:lstStyle/>
                  <a:p>
                    <a:r>
                      <a:rPr lang="en-US"/>
                      <a:t>46%</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 July 2015</c:v>
                </c:pt>
                <c:pt idx="1">
                  <c:v> June 2018</c:v>
                </c:pt>
              </c:strCache>
            </c:strRef>
          </c:cat>
          <c:val>
            <c:numRef>
              <c:f>Sheet1!$C$2:$C$3</c:f>
              <c:numCache>
                <c:formatCode>0%</c:formatCode>
                <c:ptCount val="2"/>
                <c:pt idx="0">
                  <c:v>0.31</c:v>
                </c:pt>
                <c:pt idx="1">
                  <c:v>0.46</c:v>
                </c:pt>
              </c:numCache>
            </c:numRef>
          </c:val>
          <c:extLst xmlns:c16r2="http://schemas.microsoft.com/office/drawing/2015/06/chart">
            <c:ext xmlns:c16="http://schemas.microsoft.com/office/drawing/2014/chart" uri="{C3380CC4-5D6E-409C-BE32-E72D297353CC}">
              <c16:uniqueId val="{00000001-6F8F-4BB9-9837-F1343892214B}"/>
            </c:ext>
          </c:extLst>
        </c:ser>
        <c:dLbls>
          <c:showLegendKey val="0"/>
          <c:showVal val="0"/>
          <c:showCatName val="0"/>
          <c:showSerName val="0"/>
          <c:showPercent val="0"/>
          <c:showBubbleSize val="0"/>
        </c:dLbls>
        <c:gapWidth val="150"/>
        <c:overlap val="100"/>
        <c:axId val="477538280"/>
        <c:axId val="477542592"/>
      </c:barChart>
      <c:catAx>
        <c:axId val="477538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542592"/>
        <c:crosses val="autoZero"/>
        <c:auto val="1"/>
        <c:lblAlgn val="ctr"/>
        <c:lblOffset val="100"/>
        <c:noMultiLvlLbl val="0"/>
      </c:catAx>
      <c:valAx>
        <c:axId val="477542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538280"/>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4.xml.rels><?xml version="1.0" encoding="UTF-8" standalone="yes"?>
<Relationships xmlns="http://schemas.openxmlformats.org/package/2006/relationships">
<Relationship Id="rId1" Target="../media/image9.jpeg" Type="http://schemas.openxmlformats.org/officeDocument/2006/relationships/image"/>
</Relationships>

</file>

<file path=word/diagrams/_rels/drawing3.xml.rels><?xml version="1.0" encoding="UTF-8" standalone="yes"?>
<Relationships xmlns="http://schemas.openxmlformats.org/package/2006/relationships">
<Relationship Id="rId1" Target="../media/image9.jpeg" Type="http://schemas.openxmlformats.org/officeDocument/2006/relationships/image"/>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2BE3D7-C789-412C-A904-AC50282F52DB}" type="doc">
      <dgm:prSet loTypeId="urn:microsoft.com/office/officeart/2005/8/layout/cycle8" loCatId="cycle" qsTypeId="urn:microsoft.com/office/officeart/2005/8/quickstyle/simple1" qsCatId="simple" csTypeId="urn:microsoft.com/office/officeart/2005/8/colors/accent1_2" csCatId="accent1" phldr="1"/>
      <dgm:spPr/>
    </dgm:pt>
    <dgm:pt modelId="{9026B367-376E-492C-996F-E02A9FD57758}">
      <dgm:prSet phldrT="[Text]" custT="1"/>
      <dgm:spPr>
        <a:xfrm>
          <a:off x="438357" y="116873"/>
          <a:ext cx="2393751" cy="2377093"/>
        </a:xfrm>
        <a:solidFill>
          <a:srgbClr val="5A5098"/>
        </a:solidFill>
        <a:ln w="12700" cap="flat" cmpd="sng" algn="ctr">
          <a:solidFill>
            <a:srgbClr val="E6E7F2"/>
          </a:solidFill>
          <a:prstDash val="solid"/>
          <a:miter lim="800000"/>
        </a:ln>
        <a:effectLst/>
      </dgm:spPr>
      <dgm:t>
        <a:bodyPr/>
        <a:lstStyle/>
        <a:p>
          <a:pPr algn="ctr"/>
          <a:r>
            <a:rPr lang="en-AU" sz="1000" b="1">
              <a:solidFill>
                <a:sysClr val="window" lastClr="FFFFFF"/>
              </a:solidFill>
              <a:latin typeface="Calibri Light" panose="020F0302020204030204"/>
              <a:ea typeface="+mn-ea"/>
              <a:cs typeface="+mn-cs"/>
            </a:rPr>
            <a:t>Assess a given situation for gender equality issues</a:t>
          </a:r>
        </a:p>
      </dgm:t>
    </dgm:pt>
    <dgm:pt modelId="{E4ADC38D-5C8A-4D3B-96B9-55D9CDAD3483}" type="parTrans" cxnId="{BDF2D259-6C71-4D59-B3FA-8CF7F8AD58D9}">
      <dgm:prSet/>
      <dgm:spPr/>
      <dgm:t>
        <a:bodyPr/>
        <a:lstStyle/>
        <a:p>
          <a:pPr algn="ctr"/>
          <a:endParaRPr lang="en-AU"/>
        </a:p>
      </dgm:t>
    </dgm:pt>
    <dgm:pt modelId="{8FE606B3-FFF5-45FE-BBA1-5DEA53E81531}" type="sibTrans" cxnId="{BDF2D259-6C71-4D59-B3FA-8CF7F8AD58D9}">
      <dgm:prSet/>
      <dgm:spPr/>
      <dgm:t>
        <a:bodyPr/>
        <a:lstStyle/>
        <a:p>
          <a:pPr algn="ctr"/>
          <a:endParaRPr lang="en-AU"/>
        </a:p>
      </dgm:t>
    </dgm:pt>
    <dgm:pt modelId="{627C79AB-4A14-497B-92C5-A7432682FABF}">
      <dgm:prSet phldrT="[Text]" custT="1"/>
      <dgm:spPr>
        <a:xfrm>
          <a:off x="345650" y="138874"/>
          <a:ext cx="2386962" cy="2333091"/>
        </a:xfrm>
        <a:solidFill>
          <a:srgbClr val="5A5098"/>
        </a:solidFill>
        <a:ln w="12700" cap="flat" cmpd="sng" algn="ctr">
          <a:solidFill>
            <a:sysClr val="window" lastClr="FFFFFF">
              <a:hueOff val="0"/>
              <a:satOff val="0"/>
              <a:lumOff val="0"/>
              <a:alphaOff val="0"/>
            </a:sysClr>
          </a:solidFill>
          <a:prstDash val="solid"/>
          <a:miter lim="800000"/>
        </a:ln>
        <a:effectLst/>
      </dgm:spPr>
      <dgm:t>
        <a:bodyPr/>
        <a:lstStyle/>
        <a:p>
          <a:pPr algn="ctr"/>
          <a:r>
            <a:rPr lang="en-AU" sz="1000" b="1">
              <a:solidFill>
                <a:sysClr val="window" lastClr="FFFFFF"/>
              </a:solidFill>
              <a:latin typeface="Calibri Light" panose="020F0302020204030204"/>
              <a:ea typeface="+mn-ea"/>
              <a:cs typeface="+mn-cs"/>
            </a:rPr>
            <a:t>Redress gender inequalities</a:t>
          </a:r>
        </a:p>
      </dgm:t>
    </dgm:pt>
    <dgm:pt modelId="{27AE0A7F-0FC8-49C5-8F42-7EE3C71540A8}" type="parTrans" cxnId="{FF63C01C-0755-4B6D-8679-D91694F74266}">
      <dgm:prSet/>
      <dgm:spPr/>
      <dgm:t>
        <a:bodyPr/>
        <a:lstStyle/>
        <a:p>
          <a:pPr algn="ctr"/>
          <a:endParaRPr lang="en-AU"/>
        </a:p>
      </dgm:t>
    </dgm:pt>
    <dgm:pt modelId="{DB27B6C5-0BCD-45D5-9B08-7CB952F0DA2D}" type="sibTrans" cxnId="{FF63C01C-0755-4B6D-8679-D91694F74266}">
      <dgm:prSet/>
      <dgm:spPr/>
      <dgm:t>
        <a:bodyPr/>
        <a:lstStyle/>
        <a:p>
          <a:pPr algn="ctr"/>
          <a:endParaRPr lang="en-AU"/>
        </a:p>
      </dgm:t>
    </dgm:pt>
    <dgm:pt modelId="{2A2EDE3B-1367-4D02-8100-0F75D43F6DF1}">
      <dgm:prSet phldrT="[Text]" custT="1"/>
      <dgm:spPr>
        <a:xfrm>
          <a:off x="312602" y="93844"/>
          <a:ext cx="2549159" cy="2589801"/>
        </a:xfrm>
        <a:solidFill>
          <a:srgbClr val="5A5098"/>
        </a:solidFill>
        <a:ln w="12700" cap="flat" cmpd="sng" algn="ctr">
          <a:solidFill>
            <a:sysClr val="window" lastClr="FFFFFF">
              <a:hueOff val="0"/>
              <a:satOff val="0"/>
              <a:lumOff val="0"/>
              <a:alphaOff val="0"/>
            </a:sysClr>
          </a:solidFill>
          <a:prstDash val="solid"/>
          <a:miter lim="800000"/>
        </a:ln>
        <a:effectLst/>
      </dgm:spPr>
      <dgm:t>
        <a:bodyPr/>
        <a:lstStyle/>
        <a:p>
          <a:pPr algn="ctr"/>
          <a:r>
            <a:rPr lang="en-AU" sz="1000" b="1">
              <a:solidFill>
                <a:sysClr val="window" lastClr="FFFFFF"/>
              </a:solidFill>
              <a:uFillTx/>
              <a:latin typeface="Calibri Light" panose="020F0302020204030204"/>
              <a:ea typeface="+mn-ea"/>
              <a:cs typeface="+mn-cs"/>
            </a:rPr>
            <a:t>Develop responses to close key gender gaps</a:t>
          </a:r>
          <a:endParaRPr lang="en-AU" sz="1000" b="1">
            <a:solidFill>
              <a:sysClr val="window" lastClr="FFFFFF"/>
            </a:solidFill>
            <a:latin typeface="Calibri Light" panose="020F0302020204030204"/>
            <a:ea typeface="+mn-ea"/>
            <a:cs typeface="+mn-cs"/>
          </a:endParaRPr>
        </a:p>
      </dgm:t>
    </dgm:pt>
    <dgm:pt modelId="{D9924311-04E7-44B3-A63B-EECECFE2832C}" type="sibTrans" cxnId="{D30701AE-2014-4183-B4D8-F6FD61ECC954}">
      <dgm:prSet/>
      <dgm:spPr/>
      <dgm:t>
        <a:bodyPr/>
        <a:lstStyle/>
        <a:p>
          <a:pPr algn="ctr"/>
          <a:endParaRPr lang="en-AU"/>
        </a:p>
      </dgm:t>
    </dgm:pt>
    <dgm:pt modelId="{450645E2-4192-4F85-8A9A-DCF1A0BB7F65}" type="parTrans" cxnId="{D30701AE-2014-4183-B4D8-F6FD61ECC954}">
      <dgm:prSet/>
      <dgm:spPr/>
      <dgm:t>
        <a:bodyPr/>
        <a:lstStyle/>
        <a:p>
          <a:pPr algn="ctr"/>
          <a:endParaRPr lang="en-AU"/>
        </a:p>
      </dgm:t>
    </dgm:pt>
    <dgm:pt modelId="{425EE640-BC7C-44A8-A034-60185251D3AE}" type="pres">
      <dgm:prSet presAssocID="{922BE3D7-C789-412C-A904-AC50282F52DB}" presName="compositeShape" presStyleCnt="0">
        <dgm:presLayoutVars>
          <dgm:chMax val="7"/>
          <dgm:dir/>
          <dgm:resizeHandles val="exact"/>
        </dgm:presLayoutVars>
      </dgm:prSet>
      <dgm:spPr/>
    </dgm:pt>
    <dgm:pt modelId="{6702C0A8-D2C6-4567-BE76-AF5742DF8E88}" type="pres">
      <dgm:prSet presAssocID="{922BE3D7-C789-412C-A904-AC50282F52DB}" presName="wedge1" presStyleLbl="node1" presStyleIdx="0" presStyleCnt="3" custScaleX="102600" custScaleY="101886"/>
      <dgm:spPr>
        <a:prstGeom prst="pie">
          <a:avLst>
            <a:gd name="adj1" fmla="val 16200000"/>
            <a:gd name="adj2" fmla="val 1800000"/>
          </a:avLst>
        </a:prstGeom>
      </dgm:spPr>
      <dgm:t>
        <a:bodyPr/>
        <a:lstStyle/>
        <a:p>
          <a:endParaRPr lang="en-AU"/>
        </a:p>
      </dgm:t>
    </dgm:pt>
    <dgm:pt modelId="{4DB03504-4C1D-42B0-84C2-8D427342DDF9}" type="pres">
      <dgm:prSet presAssocID="{922BE3D7-C789-412C-A904-AC50282F52DB}" presName="dummy1a" presStyleCnt="0"/>
      <dgm:spPr/>
    </dgm:pt>
    <dgm:pt modelId="{26377EA3-7160-456B-9669-0193D9314E5C}" type="pres">
      <dgm:prSet presAssocID="{922BE3D7-C789-412C-A904-AC50282F52DB}" presName="dummy1b" presStyleCnt="0"/>
      <dgm:spPr/>
    </dgm:pt>
    <dgm:pt modelId="{ECDE936E-4841-4B7A-A70B-A0FB5CED0BD8}" type="pres">
      <dgm:prSet presAssocID="{922BE3D7-C789-412C-A904-AC50282F52DB}" presName="wedge1Tx" presStyleLbl="node1" presStyleIdx="0" presStyleCnt="3">
        <dgm:presLayoutVars>
          <dgm:chMax val="0"/>
          <dgm:chPref val="0"/>
          <dgm:bulletEnabled val="1"/>
        </dgm:presLayoutVars>
      </dgm:prSet>
      <dgm:spPr/>
      <dgm:t>
        <a:bodyPr/>
        <a:lstStyle/>
        <a:p>
          <a:endParaRPr lang="en-AU"/>
        </a:p>
      </dgm:t>
    </dgm:pt>
    <dgm:pt modelId="{B96D7E1C-01C7-43F3-97FB-666B1B87164F}" type="pres">
      <dgm:prSet presAssocID="{922BE3D7-C789-412C-A904-AC50282F52DB}" presName="wedge2" presStyleLbl="node1" presStyleIdx="1" presStyleCnt="3" custScaleX="109261" custScaleY="111003"/>
      <dgm:spPr>
        <a:prstGeom prst="pie">
          <a:avLst>
            <a:gd name="adj1" fmla="val 1800000"/>
            <a:gd name="adj2" fmla="val 9000000"/>
          </a:avLst>
        </a:prstGeom>
      </dgm:spPr>
      <dgm:t>
        <a:bodyPr/>
        <a:lstStyle/>
        <a:p>
          <a:endParaRPr lang="en-AU"/>
        </a:p>
      </dgm:t>
    </dgm:pt>
    <dgm:pt modelId="{187CD599-14A6-4B78-8602-FB960BAF4C04}" type="pres">
      <dgm:prSet presAssocID="{922BE3D7-C789-412C-A904-AC50282F52DB}" presName="dummy2a" presStyleCnt="0"/>
      <dgm:spPr/>
    </dgm:pt>
    <dgm:pt modelId="{B1242938-D0FD-406C-AE36-C8D68F21D2CB}" type="pres">
      <dgm:prSet presAssocID="{922BE3D7-C789-412C-A904-AC50282F52DB}" presName="dummy2b" presStyleCnt="0"/>
      <dgm:spPr/>
    </dgm:pt>
    <dgm:pt modelId="{80BD7B6A-75C2-45EE-AAB3-32540EBACC08}" type="pres">
      <dgm:prSet presAssocID="{922BE3D7-C789-412C-A904-AC50282F52DB}" presName="wedge2Tx" presStyleLbl="node1" presStyleIdx="1" presStyleCnt="3">
        <dgm:presLayoutVars>
          <dgm:chMax val="0"/>
          <dgm:chPref val="0"/>
          <dgm:bulletEnabled val="1"/>
        </dgm:presLayoutVars>
      </dgm:prSet>
      <dgm:spPr/>
      <dgm:t>
        <a:bodyPr/>
        <a:lstStyle/>
        <a:p>
          <a:endParaRPr lang="en-AU"/>
        </a:p>
      </dgm:t>
    </dgm:pt>
    <dgm:pt modelId="{C027334C-31E2-4F59-8FF4-50DAA5B987A8}" type="pres">
      <dgm:prSet presAssocID="{922BE3D7-C789-412C-A904-AC50282F52DB}" presName="wedge3" presStyleLbl="node1" presStyleIdx="2" presStyleCnt="3" custScaleX="102309"/>
      <dgm:spPr>
        <a:prstGeom prst="pie">
          <a:avLst>
            <a:gd name="adj1" fmla="val 9000000"/>
            <a:gd name="adj2" fmla="val 16200000"/>
          </a:avLst>
        </a:prstGeom>
      </dgm:spPr>
      <dgm:t>
        <a:bodyPr/>
        <a:lstStyle/>
        <a:p>
          <a:endParaRPr lang="en-AU"/>
        </a:p>
      </dgm:t>
    </dgm:pt>
    <dgm:pt modelId="{5F6FB537-6D35-4651-B563-7A3B66A3B76A}" type="pres">
      <dgm:prSet presAssocID="{922BE3D7-C789-412C-A904-AC50282F52DB}" presName="dummy3a" presStyleCnt="0"/>
      <dgm:spPr/>
    </dgm:pt>
    <dgm:pt modelId="{DD4FB019-46D4-4847-8C20-EEE7C92D1F34}" type="pres">
      <dgm:prSet presAssocID="{922BE3D7-C789-412C-A904-AC50282F52DB}" presName="dummy3b" presStyleCnt="0"/>
      <dgm:spPr/>
    </dgm:pt>
    <dgm:pt modelId="{BCB873E1-B46C-4DEA-B0DC-74C102A665CC}" type="pres">
      <dgm:prSet presAssocID="{922BE3D7-C789-412C-A904-AC50282F52DB}" presName="wedge3Tx" presStyleLbl="node1" presStyleIdx="2" presStyleCnt="3">
        <dgm:presLayoutVars>
          <dgm:chMax val="0"/>
          <dgm:chPref val="0"/>
          <dgm:bulletEnabled val="1"/>
        </dgm:presLayoutVars>
      </dgm:prSet>
      <dgm:spPr/>
      <dgm:t>
        <a:bodyPr/>
        <a:lstStyle/>
        <a:p>
          <a:endParaRPr lang="en-AU"/>
        </a:p>
      </dgm:t>
    </dgm:pt>
    <dgm:pt modelId="{4FB37DFB-E3EE-4A61-8B6C-B5C6AD28BB2A}" type="pres">
      <dgm:prSet presAssocID="{8FE606B3-FFF5-45FE-BBA1-5DEA53E81531}" presName="arrowWedge1" presStyleLbl="fgSibTrans2D1" presStyleIdx="0" presStyleCnt="3"/>
      <dgm:spPr>
        <a:xfrm>
          <a:off x="323982" y="-5894"/>
          <a:ext cx="2621950" cy="2621950"/>
        </a:xfrm>
        <a:prstGeom prst="circularArrow">
          <a:avLst>
            <a:gd name="adj1" fmla="val 5085"/>
            <a:gd name="adj2" fmla="val 327528"/>
            <a:gd name="adj3" fmla="val 1472472"/>
            <a:gd name="adj4" fmla="val 16199432"/>
            <a:gd name="adj5" fmla="val 5932"/>
          </a:avLst>
        </a:prstGeom>
        <a:solidFill>
          <a:srgbClr val="D1D3E7"/>
        </a:solidFill>
        <a:ln>
          <a:solidFill>
            <a:srgbClr val="5A5098"/>
          </a:solidFill>
        </a:ln>
        <a:effectLst/>
      </dgm:spPr>
    </dgm:pt>
    <dgm:pt modelId="{69C1655B-9ABE-49C9-81F6-E424C5204B36}" type="pres">
      <dgm:prSet presAssocID="{D9924311-04E7-44B3-A63B-EECECFE2832C}" presName="arrowWedge2" presStyleLbl="fgSibTrans2D1" presStyleIdx="1" presStyleCnt="3" custScaleX="103663" custScaleY="103834" custLinFactNeighborX="0" custLinFactNeighborY="1137"/>
      <dgm:spPr>
        <a:xfrm>
          <a:off x="226519" y="55190"/>
          <a:ext cx="2717992" cy="2722476"/>
        </a:xfrm>
        <a:prstGeom prst="circularArrow">
          <a:avLst>
            <a:gd name="adj1" fmla="val 5085"/>
            <a:gd name="adj2" fmla="val 327528"/>
            <a:gd name="adj3" fmla="val 8671970"/>
            <a:gd name="adj4" fmla="val 1800502"/>
            <a:gd name="adj5" fmla="val 5932"/>
          </a:avLst>
        </a:prstGeom>
        <a:solidFill>
          <a:srgbClr val="D1D3E7"/>
        </a:solidFill>
        <a:ln>
          <a:solidFill>
            <a:srgbClr val="5A5098"/>
          </a:solidFill>
        </a:ln>
        <a:effectLst/>
      </dgm:spPr>
    </dgm:pt>
    <dgm:pt modelId="{314AA38F-E9D4-42E1-9634-8B622C9C4695}" type="pres">
      <dgm:prSet presAssocID="{DB27B6C5-0BCD-45D5-9B08-7CB952F0DA2D}" presName="arrowWedge3" presStyleLbl="fgSibTrans2D1" presStyleIdx="2" presStyleCnt="3"/>
      <dgm:spPr>
        <a:xfrm>
          <a:off x="227548" y="-5554"/>
          <a:ext cx="2621950" cy="2621950"/>
        </a:xfrm>
        <a:prstGeom prst="circularArrow">
          <a:avLst>
            <a:gd name="adj1" fmla="val 5085"/>
            <a:gd name="adj2" fmla="val 327528"/>
            <a:gd name="adj3" fmla="val 15873039"/>
            <a:gd name="adj4" fmla="val 9000000"/>
            <a:gd name="adj5" fmla="val 5932"/>
          </a:avLst>
        </a:prstGeom>
        <a:solidFill>
          <a:srgbClr val="D1D3E7"/>
        </a:solidFill>
        <a:ln>
          <a:solidFill>
            <a:srgbClr val="5A5098"/>
          </a:solidFill>
        </a:ln>
        <a:effectLst/>
      </dgm:spPr>
    </dgm:pt>
  </dgm:ptLst>
  <dgm:cxnLst>
    <dgm:cxn modelId="{BDF2D259-6C71-4D59-B3FA-8CF7F8AD58D9}" srcId="{922BE3D7-C789-412C-A904-AC50282F52DB}" destId="{9026B367-376E-492C-996F-E02A9FD57758}" srcOrd="0" destOrd="0" parTransId="{E4ADC38D-5C8A-4D3B-96B9-55D9CDAD3483}" sibTransId="{8FE606B3-FFF5-45FE-BBA1-5DEA53E81531}"/>
    <dgm:cxn modelId="{55676F64-A08B-4092-9B20-9B2EDB421E71}" type="presOf" srcId="{9026B367-376E-492C-996F-E02A9FD57758}" destId="{6702C0A8-D2C6-4567-BE76-AF5742DF8E88}" srcOrd="0" destOrd="0" presId="urn:microsoft.com/office/officeart/2005/8/layout/cycle8"/>
    <dgm:cxn modelId="{30B72E26-0034-4534-8FCC-6BEB5C5BFC95}" type="presOf" srcId="{627C79AB-4A14-497B-92C5-A7432682FABF}" destId="{BCB873E1-B46C-4DEA-B0DC-74C102A665CC}" srcOrd="1" destOrd="0" presId="urn:microsoft.com/office/officeart/2005/8/layout/cycle8"/>
    <dgm:cxn modelId="{EF333457-C05C-421B-AE63-9A4CE25020CA}" type="presOf" srcId="{2A2EDE3B-1367-4D02-8100-0F75D43F6DF1}" destId="{B96D7E1C-01C7-43F3-97FB-666B1B87164F}" srcOrd="0" destOrd="0" presId="urn:microsoft.com/office/officeart/2005/8/layout/cycle8"/>
    <dgm:cxn modelId="{E1C3EEBF-8867-4546-9CFB-CEC41EB0C95B}" type="presOf" srcId="{627C79AB-4A14-497B-92C5-A7432682FABF}" destId="{C027334C-31E2-4F59-8FF4-50DAA5B987A8}" srcOrd="0" destOrd="0" presId="urn:microsoft.com/office/officeart/2005/8/layout/cycle8"/>
    <dgm:cxn modelId="{29FD0169-5D60-4C34-8E95-242E5BD18532}" type="presOf" srcId="{2A2EDE3B-1367-4D02-8100-0F75D43F6DF1}" destId="{80BD7B6A-75C2-45EE-AAB3-32540EBACC08}" srcOrd="1" destOrd="0" presId="urn:microsoft.com/office/officeart/2005/8/layout/cycle8"/>
    <dgm:cxn modelId="{D30701AE-2014-4183-B4D8-F6FD61ECC954}" srcId="{922BE3D7-C789-412C-A904-AC50282F52DB}" destId="{2A2EDE3B-1367-4D02-8100-0F75D43F6DF1}" srcOrd="1" destOrd="0" parTransId="{450645E2-4192-4F85-8A9A-DCF1A0BB7F65}" sibTransId="{D9924311-04E7-44B3-A63B-EECECFE2832C}"/>
    <dgm:cxn modelId="{1A41B4B7-04AF-4BD3-9954-C63D5C544F0D}" type="presOf" srcId="{9026B367-376E-492C-996F-E02A9FD57758}" destId="{ECDE936E-4841-4B7A-A70B-A0FB5CED0BD8}" srcOrd="1" destOrd="0" presId="urn:microsoft.com/office/officeart/2005/8/layout/cycle8"/>
    <dgm:cxn modelId="{3350A27C-9C60-49AC-BA22-86F7C002FB39}" type="presOf" srcId="{922BE3D7-C789-412C-A904-AC50282F52DB}" destId="{425EE640-BC7C-44A8-A034-60185251D3AE}" srcOrd="0" destOrd="0" presId="urn:microsoft.com/office/officeart/2005/8/layout/cycle8"/>
    <dgm:cxn modelId="{FF63C01C-0755-4B6D-8679-D91694F74266}" srcId="{922BE3D7-C789-412C-A904-AC50282F52DB}" destId="{627C79AB-4A14-497B-92C5-A7432682FABF}" srcOrd="2" destOrd="0" parTransId="{27AE0A7F-0FC8-49C5-8F42-7EE3C71540A8}" sibTransId="{DB27B6C5-0BCD-45D5-9B08-7CB952F0DA2D}"/>
    <dgm:cxn modelId="{60238AB4-DF87-41DA-B7C5-C5C1ECE55DDC}" type="presParOf" srcId="{425EE640-BC7C-44A8-A034-60185251D3AE}" destId="{6702C0A8-D2C6-4567-BE76-AF5742DF8E88}" srcOrd="0" destOrd="0" presId="urn:microsoft.com/office/officeart/2005/8/layout/cycle8"/>
    <dgm:cxn modelId="{C123E010-89C4-4DFB-866F-8BB6C402B6ED}" type="presParOf" srcId="{425EE640-BC7C-44A8-A034-60185251D3AE}" destId="{4DB03504-4C1D-42B0-84C2-8D427342DDF9}" srcOrd="1" destOrd="0" presId="urn:microsoft.com/office/officeart/2005/8/layout/cycle8"/>
    <dgm:cxn modelId="{73DC935A-B3D3-4675-981E-3F163A0DC2C6}" type="presParOf" srcId="{425EE640-BC7C-44A8-A034-60185251D3AE}" destId="{26377EA3-7160-456B-9669-0193D9314E5C}" srcOrd="2" destOrd="0" presId="urn:microsoft.com/office/officeart/2005/8/layout/cycle8"/>
    <dgm:cxn modelId="{71F876F0-5395-41C1-A1A5-77E17F96B187}" type="presParOf" srcId="{425EE640-BC7C-44A8-A034-60185251D3AE}" destId="{ECDE936E-4841-4B7A-A70B-A0FB5CED0BD8}" srcOrd="3" destOrd="0" presId="urn:microsoft.com/office/officeart/2005/8/layout/cycle8"/>
    <dgm:cxn modelId="{1A61A563-F89B-4143-B9FE-BB95372DEE99}" type="presParOf" srcId="{425EE640-BC7C-44A8-A034-60185251D3AE}" destId="{B96D7E1C-01C7-43F3-97FB-666B1B87164F}" srcOrd="4" destOrd="0" presId="urn:microsoft.com/office/officeart/2005/8/layout/cycle8"/>
    <dgm:cxn modelId="{A144368A-3A4B-4E6F-B4C9-04333A780829}" type="presParOf" srcId="{425EE640-BC7C-44A8-A034-60185251D3AE}" destId="{187CD599-14A6-4B78-8602-FB960BAF4C04}" srcOrd="5" destOrd="0" presId="urn:microsoft.com/office/officeart/2005/8/layout/cycle8"/>
    <dgm:cxn modelId="{50DC10BF-A389-4E3E-AE03-2AB446E97DC1}" type="presParOf" srcId="{425EE640-BC7C-44A8-A034-60185251D3AE}" destId="{B1242938-D0FD-406C-AE36-C8D68F21D2CB}" srcOrd="6" destOrd="0" presId="urn:microsoft.com/office/officeart/2005/8/layout/cycle8"/>
    <dgm:cxn modelId="{51C88A51-BFAE-4A28-9B09-2E5834D850FB}" type="presParOf" srcId="{425EE640-BC7C-44A8-A034-60185251D3AE}" destId="{80BD7B6A-75C2-45EE-AAB3-32540EBACC08}" srcOrd="7" destOrd="0" presId="urn:microsoft.com/office/officeart/2005/8/layout/cycle8"/>
    <dgm:cxn modelId="{904E8CF9-88C1-429C-8B7C-AC201EA82E74}" type="presParOf" srcId="{425EE640-BC7C-44A8-A034-60185251D3AE}" destId="{C027334C-31E2-4F59-8FF4-50DAA5B987A8}" srcOrd="8" destOrd="0" presId="urn:microsoft.com/office/officeart/2005/8/layout/cycle8"/>
    <dgm:cxn modelId="{EDA012A2-2016-44DB-8A9C-C5E7AF6F0DCB}" type="presParOf" srcId="{425EE640-BC7C-44A8-A034-60185251D3AE}" destId="{5F6FB537-6D35-4651-B563-7A3B66A3B76A}" srcOrd="9" destOrd="0" presId="urn:microsoft.com/office/officeart/2005/8/layout/cycle8"/>
    <dgm:cxn modelId="{3D42731D-5F61-4961-A273-8E720936BF9F}" type="presParOf" srcId="{425EE640-BC7C-44A8-A034-60185251D3AE}" destId="{DD4FB019-46D4-4847-8C20-EEE7C92D1F34}" srcOrd="10" destOrd="0" presId="urn:microsoft.com/office/officeart/2005/8/layout/cycle8"/>
    <dgm:cxn modelId="{B29BD263-B7EB-4FBE-A469-C9CAA4D73C0F}" type="presParOf" srcId="{425EE640-BC7C-44A8-A034-60185251D3AE}" destId="{BCB873E1-B46C-4DEA-B0DC-74C102A665CC}" srcOrd="11" destOrd="0" presId="urn:microsoft.com/office/officeart/2005/8/layout/cycle8"/>
    <dgm:cxn modelId="{6DF805B3-9931-4147-89B0-401600F4AF15}" type="presParOf" srcId="{425EE640-BC7C-44A8-A034-60185251D3AE}" destId="{4FB37DFB-E3EE-4A61-8B6C-B5C6AD28BB2A}" srcOrd="12" destOrd="0" presId="urn:microsoft.com/office/officeart/2005/8/layout/cycle8"/>
    <dgm:cxn modelId="{3E828F20-5482-4503-9A79-9A613AD21B49}" type="presParOf" srcId="{425EE640-BC7C-44A8-A034-60185251D3AE}" destId="{69C1655B-9ABE-49C9-81F6-E424C5204B36}" srcOrd="13" destOrd="0" presId="urn:microsoft.com/office/officeart/2005/8/layout/cycle8"/>
    <dgm:cxn modelId="{5625891C-97DC-43C6-8396-6E419A0D75AA}" type="presParOf" srcId="{425EE640-BC7C-44A8-A034-60185251D3AE}" destId="{314AA38F-E9D4-42E1-9634-8B622C9C4695}" srcOrd="14"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1F7DAE7-5BFA-4E17-A346-BAA8376A2E16}" type="doc">
      <dgm:prSet loTypeId="urn:microsoft.com/office/officeart/2005/8/layout/hProcess7" loCatId="process" qsTypeId="urn:microsoft.com/office/officeart/2005/8/quickstyle/simple1" qsCatId="simple" csTypeId="urn:microsoft.com/office/officeart/2005/8/colors/accent1_2" csCatId="accent1" phldr="1"/>
      <dgm:spPr/>
      <dgm:t>
        <a:bodyPr/>
        <a:lstStyle/>
        <a:p>
          <a:endParaRPr lang="en-AU"/>
        </a:p>
      </dgm:t>
    </dgm:pt>
    <dgm:pt modelId="{73B2AEAF-1C98-483C-8FE9-1EB760D23765}">
      <dgm:prSet phldrT="[Text]"/>
      <dgm:spPr>
        <a:xfrm>
          <a:off x="2258" y="0"/>
          <a:ext cx="2533538" cy="1470991"/>
        </a:xfrm>
        <a:noFill/>
        <a:ln w="12700" cap="flat" cmpd="sng" algn="ctr">
          <a:solidFill>
            <a:srgbClr val="70AD47">
              <a:lumMod val="20000"/>
              <a:lumOff val="80000"/>
            </a:srgbClr>
          </a:solidFill>
          <a:prstDash val="solid"/>
          <a:miter lim="800000"/>
        </a:ln>
        <a:effectLst/>
      </dgm:spPr>
      <dgm:t>
        <a:bodyPr/>
        <a:lstStyle/>
        <a:p>
          <a:endParaRPr lang="en-AU">
            <a:solidFill>
              <a:sysClr val="window" lastClr="FFFFFF"/>
            </a:solidFill>
            <a:latin typeface="Calibri" panose="020F0502020204030204"/>
            <a:ea typeface="+mn-ea"/>
            <a:cs typeface="+mn-cs"/>
          </a:endParaRPr>
        </a:p>
      </dgm:t>
    </dgm:pt>
    <dgm:pt modelId="{7888CA8F-DCE1-4043-8615-24658B2E96D1}" type="parTrans" cxnId="{7176BAD1-C8AA-4731-A0B4-C55257E3EEAC}">
      <dgm:prSet/>
      <dgm:spPr/>
      <dgm:t>
        <a:bodyPr/>
        <a:lstStyle/>
        <a:p>
          <a:endParaRPr lang="en-AU"/>
        </a:p>
      </dgm:t>
    </dgm:pt>
    <dgm:pt modelId="{469EE93D-CCBB-4219-B205-F0135320E231}" type="sibTrans" cxnId="{7176BAD1-C8AA-4731-A0B4-C55257E3EEAC}">
      <dgm:prSet/>
      <dgm:spPr/>
      <dgm:t>
        <a:bodyPr/>
        <a:lstStyle/>
        <a:p>
          <a:endParaRPr lang="en-AU"/>
        </a:p>
      </dgm:t>
    </dgm:pt>
    <dgm:pt modelId="{60339268-E571-4D14-9011-05A0305D47A9}">
      <dgm:prSet phldrT="[Text]"/>
      <dgm:spPr>
        <a:xfrm>
          <a:off x="3141103" y="0"/>
          <a:ext cx="2533538" cy="1470991"/>
        </a:xfrm>
        <a:solidFill>
          <a:srgbClr val="EEF7E9"/>
        </a:solidFill>
        <a:ln w="12700" cap="flat" cmpd="sng" algn="ctr">
          <a:noFill/>
          <a:prstDash val="solid"/>
          <a:miter lim="800000"/>
        </a:ln>
        <a:effectLst/>
      </dgm:spPr>
      <dgm:t>
        <a:bodyPr/>
        <a:lstStyle/>
        <a:p>
          <a:endParaRPr lang="en-AU">
            <a:solidFill>
              <a:sysClr val="window" lastClr="FFFFFF"/>
            </a:solidFill>
            <a:latin typeface="Calibri" panose="020F0502020204030204"/>
            <a:ea typeface="+mn-ea"/>
            <a:cs typeface="+mn-cs"/>
          </a:endParaRPr>
        </a:p>
      </dgm:t>
    </dgm:pt>
    <dgm:pt modelId="{3F35929E-0D1A-49A6-B830-98BA70460034}" type="parTrans" cxnId="{1F9B48E3-8280-489F-B6FC-0E3243521985}">
      <dgm:prSet/>
      <dgm:spPr/>
      <dgm:t>
        <a:bodyPr/>
        <a:lstStyle/>
        <a:p>
          <a:endParaRPr lang="en-AU"/>
        </a:p>
      </dgm:t>
    </dgm:pt>
    <dgm:pt modelId="{8351FD1E-E9D3-463F-9EDF-F0828D6072D4}" type="sibTrans" cxnId="{1F9B48E3-8280-489F-B6FC-0E3243521985}">
      <dgm:prSet/>
      <dgm:spPr/>
      <dgm:t>
        <a:bodyPr/>
        <a:lstStyle/>
        <a:p>
          <a:endParaRPr lang="en-AU"/>
        </a:p>
      </dgm:t>
    </dgm:pt>
    <dgm:pt modelId="{1961C0D7-DFF6-44CD-8E79-D1F3440BA45E}">
      <dgm:prSet phldrT="[Text]" custT="1"/>
      <dgm:spPr>
        <a:xfrm>
          <a:off x="3647811" y="0"/>
          <a:ext cx="1887486" cy="1470991"/>
        </a:xfrm>
        <a:noFill/>
        <a:ln w="12700" cap="flat" cmpd="sng" algn="ctr">
          <a:noFill/>
          <a:prstDash val="solid"/>
          <a:miter lim="800000"/>
        </a:ln>
        <a:effectLst/>
        <a:sp3d/>
      </dgm:spPr>
      <dgm:t>
        <a:bodyPr/>
        <a:lstStyle/>
        <a:p>
          <a:pPr algn="l"/>
          <a:endParaRPr lang="en-AU" sz="1100">
            <a:solidFill>
              <a:sysClr val="windowText" lastClr="000000"/>
            </a:solidFill>
            <a:latin typeface="Calibri" panose="020F0502020204030204"/>
            <a:ea typeface="+mn-ea"/>
            <a:cs typeface="+mn-cs"/>
          </a:endParaRPr>
        </a:p>
        <a:p>
          <a:pPr algn="l"/>
          <a:r>
            <a:rPr lang="en-AU" sz="1100">
              <a:solidFill>
                <a:sysClr val="windowText" lastClr="000000"/>
              </a:solidFill>
              <a:latin typeface="Calibri" panose="020F0502020204030204"/>
              <a:ea typeface="+mn-ea"/>
              <a:cs typeface="+mn-cs"/>
            </a:rPr>
            <a:t>Call out tokenism. Take steps to find allies and build support for the woman both within and outside the committee or board (for example, with a mentor, specific support person or a reference group).</a:t>
          </a:r>
        </a:p>
      </dgm:t>
    </dgm:pt>
    <dgm:pt modelId="{EC20F96D-E469-4C50-A48D-88F04D1D4A73}" type="parTrans" cxnId="{002BEF68-F311-4FF4-913B-55E51DFB612B}">
      <dgm:prSet/>
      <dgm:spPr/>
      <dgm:t>
        <a:bodyPr/>
        <a:lstStyle/>
        <a:p>
          <a:endParaRPr lang="en-AU"/>
        </a:p>
      </dgm:t>
    </dgm:pt>
    <dgm:pt modelId="{50C04975-8400-4FC2-9B9E-43F4659524C7}" type="sibTrans" cxnId="{002BEF68-F311-4FF4-913B-55E51DFB612B}">
      <dgm:prSet/>
      <dgm:spPr/>
      <dgm:t>
        <a:bodyPr/>
        <a:lstStyle/>
        <a:p>
          <a:endParaRPr lang="en-AU"/>
        </a:p>
      </dgm:t>
    </dgm:pt>
    <dgm:pt modelId="{B78C4C10-4C32-41F4-B571-5CC018614B52}">
      <dgm:prSet phldrT="[Text]" custT="1"/>
      <dgm:spPr>
        <a:xfrm>
          <a:off x="508965" y="0"/>
          <a:ext cx="1887486" cy="1470991"/>
        </a:xfrm>
        <a:noFill/>
        <a:ln w="12700" cap="flat" cmpd="sng" algn="ctr">
          <a:noFill/>
          <a:prstDash val="solid"/>
          <a:miter lim="800000"/>
        </a:ln>
        <a:effectLst/>
        <a:sp3d/>
      </dgm:spPr>
      <dgm:t>
        <a:bodyPr/>
        <a:lstStyle/>
        <a:p>
          <a:pPr algn="ctr"/>
          <a:endParaRPr lang="en-AU" sz="1100">
            <a:solidFill>
              <a:sysClr val="windowText" lastClr="000000"/>
            </a:solidFill>
            <a:latin typeface="Calibri" panose="020F0502020204030204"/>
            <a:ea typeface="+mn-ea"/>
            <a:cs typeface="+mn-cs"/>
          </a:endParaRPr>
        </a:p>
        <a:p>
          <a:pPr algn="l"/>
          <a:r>
            <a:rPr lang="en-AU" sz="1100" b="1">
              <a:solidFill>
                <a:sysClr val="windowText" lastClr="000000"/>
              </a:solidFill>
              <a:latin typeface="Calibri" panose="020F0502020204030204"/>
              <a:ea typeface="+mn-ea"/>
              <a:cs typeface="+mn-cs"/>
            </a:rPr>
            <a:t>Tokenism</a:t>
          </a:r>
        </a:p>
      </dgm:t>
    </dgm:pt>
    <dgm:pt modelId="{110A0213-F899-4701-9210-D6CFF7DD2E45}" type="sibTrans" cxnId="{25FDB214-0CA9-423F-AC73-495EB21E799E}">
      <dgm:prSet/>
      <dgm:spPr/>
      <dgm:t>
        <a:bodyPr/>
        <a:lstStyle/>
        <a:p>
          <a:endParaRPr lang="en-AU"/>
        </a:p>
      </dgm:t>
    </dgm:pt>
    <dgm:pt modelId="{188FADF3-856C-4E96-92B7-7D67CD18BF7F}" type="parTrans" cxnId="{25FDB214-0CA9-423F-AC73-495EB21E799E}">
      <dgm:prSet/>
      <dgm:spPr/>
      <dgm:t>
        <a:bodyPr/>
        <a:lstStyle/>
        <a:p>
          <a:endParaRPr lang="en-AU"/>
        </a:p>
      </dgm:t>
    </dgm:pt>
    <dgm:pt modelId="{7FC49E14-FB28-408E-A219-5199F32AA2D5}">
      <dgm:prSet custT="1"/>
      <dgm:spPr>
        <a:xfrm>
          <a:off x="508965" y="0"/>
          <a:ext cx="1887486" cy="1470991"/>
        </a:xfrm>
        <a:noFill/>
        <a:ln w="12700" cap="flat" cmpd="sng" algn="ctr">
          <a:noFill/>
          <a:prstDash val="solid"/>
          <a:miter lim="800000"/>
        </a:ln>
        <a:effectLst/>
        <a:sp3d/>
      </dgm:spPr>
      <dgm:t>
        <a:bodyPr/>
        <a:lstStyle/>
        <a:p>
          <a:pPr algn="l"/>
          <a:r>
            <a:rPr lang="en-AU" sz="1100">
              <a:solidFill>
                <a:sysClr val="windowText" lastClr="000000"/>
              </a:solidFill>
              <a:latin typeface="Calibri" panose="020F0502020204030204"/>
              <a:ea typeface="+mn-ea"/>
              <a:cs typeface="+mn-cs"/>
            </a:rPr>
            <a:t>One woman is given a position on a committee or board to give the 'women’s point of view'.</a:t>
          </a:r>
        </a:p>
      </dgm:t>
    </dgm:pt>
    <dgm:pt modelId="{53CD45F5-8014-4AD0-8ADE-A6982F7B2EA5}" type="parTrans" cxnId="{69C7C529-EE95-49CC-A842-95C156D4A2A8}">
      <dgm:prSet/>
      <dgm:spPr/>
      <dgm:t>
        <a:bodyPr/>
        <a:lstStyle/>
        <a:p>
          <a:endParaRPr lang="en-AU"/>
        </a:p>
      </dgm:t>
    </dgm:pt>
    <dgm:pt modelId="{A0F9E791-9E26-46C5-8D4B-0CD8CD8C2A03}" type="sibTrans" cxnId="{69C7C529-EE95-49CC-A842-95C156D4A2A8}">
      <dgm:prSet/>
      <dgm:spPr/>
      <dgm:t>
        <a:bodyPr/>
        <a:lstStyle/>
        <a:p>
          <a:endParaRPr lang="en-AU"/>
        </a:p>
      </dgm:t>
    </dgm:pt>
    <dgm:pt modelId="{6E760029-3516-4AC2-9FE4-D50C4A071BD6}">
      <dgm:prSet custT="1"/>
      <dgm:spPr>
        <a:xfrm>
          <a:off x="508965" y="0"/>
          <a:ext cx="1887486" cy="1470991"/>
        </a:xfrm>
        <a:noFill/>
        <a:ln w="12700" cap="flat" cmpd="sng" algn="ctr">
          <a:noFill/>
          <a:prstDash val="solid"/>
          <a:miter lim="800000"/>
        </a:ln>
        <a:effectLst/>
        <a:sp3d/>
      </dgm:spPr>
      <dgm:t>
        <a:bodyPr/>
        <a:lstStyle/>
        <a:p>
          <a:pPr algn="l"/>
          <a:endParaRPr lang="en-AU" sz="1100">
            <a:solidFill>
              <a:sysClr val="windowText" lastClr="000000"/>
            </a:solidFill>
            <a:latin typeface="Calibri" panose="020F0502020204030204"/>
            <a:ea typeface="+mn-ea"/>
            <a:cs typeface="+mn-cs"/>
          </a:endParaRPr>
        </a:p>
      </dgm:t>
    </dgm:pt>
    <dgm:pt modelId="{05EDCF70-26D0-4966-B611-C6CEB6D5327D}" type="sibTrans" cxnId="{C15421A3-7852-4429-B43F-25B2188C3329}">
      <dgm:prSet/>
      <dgm:spPr/>
      <dgm:t>
        <a:bodyPr/>
        <a:lstStyle/>
        <a:p>
          <a:endParaRPr lang="en-AU"/>
        </a:p>
      </dgm:t>
    </dgm:pt>
    <dgm:pt modelId="{4EE0C44F-96B9-4846-9FC9-788B36CB2154}" type="parTrans" cxnId="{C15421A3-7852-4429-B43F-25B2188C3329}">
      <dgm:prSet/>
      <dgm:spPr/>
      <dgm:t>
        <a:bodyPr/>
        <a:lstStyle/>
        <a:p>
          <a:endParaRPr lang="en-AU"/>
        </a:p>
      </dgm:t>
    </dgm:pt>
    <dgm:pt modelId="{88D55513-7191-4A61-AA43-5DDF752E8056}">
      <dgm:prSet custT="1"/>
      <dgm:spPr>
        <a:xfrm>
          <a:off x="508965" y="0"/>
          <a:ext cx="1887486" cy="1470991"/>
        </a:xfrm>
        <a:noFill/>
        <a:ln w="12700" cap="flat" cmpd="sng" algn="ctr">
          <a:noFill/>
          <a:prstDash val="solid"/>
          <a:miter lim="800000"/>
        </a:ln>
        <a:effectLst/>
        <a:sp3d/>
      </dgm:spPr>
      <dgm:t>
        <a:bodyPr/>
        <a:lstStyle/>
        <a:p>
          <a:pPr algn="ctr"/>
          <a:r>
            <a:rPr lang="en-AU" sz="1100">
              <a:solidFill>
                <a:sysClr val="windowText" lastClr="000000"/>
              </a:solidFill>
              <a:latin typeface="Calibri" panose="020F0502020204030204"/>
              <a:ea typeface="+mn-ea"/>
              <a:cs typeface="+mn-cs"/>
            </a:rPr>
            <a:t> </a:t>
          </a:r>
        </a:p>
        <a:p>
          <a:pPr algn="ctr"/>
          <a:endParaRPr lang="en-AU" sz="1100">
            <a:solidFill>
              <a:sysClr val="windowText" lastClr="000000"/>
            </a:solidFill>
            <a:latin typeface="Calibri" panose="020F0502020204030204"/>
            <a:ea typeface="+mn-ea"/>
            <a:cs typeface="+mn-cs"/>
          </a:endParaRPr>
        </a:p>
      </dgm:t>
    </dgm:pt>
    <dgm:pt modelId="{2773C684-BE59-4E42-B516-ED8D9E77CAEA}" type="sibTrans" cxnId="{78076A18-9294-40EC-BFEA-11B60AF024BD}">
      <dgm:prSet/>
      <dgm:spPr/>
      <dgm:t>
        <a:bodyPr/>
        <a:lstStyle/>
        <a:p>
          <a:endParaRPr lang="en-AU"/>
        </a:p>
      </dgm:t>
    </dgm:pt>
    <dgm:pt modelId="{0F25075B-3885-42AA-8BC5-0FD6735A9D52}" type="parTrans" cxnId="{78076A18-9294-40EC-BFEA-11B60AF024BD}">
      <dgm:prSet/>
      <dgm:spPr/>
      <dgm:t>
        <a:bodyPr/>
        <a:lstStyle/>
        <a:p>
          <a:endParaRPr lang="en-AU"/>
        </a:p>
      </dgm:t>
    </dgm:pt>
    <dgm:pt modelId="{B9E1F392-EFDD-43B2-8A54-6361C8208DFC}" type="pres">
      <dgm:prSet presAssocID="{11F7DAE7-5BFA-4E17-A346-BAA8376A2E16}" presName="Name0" presStyleCnt="0">
        <dgm:presLayoutVars>
          <dgm:dir/>
          <dgm:animLvl val="lvl"/>
          <dgm:resizeHandles val="exact"/>
        </dgm:presLayoutVars>
      </dgm:prSet>
      <dgm:spPr/>
      <dgm:t>
        <a:bodyPr/>
        <a:lstStyle/>
        <a:p>
          <a:endParaRPr lang="en-AU"/>
        </a:p>
      </dgm:t>
    </dgm:pt>
    <dgm:pt modelId="{BEB6B4CE-B25E-44EF-93C5-A64633034108}" type="pres">
      <dgm:prSet presAssocID="{73B2AEAF-1C98-483C-8FE9-1EB760D23765}" presName="compositeNode" presStyleCnt="0">
        <dgm:presLayoutVars>
          <dgm:bulletEnabled val="1"/>
        </dgm:presLayoutVars>
      </dgm:prSet>
      <dgm:spPr/>
    </dgm:pt>
    <dgm:pt modelId="{60DAE95B-9499-4A56-A9EF-EA99B454DBB5}" type="pres">
      <dgm:prSet presAssocID="{73B2AEAF-1C98-483C-8FE9-1EB760D23765}" presName="bgRect" presStyleLbl="node1" presStyleIdx="0" presStyleCnt="2"/>
      <dgm:spPr>
        <a:prstGeom prst="roundRect">
          <a:avLst>
            <a:gd name="adj" fmla="val 5000"/>
          </a:avLst>
        </a:prstGeom>
      </dgm:spPr>
      <dgm:t>
        <a:bodyPr/>
        <a:lstStyle/>
        <a:p>
          <a:endParaRPr lang="en-AU"/>
        </a:p>
      </dgm:t>
    </dgm:pt>
    <dgm:pt modelId="{910D0492-DC0D-44AD-8A86-D3910D698604}" type="pres">
      <dgm:prSet presAssocID="{73B2AEAF-1C98-483C-8FE9-1EB760D23765}" presName="parentNode" presStyleLbl="node1" presStyleIdx="0" presStyleCnt="2">
        <dgm:presLayoutVars>
          <dgm:chMax val="0"/>
          <dgm:bulletEnabled val="1"/>
        </dgm:presLayoutVars>
      </dgm:prSet>
      <dgm:spPr/>
      <dgm:t>
        <a:bodyPr/>
        <a:lstStyle/>
        <a:p>
          <a:endParaRPr lang="en-AU"/>
        </a:p>
      </dgm:t>
    </dgm:pt>
    <dgm:pt modelId="{5BA70862-8CD4-4754-8340-F1AA6F2B6D33}" type="pres">
      <dgm:prSet presAssocID="{73B2AEAF-1C98-483C-8FE9-1EB760D23765}" presName="childNode" presStyleLbl="node1" presStyleIdx="0" presStyleCnt="2">
        <dgm:presLayoutVars>
          <dgm:bulletEnabled val="1"/>
        </dgm:presLayoutVars>
      </dgm:prSet>
      <dgm:spPr>
        <a:prstGeom prst="rect">
          <a:avLst/>
        </a:prstGeom>
      </dgm:spPr>
      <dgm:t>
        <a:bodyPr/>
        <a:lstStyle/>
        <a:p>
          <a:endParaRPr lang="en-AU"/>
        </a:p>
      </dgm:t>
    </dgm:pt>
    <dgm:pt modelId="{C41541EA-4FA4-4AFB-8632-79E7EDBECF3F}" type="pres">
      <dgm:prSet presAssocID="{469EE93D-CCBB-4219-B205-F0135320E231}" presName="hSp" presStyleCnt="0"/>
      <dgm:spPr/>
    </dgm:pt>
    <dgm:pt modelId="{82D18F60-6258-43F9-80AA-C3A6B460CACF}" type="pres">
      <dgm:prSet presAssocID="{469EE93D-CCBB-4219-B205-F0135320E231}" presName="vProcSp" presStyleCnt="0"/>
      <dgm:spPr/>
    </dgm:pt>
    <dgm:pt modelId="{7BBFB510-0ED1-4AF1-8ABF-3E55CC3378B9}" type="pres">
      <dgm:prSet presAssocID="{469EE93D-CCBB-4219-B205-F0135320E231}" presName="vSp1" presStyleCnt="0"/>
      <dgm:spPr/>
    </dgm:pt>
    <dgm:pt modelId="{B69A4D15-46DA-4831-A682-3B9C690822D2}" type="pres">
      <dgm:prSet presAssocID="{469EE93D-CCBB-4219-B205-F0135320E231}" presName="simulatedConn" presStyleLbl="solidFgAcc1" presStyleIdx="0" presStyleCnt="1" custScaleX="235945" custScaleY="225669"/>
      <dgm:spPr>
        <a:xfrm rot="5400000">
          <a:off x="2689496" y="731126"/>
          <a:ext cx="411916" cy="896663"/>
        </a:xfrm>
        <a:prstGeom prst="flowChartExtract">
          <a:avLst/>
        </a:prstGeom>
        <a:solidFill>
          <a:srgbClr val="70AD47">
            <a:lumMod val="50000"/>
          </a:srgbClr>
        </a:solidFill>
        <a:ln w="12700" cap="flat" cmpd="sng" algn="ctr">
          <a:noFill/>
          <a:prstDash val="solid"/>
          <a:miter lim="800000"/>
        </a:ln>
        <a:effectLst>
          <a:outerShdw blurRad="50800" dist="38100" dir="2700000" algn="tl" rotWithShape="0">
            <a:prstClr val="black">
              <a:alpha val="40000"/>
            </a:prstClr>
          </a:outerShdw>
        </a:effectLst>
      </dgm:spPr>
      <dgm:t>
        <a:bodyPr/>
        <a:lstStyle/>
        <a:p>
          <a:endParaRPr lang="en-AU"/>
        </a:p>
      </dgm:t>
    </dgm:pt>
    <dgm:pt modelId="{D6E86BB3-BD8D-46EE-AAB0-35D29DC239CD}" type="pres">
      <dgm:prSet presAssocID="{469EE93D-CCBB-4219-B205-F0135320E231}" presName="vSp2" presStyleCnt="0"/>
      <dgm:spPr/>
    </dgm:pt>
    <dgm:pt modelId="{BF049829-0F2A-4F39-89CE-A36CA62B70DC}" type="pres">
      <dgm:prSet presAssocID="{469EE93D-CCBB-4219-B205-F0135320E231}" presName="sibTrans" presStyleCnt="0"/>
      <dgm:spPr/>
    </dgm:pt>
    <dgm:pt modelId="{9787F337-6D00-4495-AAC4-50F671DE0368}" type="pres">
      <dgm:prSet presAssocID="{60339268-E571-4D14-9011-05A0305D47A9}" presName="compositeNode" presStyleCnt="0">
        <dgm:presLayoutVars>
          <dgm:bulletEnabled val="1"/>
        </dgm:presLayoutVars>
      </dgm:prSet>
      <dgm:spPr/>
    </dgm:pt>
    <dgm:pt modelId="{7DE8C76F-2853-4609-A8E6-63E37988E462}" type="pres">
      <dgm:prSet presAssocID="{60339268-E571-4D14-9011-05A0305D47A9}" presName="bgRect" presStyleLbl="node1" presStyleIdx="1" presStyleCnt="2"/>
      <dgm:spPr>
        <a:prstGeom prst="roundRect">
          <a:avLst>
            <a:gd name="adj" fmla="val 5000"/>
          </a:avLst>
        </a:prstGeom>
      </dgm:spPr>
      <dgm:t>
        <a:bodyPr/>
        <a:lstStyle/>
        <a:p>
          <a:endParaRPr lang="en-AU"/>
        </a:p>
      </dgm:t>
    </dgm:pt>
    <dgm:pt modelId="{553FDD65-06AB-47F2-9C73-71C426335076}" type="pres">
      <dgm:prSet presAssocID="{60339268-E571-4D14-9011-05A0305D47A9}" presName="parentNode" presStyleLbl="node1" presStyleIdx="1" presStyleCnt="2">
        <dgm:presLayoutVars>
          <dgm:chMax val="0"/>
          <dgm:bulletEnabled val="1"/>
        </dgm:presLayoutVars>
      </dgm:prSet>
      <dgm:spPr/>
      <dgm:t>
        <a:bodyPr/>
        <a:lstStyle/>
        <a:p>
          <a:endParaRPr lang="en-AU"/>
        </a:p>
      </dgm:t>
    </dgm:pt>
    <dgm:pt modelId="{56FFBF0D-2F11-4D8D-B89B-2B527555263D}" type="pres">
      <dgm:prSet presAssocID="{60339268-E571-4D14-9011-05A0305D47A9}" presName="childNode" presStyleLbl="node1" presStyleIdx="1" presStyleCnt="2">
        <dgm:presLayoutVars>
          <dgm:bulletEnabled val="1"/>
        </dgm:presLayoutVars>
      </dgm:prSet>
      <dgm:spPr>
        <a:prstGeom prst="rect">
          <a:avLst/>
        </a:prstGeom>
      </dgm:spPr>
      <dgm:t>
        <a:bodyPr/>
        <a:lstStyle/>
        <a:p>
          <a:endParaRPr lang="en-AU"/>
        </a:p>
      </dgm:t>
    </dgm:pt>
  </dgm:ptLst>
  <dgm:cxnLst>
    <dgm:cxn modelId="{A1E40E4C-474A-432E-A103-ED2F3CDD71B4}" type="presOf" srcId="{B78C4C10-4C32-41F4-B571-5CC018614B52}" destId="{5BA70862-8CD4-4754-8340-F1AA6F2B6D33}" srcOrd="0" destOrd="0" presId="urn:microsoft.com/office/officeart/2005/8/layout/hProcess7"/>
    <dgm:cxn modelId="{91D6124D-B1C2-4A93-AA69-BDF400EBEE89}" type="presOf" srcId="{60339268-E571-4D14-9011-05A0305D47A9}" destId="{553FDD65-06AB-47F2-9C73-71C426335076}" srcOrd="1" destOrd="0" presId="urn:microsoft.com/office/officeart/2005/8/layout/hProcess7"/>
    <dgm:cxn modelId="{002BEF68-F311-4FF4-913B-55E51DFB612B}" srcId="{60339268-E571-4D14-9011-05A0305D47A9}" destId="{1961C0D7-DFF6-44CD-8E79-D1F3440BA45E}" srcOrd="0" destOrd="0" parTransId="{EC20F96D-E469-4C50-A48D-88F04D1D4A73}" sibTransId="{50C04975-8400-4FC2-9B9E-43F4659524C7}"/>
    <dgm:cxn modelId="{C15421A3-7852-4429-B43F-25B2188C3329}" srcId="{73B2AEAF-1C98-483C-8FE9-1EB760D23765}" destId="{6E760029-3516-4AC2-9FE4-D50C4A071BD6}" srcOrd="2" destOrd="0" parTransId="{4EE0C44F-96B9-4846-9FC9-788B36CB2154}" sibTransId="{05EDCF70-26D0-4966-B611-C6CEB6D5327D}"/>
    <dgm:cxn modelId="{7D4EE67F-84B0-4295-9515-51FF99DDBE07}" type="presOf" srcId="{6E760029-3516-4AC2-9FE4-D50C4A071BD6}" destId="{5BA70862-8CD4-4754-8340-F1AA6F2B6D33}" srcOrd="0" destOrd="2" presId="urn:microsoft.com/office/officeart/2005/8/layout/hProcess7"/>
    <dgm:cxn modelId="{69C7C529-EE95-49CC-A842-95C156D4A2A8}" srcId="{73B2AEAF-1C98-483C-8FE9-1EB760D23765}" destId="{7FC49E14-FB28-408E-A219-5199F32AA2D5}" srcOrd="1" destOrd="0" parTransId="{53CD45F5-8014-4AD0-8ADE-A6982F7B2EA5}" sibTransId="{A0F9E791-9E26-46C5-8D4B-0CD8CD8C2A03}"/>
    <dgm:cxn modelId="{ED73F671-92FE-4AED-9671-6EE603855545}" type="presOf" srcId="{73B2AEAF-1C98-483C-8FE9-1EB760D23765}" destId="{60DAE95B-9499-4A56-A9EF-EA99B454DBB5}" srcOrd="0" destOrd="0" presId="urn:microsoft.com/office/officeart/2005/8/layout/hProcess7"/>
    <dgm:cxn modelId="{C14387BD-D675-4D53-B3A6-1D1668981EE3}" type="presOf" srcId="{7FC49E14-FB28-408E-A219-5199F32AA2D5}" destId="{5BA70862-8CD4-4754-8340-F1AA6F2B6D33}" srcOrd="0" destOrd="1" presId="urn:microsoft.com/office/officeart/2005/8/layout/hProcess7"/>
    <dgm:cxn modelId="{7176BAD1-C8AA-4731-A0B4-C55257E3EEAC}" srcId="{11F7DAE7-5BFA-4E17-A346-BAA8376A2E16}" destId="{73B2AEAF-1C98-483C-8FE9-1EB760D23765}" srcOrd="0" destOrd="0" parTransId="{7888CA8F-DCE1-4043-8615-24658B2E96D1}" sibTransId="{469EE93D-CCBB-4219-B205-F0135320E231}"/>
    <dgm:cxn modelId="{1F9B48E3-8280-489F-B6FC-0E3243521985}" srcId="{11F7DAE7-5BFA-4E17-A346-BAA8376A2E16}" destId="{60339268-E571-4D14-9011-05A0305D47A9}" srcOrd="1" destOrd="0" parTransId="{3F35929E-0D1A-49A6-B830-98BA70460034}" sibTransId="{8351FD1E-E9D3-463F-9EDF-F0828D6072D4}"/>
    <dgm:cxn modelId="{78076A18-9294-40EC-BFEA-11B60AF024BD}" srcId="{73B2AEAF-1C98-483C-8FE9-1EB760D23765}" destId="{88D55513-7191-4A61-AA43-5DDF752E8056}" srcOrd="3" destOrd="0" parTransId="{0F25075B-3885-42AA-8BC5-0FD6735A9D52}" sibTransId="{2773C684-BE59-4E42-B516-ED8D9E77CAEA}"/>
    <dgm:cxn modelId="{48179186-750E-4C50-9F92-B491EC4E5A44}" type="presOf" srcId="{73B2AEAF-1C98-483C-8FE9-1EB760D23765}" destId="{910D0492-DC0D-44AD-8A86-D3910D698604}" srcOrd="1" destOrd="0" presId="urn:microsoft.com/office/officeart/2005/8/layout/hProcess7"/>
    <dgm:cxn modelId="{972AF67C-BF01-4194-A560-9D8C18A70FC4}" type="presOf" srcId="{1961C0D7-DFF6-44CD-8E79-D1F3440BA45E}" destId="{56FFBF0D-2F11-4D8D-B89B-2B527555263D}" srcOrd="0" destOrd="0" presId="urn:microsoft.com/office/officeart/2005/8/layout/hProcess7"/>
    <dgm:cxn modelId="{25FDB214-0CA9-423F-AC73-495EB21E799E}" srcId="{73B2AEAF-1C98-483C-8FE9-1EB760D23765}" destId="{B78C4C10-4C32-41F4-B571-5CC018614B52}" srcOrd="0" destOrd="0" parTransId="{188FADF3-856C-4E96-92B7-7D67CD18BF7F}" sibTransId="{110A0213-F899-4701-9210-D6CFF7DD2E45}"/>
    <dgm:cxn modelId="{C9FECEB4-B293-4F20-A360-92CF3DDAF577}" type="presOf" srcId="{11F7DAE7-5BFA-4E17-A346-BAA8376A2E16}" destId="{B9E1F392-EFDD-43B2-8A54-6361C8208DFC}" srcOrd="0" destOrd="0" presId="urn:microsoft.com/office/officeart/2005/8/layout/hProcess7"/>
    <dgm:cxn modelId="{C0007630-2375-49BA-96D7-45777EA8A4E1}" type="presOf" srcId="{60339268-E571-4D14-9011-05A0305D47A9}" destId="{7DE8C76F-2853-4609-A8E6-63E37988E462}" srcOrd="0" destOrd="0" presId="urn:microsoft.com/office/officeart/2005/8/layout/hProcess7"/>
    <dgm:cxn modelId="{7E038854-ED7D-4411-9986-9E53D969EDA7}" type="presOf" srcId="{88D55513-7191-4A61-AA43-5DDF752E8056}" destId="{5BA70862-8CD4-4754-8340-F1AA6F2B6D33}" srcOrd="0" destOrd="3" presId="urn:microsoft.com/office/officeart/2005/8/layout/hProcess7"/>
    <dgm:cxn modelId="{F3F1A03B-6873-49C9-9197-EC82277E7966}" type="presParOf" srcId="{B9E1F392-EFDD-43B2-8A54-6361C8208DFC}" destId="{BEB6B4CE-B25E-44EF-93C5-A64633034108}" srcOrd="0" destOrd="0" presId="urn:microsoft.com/office/officeart/2005/8/layout/hProcess7"/>
    <dgm:cxn modelId="{FE6F09C1-5E1F-450A-B5F4-5AC130AFDD0D}" type="presParOf" srcId="{BEB6B4CE-B25E-44EF-93C5-A64633034108}" destId="{60DAE95B-9499-4A56-A9EF-EA99B454DBB5}" srcOrd="0" destOrd="0" presId="urn:microsoft.com/office/officeart/2005/8/layout/hProcess7"/>
    <dgm:cxn modelId="{89775443-718F-4D6C-95EE-9771331CACC8}" type="presParOf" srcId="{BEB6B4CE-B25E-44EF-93C5-A64633034108}" destId="{910D0492-DC0D-44AD-8A86-D3910D698604}" srcOrd="1" destOrd="0" presId="urn:microsoft.com/office/officeart/2005/8/layout/hProcess7"/>
    <dgm:cxn modelId="{F30DED95-812C-4F4A-85DB-9457CEEC2B31}" type="presParOf" srcId="{BEB6B4CE-B25E-44EF-93C5-A64633034108}" destId="{5BA70862-8CD4-4754-8340-F1AA6F2B6D33}" srcOrd="2" destOrd="0" presId="urn:microsoft.com/office/officeart/2005/8/layout/hProcess7"/>
    <dgm:cxn modelId="{CE3D5BAD-8F40-43B8-84B5-5EF3BD586FB9}" type="presParOf" srcId="{B9E1F392-EFDD-43B2-8A54-6361C8208DFC}" destId="{C41541EA-4FA4-4AFB-8632-79E7EDBECF3F}" srcOrd="1" destOrd="0" presId="urn:microsoft.com/office/officeart/2005/8/layout/hProcess7"/>
    <dgm:cxn modelId="{921257A9-E40D-4640-A230-3A8CD248F6B7}" type="presParOf" srcId="{B9E1F392-EFDD-43B2-8A54-6361C8208DFC}" destId="{82D18F60-6258-43F9-80AA-C3A6B460CACF}" srcOrd="2" destOrd="0" presId="urn:microsoft.com/office/officeart/2005/8/layout/hProcess7"/>
    <dgm:cxn modelId="{4E986839-75F7-4357-96E4-74FC3F8B5131}" type="presParOf" srcId="{82D18F60-6258-43F9-80AA-C3A6B460CACF}" destId="{7BBFB510-0ED1-4AF1-8ABF-3E55CC3378B9}" srcOrd="0" destOrd="0" presId="urn:microsoft.com/office/officeart/2005/8/layout/hProcess7"/>
    <dgm:cxn modelId="{ECD0A8F6-A94D-4B48-A5F6-5A0AED02696C}" type="presParOf" srcId="{82D18F60-6258-43F9-80AA-C3A6B460CACF}" destId="{B69A4D15-46DA-4831-A682-3B9C690822D2}" srcOrd="1" destOrd="0" presId="urn:microsoft.com/office/officeart/2005/8/layout/hProcess7"/>
    <dgm:cxn modelId="{D8A298B6-0B44-45D6-8B54-F06B3212E9DC}" type="presParOf" srcId="{82D18F60-6258-43F9-80AA-C3A6B460CACF}" destId="{D6E86BB3-BD8D-46EE-AAB0-35D29DC239CD}" srcOrd="2" destOrd="0" presId="urn:microsoft.com/office/officeart/2005/8/layout/hProcess7"/>
    <dgm:cxn modelId="{CEE3B108-745C-4F0A-9622-DBF2AB316E04}" type="presParOf" srcId="{B9E1F392-EFDD-43B2-8A54-6361C8208DFC}" destId="{BF049829-0F2A-4F39-89CE-A36CA62B70DC}" srcOrd="3" destOrd="0" presId="urn:microsoft.com/office/officeart/2005/8/layout/hProcess7"/>
    <dgm:cxn modelId="{2C751480-AE5C-4BA3-B8AA-C917192D4C3C}" type="presParOf" srcId="{B9E1F392-EFDD-43B2-8A54-6361C8208DFC}" destId="{9787F337-6D00-4495-AAC4-50F671DE0368}" srcOrd="4" destOrd="0" presId="urn:microsoft.com/office/officeart/2005/8/layout/hProcess7"/>
    <dgm:cxn modelId="{AF87AA01-865F-4BA3-9E01-EB6DF7BEEA29}" type="presParOf" srcId="{9787F337-6D00-4495-AAC4-50F671DE0368}" destId="{7DE8C76F-2853-4609-A8E6-63E37988E462}" srcOrd="0" destOrd="0" presId="urn:microsoft.com/office/officeart/2005/8/layout/hProcess7"/>
    <dgm:cxn modelId="{CCC451CF-7F22-4D00-BBB1-60642F0E5454}" type="presParOf" srcId="{9787F337-6D00-4495-AAC4-50F671DE0368}" destId="{553FDD65-06AB-47F2-9C73-71C426335076}" srcOrd="1" destOrd="0" presId="urn:microsoft.com/office/officeart/2005/8/layout/hProcess7"/>
    <dgm:cxn modelId="{8A92A316-ECE8-42DE-AE16-7A937A87F3BB}" type="presParOf" srcId="{9787F337-6D00-4495-AAC4-50F671DE0368}" destId="{56FFBF0D-2F11-4D8D-B89B-2B527555263D}" srcOrd="2" destOrd="0" presId="urn:microsoft.com/office/officeart/2005/8/layout/hProcess7"/>
  </dgm:cxnLst>
  <dgm:bg/>
  <dgm:whole>
    <a:ln>
      <a:noFill/>
    </a:ln>
  </dgm:whole>
  <dgm:extLst>
    <a:ext uri="http://schemas.microsoft.com/office/drawing/2008/diagram">
      <dsp:dataModelExt xmlns:dsp="http://schemas.microsoft.com/office/drawing/2008/diagram" relId="rId8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11F7DAE7-5BFA-4E17-A346-BAA8376A2E16}" type="doc">
      <dgm:prSet loTypeId="urn:microsoft.com/office/officeart/2005/8/layout/hProcess7" loCatId="process" qsTypeId="urn:microsoft.com/office/officeart/2005/8/quickstyle/simple1" qsCatId="simple" csTypeId="urn:microsoft.com/office/officeart/2005/8/colors/accent1_2" csCatId="accent1" phldr="1"/>
      <dgm:spPr/>
      <dgm:t>
        <a:bodyPr/>
        <a:lstStyle/>
        <a:p>
          <a:endParaRPr lang="en-AU"/>
        </a:p>
      </dgm:t>
    </dgm:pt>
    <dgm:pt modelId="{73B2AEAF-1C98-483C-8FE9-1EB760D23765}">
      <dgm:prSet phldrT="[Text]"/>
      <dgm:spPr>
        <a:xfrm>
          <a:off x="2331" y="0"/>
          <a:ext cx="2615155" cy="2798859"/>
        </a:xfrm>
        <a:noFill/>
        <a:ln w="12700" cap="flat" cmpd="sng" algn="ctr">
          <a:solidFill>
            <a:srgbClr val="E6E7F2"/>
          </a:solidFill>
          <a:prstDash val="solid"/>
          <a:miter lim="800000"/>
        </a:ln>
        <a:effectLst/>
      </dgm:spPr>
      <dgm:t>
        <a:bodyPr/>
        <a:lstStyle/>
        <a:p>
          <a:endParaRPr lang="en-AU">
            <a:solidFill>
              <a:sysClr val="window" lastClr="FFFFFF"/>
            </a:solidFill>
            <a:latin typeface="Calibri" panose="020F0502020204030204"/>
            <a:ea typeface="+mn-ea"/>
            <a:cs typeface="+mn-cs"/>
          </a:endParaRPr>
        </a:p>
      </dgm:t>
    </dgm:pt>
    <dgm:pt modelId="{7888CA8F-DCE1-4043-8615-24658B2E96D1}" type="parTrans" cxnId="{7176BAD1-C8AA-4731-A0B4-C55257E3EEAC}">
      <dgm:prSet/>
      <dgm:spPr/>
      <dgm:t>
        <a:bodyPr/>
        <a:lstStyle/>
        <a:p>
          <a:endParaRPr lang="en-AU"/>
        </a:p>
      </dgm:t>
    </dgm:pt>
    <dgm:pt modelId="{469EE93D-CCBB-4219-B205-F0135320E231}" type="sibTrans" cxnId="{7176BAD1-C8AA-4731-A0B4-C55257E3EEAC}">
      <dgm:prSet/>
      <dgm:spPr/>
      <dgm:t>
        <a:bodyPr/>
        <a:lstStyle/>
        <a:p>
          <a:endParaRPr lang="en-AU"/>
        </a:p>
      </dgm:t>
    </dgm:pt>
    <dgm:pt modelId="{60339268-E571-4D14-9011-05A0305D47A9}">
      <dgm:prSet phldrT="[Text]"/>
      <dgm:spPr>
        <a:xfrm>
          <a:off x="3118596" y="0"/>
          <a:ext cx="2615155" cy="2798859"/>
        </a:xfrm>
        <a:solidFill>
          <a:srgbClr val="E6E7F2"/>
        </a:solidFill>
        <a:ln w="12700" cap="flat" cmpd="sng" algn="ctr">
          <a:noFill/>
          <a:prstDash val="solid"/>
          <a:miter lim="800000"/>
        </a:ln>
        <a:effectLst/>
      </dgm:spPr>
      <dgm:t>
        <a:bodyPr/>
        <a:lstStyle/>
        <a:p>
          <a:endParaRPr lang="en-AU">
            <a:solidFill>
              <a:sysClr val="window" lastClr="FFFFFF"/>
            </a:solidFill>
            <a:latin typeface="Calibri" panose="020F0502020204030204"/>
            <a:ea typeface="+mn-ea"/>
            <a:cs typeface="+mn-cs"/>
          </a:endParaRPr>
        </a:p>
      </dgm:t>
    </dgm:pt>
    <dgm:pt modelId="{3F35929E-0D1A-49A6-B830-98BA70460034}" type="parTrans" cxnId="{1F9B48E3-8280-489F-B6FC-0E3243521985}">
      <dgm:prSet/>
      <dgm:spPr/>
      <dgm:t>
        <a:bodyPr/>
        <a:lstStyle/>
        <a:p>
          <a:endParaRPr lang="en-AU"/>
        </a:p>
      </dgm:t>
    </dgm:pt>
    <dgm:pt modelId="{8351FD1E-E9D3-463F-9EDF-F0828D6072D4}" type="sibTrans" cxnId="{1F9B48E3-8280-489F-B6FC-0E3243521985}">
      <dgm:prSet/>
      <dgm:spPr/>
      <dgm:t>
        <a:bodyPr/>
        <a:lstStyle/>
        <a:p>
          <a:endParaRPr lang="en-AU"/>
        </a:p>
      </dgm:t>
    </dgm:pt>
    <dgm:pt modelId="{1961C0D7-DFF6-44CD-8E79-D1F3440BA45E}">
      <dgm:prSet phldrT="[Text]" custT="1"/>
      <dgm:spPr>
        <a:xfrm>
          <a:off x="3641627" y="0"/>
          <a:ext cx="1948291" cy="2798859"/>
        </a:xfrm>
        <a:noFill/>
        <a:ln w="12700" cap="flat" cmpd="sng" algn="ctr">
          <a:noFill/>
          <a:prstDash val="solid"/>
          <a:miter lim="800000"/>
        </a:ln>
        <a:effectLst/>
        <a:sp3d/>
      </dgm:spPr>
      <dgm:t>
        <a:bodyPr/>
        <a:lstStyle/>
        <a:p>
          <a:pPr algn="l">
            <a:spcAft>
              <a:spcPct val="35000"/>
            </a:spcAft>
          </a:pPr>
          <a:endParaRPr lang="en-AU" sz="1100">
            <a:solidFill>
              <a:sysClr val="windowText" lastClr="000000"/>
            </a:solidFill>
            <a:latin typeface="Calibri" panose="020F0502020204030204"/>
            <a:ea typeface="+mn-ea"/>
            <a:cs typeface="+mn-cs"/>
          </a:endParaRPr>
        </a:p>
        <a:p>
          <a:pPr algn="l">
            <a:spcAft>
              <a:spcPts val="600"/>
            </a:spcAft>
          </a:pPr>
          <a:r>
            <a:rPr lang="en-AU" sz="1100">
              <a:solidFill>
                <a:sysClr val="windowText" lastClr="000000"/>
              </a:solidFill>
              <a:latin typeface="Calibri" panose="020F0502020204030204"/>
              <a:ea typeface="+mn-ea"/>
              <a:cs typeface="+mn-cs"/>
            </a:rPr>
            <a:t>Agree that we can always find out more about an issue, but assert that this is not a pre-condition for action. </a:t>
          </a:r>
        </a:p>
        <a:p>
          <a:pPr algn="l">
            <a:spcAft>
              <a:spcPct val="35000"/>
            </a:spcAft>
          </a:pPr>
          <a:r>
            <a:rPr lang="en-AU" sz="1100">
              <a:solidFill>
                <a:sysClr val="windowText" lastClr="000000"/>
              </a:solidFill>
              <a:latin typeface="Calibri" panose="020F0502020204030204"/>
              <a:ea typeface="+mn-ea"/>
              <a:cs typeface="+mn-cs"/>
            </a:rPr>
            <a:t>Give examples of other issues where more research is needed but programs are under way. </a:t>
          </a:r>
        </a:p>
        <a:p>
          <a:pPr algn="l">
            <a:spcAft>
              <a:spcPct val="35000"/>
            </a:spcAft>
          </a:pPr>
          <a:r>
            <a:rPr lang="en-AU" sz="1100">
              <a:solidFill>
                <a:sysClr val="windowText" lastClr="000000"/>
              </a:solidFill>
              <a:latin typeface="Calibri" panose="020F0502020204030204"/>
              <a:ea typeface="+mn-ea"/>
              <a:cs typeface="+mn-cs"/>
            </a:rPr>
            <a:t>Suggest an initial literature review to summerise the body of evidence. </a:t>
          </a:r>
        </a:p>
        <a:p>
          <a:pPr algn="l">
            <a:spcAft>
              <a:spcPct val="35000"/>
            </a:spcAft>
          </a:pPr>
          <a:r>
            <a:rPr lang="en-AU" sz="1100">
              <a:solidFill>
                <a:sysClr val="windowText" lastClr="000000"/>
              </a:solidFill>
              <a:latin typeface="Calibri" panose="020F0502020204030204"/>
              <a:ea typeface="+mn-ea"/>
              <a:cs typeface="+mn-cs"/>
            </a:rPr>
            <a:t>Recommend research that is action-oriented and has delivery and review built in as a pilot phase.</a:t>
          </a:r>
        </a:p>
      </dgm:t>
    </dgm:pt>
    <dgm:pt modelId="{EC20F96D-E469-4C50-A48D-88F04D1D4A73}" type="parTrans" cxnId="{002BEF68-F311-4FF4-913B-55E51DFB612B}">
      <dgm:prSet/>
      <dgm:spPr/>
      <dgm:t>
        <a:bodyPr/>
        <a:lstStyle/>
        <a:p>
          <a:endParaRPr lang="en-AU"/>
        </a:p>
      </dgm:t>
    </dgm:pt>
    <dgm:pt modelId="{50C04975-8400-4FC2-9B9E-43F4659524C7}" type="sibTrans" cxnId="{002BEF68-F311-4FF4-913B-55E51DFB612B}">
      <dgm:prSet/>
      <dgm:spPr/>
      <dgm:t>
        <a:bodyPr/>
        <a:lstStyle/>
        <a:p>
          <a:endParaRPr lang="en-AU"/>
        </a:p>
      </dgm:t>
    </dgm:pt>
    <dgm:pt modelId="{B78C4C10-4C32-41F4-B571-5CC018614B52}">
      <dgm:prSet phldrT="[Text]" custT="1"/>
      <dgm:spPr>
        <a:xfrm>
          <a:off x="525362" y="0"/>
          <a:ext cx="1948291" cy="2798859"/>
        </a:xfrm>
        <a:noFill/>
        <a:ln w="12700" cap="flat" cmpd="sng" algn="ctr">
          <a:noFill/>
          <a:prstDash val="solid"/>
          <a:miter lim="800000"/>
        </a:ln>
        <a:effectLst/>
        <a:sp3d/>
      </dgm:spPr>
      <dgm:t>
        <a:bodyPr/>
        <a:lstStyle/>
        <a:p>
          <a:pPr algn="l">
            <a:spcAft>
              <a:spcPct val="35000"/>
            </a:spcAft>
          </a:pPr>
          <a:endParaRPr lang="en-AU" sz="1100" b="1">
            <a:solidFill>
              <a:sysClr val="windowText" lastClr="000000"/>
            </a:solidFill>
            <a:latin typeface="Calibri" panose="020F0502020204030204"/>
            <a:ea typeface="+mn-ea"/>
            <a:cs typeface="+mn-cs"/>
          </a:endParaRPr>
        </a:p>
        <a:p>
          <a:pPr algn="l">
            <a:spcAft>
              <a:spcPct val="35000"/>
            </a:spcAft>
          </a:pPr>
          <a:r>
            <a:rPr lang="en-AU" sz="1100" b="1">
              <a:solidFill>
                <a:sysClr val="windowText" lastClr="000000"/>
              </a:solidFill>
              <a:latin typeface="Calibri" panose="020F0502020204030204"/>
              <a:ea typeface="+mn-ea"/>
              <a:cs typeface="+mn-cs"/>
            </a:rPr>
            <a:t>Further investigation</a:t>
          </a:r>
        </a:p>
      </dgm:t>
    </dgm:pt>
    <dgm:pt modelId="{110A0213-F899-4701-9210-D6CFF7DD2E45}" type="sibTrans" cxnId="{25FDB214-0CA9-423F-AC73-495EB21E799E}">
      <dgm:prSet/>
      <dgm:spPr/>
      <dgm:t>
        <a:bodyPr/>
        <a:lstStyle/>
        <a:p>
          <a:endParaRPr lang="en-AU"/>
        </a:p>
      </dgm:t>
    </dgm:pt>
    <dgm:pt modelId="{188FADF3-856C-4E96-92B7-7D67CD18BF7F}" type="parTrans" cxnId="{25FDB214-0CA9-423F-AC73-495EB21E799E}">
      <dgm:prSet/>
      <dgm:spPr/>
      <dgm:t>
        <a:bodyPr/>
        <a:lstStyle/>
        <a:p>
          <a:endParaRPr lang="en-AU"/>
        </a:p>
      </dgm:t>
    </dgm:pt>
    <dgm:pt modelId="{7C8FE413-96CF-4CEE-8159-E360633A8188}">
      <dgm:prSet custT="1"/>
      <dgm:spPr>
        <a:xfrm>
          <a:off x="525362" y="0"/>
          <a:ext cx="1948291" cy="2798859"/>
        </a:xfrm>
        <a:noFill/>
        <a:ln w="12700" cap="flat" cmpd="sng" algn="ctr">
          <a:noFill/>
          <a:prstDash val="solid"/>
          <a:miter lim="800000"/>
        </a:ln>
        <a:effectLst/>
        <a:sp3d/>
      </dgm:spPr>
      <dgm:t>
        <a:bodyPr/>
        <a:lstStyle/>
        <a:p>
          <a:pPr algn="l">
            <a:spcAft>
              <a:spcPts val="600"/>
            </a:spcAft>
          </a:pPr>
          <a:r>
            <a:rPr lang="en-AU" sz="1100">
              <a:solidFill>
                <a:sysClr val="windowText" lastClr="000000"/>
              </a:solidFill>
              <a:latin typeface="Calibri" panose="020F0502020204030204"/>
              <a:ea typeface="+mn-ea"/>
              <a:cs typeface="+mn-cs"/>
            </a:rPr>
            <a:t>When compelled to show some action on a gender gap or discrimination issue, leaders suggest a research project because 'we don't know enough about this problem' – effectively postponing any action. </a:t>
          </a:r>
        </a:p>
        <a:p>
          <a:pPr>
            <a:spcAft>
              <a:spcPct val="35000"/>
            </a:spcAft>
          </a:pPr>
          <a:endParaRPr lang="en-AU" sz="1100">
            <a:solidFill>
              <a:sysClr val="windowText" lastClr="000000"/>
            </a:solidFill>
            <a:latin typeface="Calibri" panose="020F0502020204030204"/>
            <a:ea typeface="+mn-ea"/>
            <a:cs typeface="+mn-cs"/>
          </a:endParaRPr>
        </a:p>
      </dgm:t>
    </dgm:pt>
    <dgm:pt modelId="{2B18874C-130C-4DFD-A041-27E8FD96839A}" type="parTrans" cxnId="{0F0F1C5D-DF67-4910-9F38-556E11C8D7B4}">
      <dgm:prSet/>
      <dgm:spPr/>
      <dgm:t>
        <a:bodyPr/>
        <a:lstStyle/>
        <a:p>
          <a:endParaRPr lang="en-AU"/>
        </a:p>
      </dgm:t>
    </dgm:pt>
    <dgm:pt modelId="{42150BC7-B3CD-44FF-9699-0D61F92D5F4E}" type="sibTrans" cxnId="{0F0F1C5D-DF67-4910-9F38-556E11C8D7B4}">
      <dgm:prSet/>
      <dgm:spPr/>
      <dgm:t>
        <a:bodyPr/>
        <a:lstStyle/>
        <a:p>
          <a:endParaRPr lang="en-AU"/>
        </a:p>
      </dgm:t>
    </dgm:pt>
    <dgm:pt modelId="{B9E1F392-EFDD-43B2-8A54-6361C8208DFC}" type="pres">
      <dgm:prSet presAssocID="{11F7DAE7-5BFA-4E17-A346-BAA8376A2E16}" presName="Name0" presStyleCnt="0">
        <dgm:presLayoutVars>
          <dgm:dir/>
          <dgm:animLvl val="lvl"/>
          <dgm:resizeHandles val="exact"/>
        </dgm:presLayoutVars>
      </dgm:prSet>
      <dgm:spPr/>
      <dgm:t>
        <a:bodyPr/>
        <a:lstStyle/>
        <a:p>
          <a:endParaRPr lang="en-AU"/>
        </a:p>
      </dgm:t>
    </dgm:pt>
    <dgm:pt modelId="{BEB6B4CE-B25E-44EF-93C5-A64633034108}" type="pres">
      <dgm:prSet presAssocID="{73B2AEAF-1C98-483C-8FE9-1EB760D23765}" presName="compositeNode" presStyleCnt="0">
        <dgm:presLayoutVars>
          <dgm:bulletEnabled val="1"/>
        </dgm:presLayoutVars>
      </dgm:prSet>
      <dgm:spPr/>
    </dgm:pt>
    <dgm:pt modelId="{60DAE95B-9499-4A56-A9EF-EA99B454DBB5}" type="pres">
      <dgm:prSet presAssocID="{73B2AEAF-1C98-483C-8FE9-1EB760D23765}" presName="bgRect" presStyleLbl="node1" presStyleIdx="0" presStyleCnt="2"/>
      <dgm:spPr>
        <a:prstGeom prst="roundRect">
          <a:avLst>
            <a:gd name="adj" fmla="val 5000"/>
          </a:avLst>
        </a:prstGeom>
      </dgm:spPr>
      <dgm:t>
        <a:bodyPr/>
        <a:lstStyle/>
        <a:p>
          <a:endParaRPr lang="en-AU"/>
        </a:p>
      </dgm:t>
    </dgm:pt>
    <dgm:pt modelId="{910D0492-DC0D-44AD-8A86-D3910D698604}" type="pres">
      <dgm:prSet presAssocID="{73B2AEAF-1C98-483C-8FE9-1EB760D23765}" presName="parentNode" presStyleLbl="node1" presStyleIdx="0" presStyleCnt="2">
        <dgm:presLayoutVars>
          <dgm:chMax val="0"/>
          <dgm:bulletEnabled val="1"/>
        </dgm:presLayoutVars>
      </dgm:prSet>
      <dgm:spPr/>
      <dgm:t>
        <a:bodyPr/>
        <a:lstStyle/>
        <a:p>
          <a:endParaRPr lang="en-AU"/>
        </a:p>
      </dgm:t>
    </dgm:pt>
    <dgm:pt modelId="{5BA70862-8CD4-4754-8340-F1AA6F2B6D33}" type="pres">
      <dgm:prSet presAssocID="{73B2AEAF-1C98-483C-8FE9-1EB760D23765}" presName="childNode" presStyleLbl="node1" presStyleIdx="0" presStyleCnt="2">
        <dgm:presLayoutVars>
          <dgm:bulletEnabled val="1"/>
        </dgm:presLayoutVars>
      </dgm:prSet>
      <dgm:spPr>
        <a:prstGeom prst="rect">
          <a:avLst/>
        </a:prstGeom>
      </dgm:spPr>
      <dgm:t>
        <a:bodyPr/>
        <a:lstStyle/>
        <a:p>
          <a:endParaRPr lang="en-AU"/>
        </a:p>
      </dgm:t>
    </dgm:pt>
    <dgm:pt modelId="{C41541EA-4FA4-4AFB-8632-79E7EDBECF3F}" type="pres">
      <dgm:prSet presAssocID="{469EE93D-CCBB-4219-B205-F0135320E231}" presName="hSp" presStyleCnt="0"/>
      <dgm:spPr/>
    </dgm:pt>
    <dgm:pt modelId="{82D18F60-6258-43F9-80AA-C3A6B460CACF}" type="pres">
      <dgm:prSet presAssocID="{469EE93D-CCBB-4219-B205-F0135320E231}" presName="vProcSp" presStyleCnt="0"/>
      <dgm:spPr/>
    </dgm:pt>
    <dgm:pt modelId="{7BBFB510-0ED1-4AF1-8ABF-3E55CC3378B9}" type="pres">
      <dgm:prSet presAssocID="{469EE93D-CCBB-4219-B205-F0135320E231}" presName="vSp1" presStyleCnt="0"/>
      <dgm:spPr/>
    </dgm:pt>
    <dgm:pt modelId="{B69A4D15-46DA-4831-A682-3B9C690822D2}" type="pres">
      <dgm:prSet presAssocID="{469EE93D-CCBB-4219-B205-F0135320E231}" presName="simulatedConn" presStyleLbl="solidFgAcc1" presStyleIdx="0" presStyleCnt="1" custScaleX="235945" custScaleY="106474" custLinFactNeighborX="-21678" custLinFactNeighborY="52696"/>
      <dgm:spPr>
        <a:xfrm rot="5400000">
          <a:off x="2686862" y="2026455"/>
          <a:ext cx="433663" cy="925549"/>
        </a:xfrm>
        <a:prstGeom prst="flowChartExtract">
          <a:avLst/>
        </a:prstGeom>
        <a:solidFill>
          <a:srgbClr val="5A5098"/>
        </a:solidFill>
        <a:ln w="12700" cap="flat" cmpd="sng" algn="ctr">
          <a:noFill/>
          <a:prstDash val="solid"/>
          <a:miter lim="800000"/>
        </a:ln>
        <a:effectLst>
          <a:outerShdw blurRad="50800" dist="38100" dir="2700000" algn="tl" rotWithShape="0">
            <a:prstClr val="black">
              <a:alpha val="40000"/>
            </a:prstClr>
          </a:outerShdw>
        </a:effectLst>
      </dgm:spPr>
      <dgm:t>
        <a:bodyPr/>
        <a:lstStyle/>
        <a:p>
          <a:endParaRPr lang="en-AU"/>
        </a:p>
      </dgm:t>
    </dgm:pt>
    <dgm:pt modelId="{D6E86BB3-BD8D-46EE-AAB0-35D29DC239CD}" type="pres">
      <dgm:prSet presAssocID="{469EE93D-CCBB-4219-B205-F0135320E231}" presName="vSp2" presStyleCnt="0"/>
      <dgm:spPr/>
    </dgm:pt>
    <dgm:pt modelId="{BF049829-0F2A-4F39-89CE-A36CA62B70DC}" type="pres">
      <dgm:prSet presAssocID="{469EE93D-CCBB-4219-B205-F0135320E231}" presName="sibTrans" presStyleCnt="0"/>
      <dgm:spPr/>
    </dgm:pt>
    <dgm:pt modelId="{9787F337-6D00-4495-AAC4-50F671DE0368}" type="pres">
      <dgm:prSet presAssocID="{60339268-E571-4D14-9011-05A0305D47A9}" presName="compositeNode" presStyleCnt="0">
        <dgm:presLayoutVars>
          <dgm:bulletEnabled val="1"/>
        </dgm:presLayoutVars>
      </dgm:prSet>
      <dgm:spPr/>
    </dgm:pt>
    <dgm:pt modelId="{7DE8C76F-2853-4609-A8E6-63E37988E462}" type="pres">
      <dgm:prSet presAssocID="{60339268-E571-4D14-9011-05A0305D47A9}" presName="bgRect" presStyleLbl="node1" presStyleIdx="1" presStyleCnt="2" custLinFactNeighborX="-4730" custLinFactNeighborY="2500"/>
      <dgm:spPr>
        <a:prstGeom prst="roundRect">
          <a:avLst>
            <a:gd name="adj" fmla="val 5000"/>
          </a:avLst>
        </a:prstGeom>
      </dgm:spPr>
      <dgm:t>
        <a:bodyPr/>
        <a:lstStyle/>
        <a:p>
          <a:endParaRPr lang="en-AU"/>
        </a:p>
      </dgm:t>
    </dgm:pt>
    <dgm:pt modelId="{553FDD65-06AB-47F2-9C73-71C426335076}" type="pres">
      <dgm:prSet presAssocID="{60339268-E571-4D14-9011-05A0305D47A9}" presName="parentNode" presStyleLbl="node1" presStyleIdx="1" presStyleCnt="2">
        <dgm:presLayoutVars>
          <dgm:chMax val="0"/>
          <dgm:bulletEnabled val="1"/>
        </dgm:presLayoutVars>
      </dgm:prSet>
      <dgm:spPr/>
      <dgm:t>
        <a:bodyPr/>
        <a:lstStyle/>
        <a:p>
          <a:endParaRPr lang="en-AU"/>
        </a:p>
      </dgm:t>
    </dgm:pt>
    <dgm:pt modelId="{56FFBF0D-2F11-4D8D-B89B-2B527555263D}" type="pres">
      <dgm:prSet presAssocID="{60339268-E571-4D14-9011-05A0305D47A9}" presName="childNode" presStyleLbl="node1" presStyleIdx="1" presStyleCnt="2">
        <dgm:presLayoutVars>
          <dgm:bulletEnabled val="1"/>
        </dgm:presLayoutVars>
      </dgm:prSet>
      <dgm:spPr>
        <a:prstGeom prst="rect">
          <a:avLst/>
        </a:prstGeom>
      </dgm:spPr>
      <dgm:t>
        <a:bodyPr/>
        <a:lstStyle/>
        <a:p>
          <a:endParaRPr lang="en-AU"/>
        </a:p>
      </dgm:t>
    </dgm:pt>
  </dgm:ptLst>
  <dgm:cxnLst>
    <dgm:cxn modelId="{07EAE26C-2BB3-4DD6-B63B-77121129FF4F}" type="presOf" srcId="{11F7DAE7-5BFA-4E17-A346-BAA8376A2E16}" destId="{B9E1F392-EFDD-43B2-8A54-6361C8208DFC}" srcOrd="0" destOrd="0" presId="urn:microsoft.com/office/officeart/2005/8/layout/hProcess7"/>
    <dgm:cxn modelId="{9AEB1B5A-F9FD-4DED-BCEC-06D8DF4D4FD5}" type="presOf" srcId="{60339268-E571-4D14-9011-05A0305D47A9}" destId="{553FDD65-06AB-47F2-9C73-71C426335076}" srcOrd="1" destOrd="0" presId="urn:microsoft.com/office/officeart/2005/8/layout/hProcess7"/>
    <dgm:cxn modelId="{002BEF68-F311-4FF4-913B-55E51DFB612B}" srcId="{60339268-E571-4D14-9011-05A0305D47A9}" destId="{1961C0D7-DFF6-44CD-8E79-D1F3440BA45E}" srcOrd="0" destOrd="0" parTransId="{EC20F96D-E469-4C50-A48D-88F04D1D4A73}" sibTransId="{50C04975-8400-4FC2-9B9E-43F4659524C7}"/>
    <dgm:cxn modelId="{830FACE3-7EFA-4337-803A-8C5B7AB72EDF}" type="presOf" srcId="{7C8FE413-96CF-4CEE-8159-E360633A8188}" destId="{5BA70862-8CD4-4754-8340-F1AA6F2B6D33}" srcOrd="0" destOrd="1" presId="urn:microsoft.com/office/officeart/2005/8/layout/hProcess7"/>
    <dgm:cxn modelId="{7176BAD1-C8AA-4731-A0B4-C55257E3EEAC}" srcId="{11F7DAE7-5BFA-4E17-A346-BAA8376A2E16}" destId="{73B2AEAF-1C98-483C-8FE9-1EB760D23765}" srcOrd="0" destOrd="0" parTransId="{7888CA8F-DCE1-4043-8615-24658B2E96D1}" sibTransId="{469EE93D-CCBB-4219-B205-F0135320E231}"/>
    <dgm:cxn modelId="{335A725E-125F-48E4-B180-0F8A47B1FA5F}" type="presOf" srcId="{73B2AEAF-1C98-483C-8FE9-1EB760D23765}" destId="{60DAE95B-9499-4A56-A9EF-EA99B454DBB5}" srcOrd="0" destOrd="0" presId="urn:microsoft.com/office/officeart/2005/8/layout/hProcess7"/>
    <dgm:cxn modelId="{1F9B48E3-8280-489F-B6FC-0E3243521985}" srcId="{11F7DAE7-5BFA-4E17-A346-BAA8376A2E16}" destId="{60339268-E571-4D14-9011-05A0305D47A9}" srcOrd="1" destOrd="0" parTransId="{3F35929E-0D1A-49A6-B830-98BA70460034}" sibTransId="{8351FD1E-E9D3-463F-9EDF-F0828D6072D4}"/>
    <dgm:cxn modelId="{21D86ED8-F357-4946-B10D-1CEA6A8315F0}" type="presOf" srcId="{1961C0D7-DFF6-44CD-8E79-D1F3440BA45E}" destId="{56FFBF0D-2F11-4D8D-B89B-2B527555263D}" srcOrd="0" destOrd="0" presId="urn:microsoft.com/office/officeart/2005/8/layout/hProcess7"/>
    <dgm:cxn modelId="{0F0F1C5D-DF67-4910-9F38-556E11C8D7B4}" srcId="{73B2AEAF-1C98-483C-8FE9-1EB760D23765}" destId="{7C8FE413-96CF-4CEE-8159-E360633A8188}" srcOrd="1" destOrd="0" parTransId="{2B18874C-130C-4DFD-A041-27E8FD96839A}" sibTransId="{42150BC7-B3CD-44FF-9699-0D61F92D5F4E}"/>
    <dgm:cxn modelId="{4FCEAABA-5DFD-4890-9401-45B62386C992}" type="presOf" srcId="{60339268-E571-4D14-9011-05A0305D47A9}" destId="{7DE8C76F-2853-4609-A8E6-63E37988E462}" srcOrd="0" destOrd="0" presId="urn:microsoft.com/office/officeart/2005/8/layout/hProcess7"/>
    <dgm:cxn modelId="{7654C0A6-D520-4219-B199-37FF2FA848A2}" type="presOf" srcId="{73B2AEAF-1C98-483C-8FE9-1EB760D23765}" destId="{910D0492-DC0D-44AD-8A86-D3910D698604}" srcOrd="1" destOrd="0" presId="urn:microsoft.com/office/officeart/2005/8/layout/hProcess7"/>
    <dgm:cxn modelId="{23F0E01B-2107-479C-A0DE-875ACEB02897}" type="presOf" srcId="{B78C4C10-4C32-41F4-B571-5CC018614B52}" destId="{5BA70862-8CD4-4754-8340-F1AA6F2B6D33}" srcOrd="0" destOrd="0" presId="urn:microsoft.com/office/officeart/2005/8/layout/hProcess7"/>
    <dgm:cxn modelId="{25FDB214-0CA9-423F-AC73-495EB21E799E}" srcId="{73B2AEAF-1C98-483C-8FE9-1EB760D23765}" destId="{B78C4C10-4C32-41F4-B571-5CC018614B52}" srcOrd="0" destOrd="0" parTransId="{188FADF3-856C-4E96-92B7-7D67CD18BF7F}" sibTransId="{110A0213-F899-4701-9210-D6CFF7DD2E45}"/>
    <dgm:cxn modelId="{21864D7A-68EE-4FF5-9992-3798EE3B657D}" type="presParOf" srcId="{B9E1F392-EFDD-43B2-8A54-6361C8208DFC}" destId="{BEB6B4CE-B25E-44EF-93C5-A64633034108}" srcOrd="0" destOrd="0" presId="urn:microsoft.com/office/officeart/2005/8/layout/hProcess7"/>
    <dgm:cxn modelId="{0C51B0DA-4CDC-4024-AC60-B53FDE71E020}" type="presParOf" srcId="{BEB6B4CE-B25E-44EF-93C5-A64633034108}" destId="{60DAE95B-9499-4A56-A9EF-EA99B454DBB5}" srcOrd="0" destOrd="0" presId="urn:microsoft.com/office/officeart/2005/8/layout/hProcess7"/>
    <dgm:cxn modelId="{AAEF4157-1106-45D0-953B-09D05FA66187}" type="presParOf" srcId="{BEB6B4CE-B25E-44EF-93C5-A64633034108}" destId="{910D0492-DC0D-44AD-8A86-D3910D698604}" srcOrd="1" destOrd="0" presId="urn:microsoft.com/office/officeart/2005/8/layout/hProcess7"/>
    <dgm:cxn modelId="{ACB4F71C-C674-49D8-A4BD-44D59FEA036B}" type="presParOf" srcId="{BEB6B4CE-B25E-44EF-93C5-A64633034108}" destId="{5BA70862-8CD4-4754-8340-F1AA6F2B6D33}" srcOrd="2" destOrd="0" presId="urn:microsoft.com/office/officeart/2005/8/layout/hProcess7"/>
    <dgm:cxn modelId="{7607D56B-1A5F-4BC1-906A-124D77FEA8C7}" type="presParOf" srcId="{B9E1F392-EFDD-43B2-8A54-6361C8208DFC}" destId="{C41541EA-4FA4-4AFB-8632-79E7EDBECF3F}" srcOrd="1" destOrd="0" presId="urn:microsoft.com/office/officeart/2005/8/layout/hProcess7"/>
    <dgm:cxn modelId="{9579DE2B-C81A-4E0B-8D3F-6883102D4D03}" type="presParOf" srcId="{B9E1F392-EFDD-43B2-8A54-6361C8208DFC}" destId="{82D18F60-6258-43F9-80AA-C3A6B460CACF}" srcOrd="2" destOrd="0" presId="urn:microsoft.com/office/officeart/2005/8/layout/hProcess7"/>
    <dgm:cxn modelId="{BC930EC8-E94E-46A9-B240-33F5D62FF543}" type="presParOf" srcId="{82D18F60-6258-43F9-80AA-C3A6B460CACF}" destId="{7BBFB510-0ED1-4AF1-8ABF-3E55CC3378B9}" srcOrd="0" destOrd="0" presId="urn:microsoft.com/office/officeart/2005/8/layout/hProcess7"/>
    <dgm:cxn modelId="{81D40135-D06D-4DEC-A81A-5DBE77BFC854}" type="presParOf" srcId="{82D18F60-6258-43F9-80AA-C3A6B460CACF}" destId="{B69A4D15-46DA-4831-A682-3B9C690822D2}" srcOrd="1" destOrd="0" presId="urn:microsoft.com/office/officeart/2005/8/layout/hProcess7"/>
    <dgm:cxn modelId="{3B53C591-6058-4337-AF0C-9FB3DD325782}" type="presParOf" srcId="{82D18F60-6258-43F9-80AA-C3A6B460CACF}" destId="{D6E86BB3-BD8D-46EE-AAB0-35D29DC239CD}" srcOrd="2" destOrd="0" presId="urn:microsoft.com/office/officeart/2005/8/layout/hProcess7"/>
    <dgm:cxn modelId="{CC8682B6-0D1C-4C68-9FD4-0CDE95BD2AFA}" type="presParOf" srcId="{B9E1F392-EFDD-43B2-8A54-6361C8208DFC}" destId="{BF049829-0F2A-4F39-89CE-A36CA62B70DC}" srcOrd="3" destOrd="0" presId="urn:microsoft.com/office/officeart/2005/8/layout/hProcess7"/>
    <dgm:cxn modelId="{F3EFD995-98F8-4FE2-9BA5-29940093BC3A}" type="presParOf" srcId="{B9E1F392-EFDD-43B2-8A54-6361C8208DFC}" destId="{9787F337-6D00-4495-AAC4-50F671DE0368}" srcOrd="4" destOrd="0" presId="urn:microsoft.com/office/officeart/2005/8/layout/hProcess7"/>
    <dgm:cxn modelId="{001B62B0-6F2D-49AB-8415-7896E33406C6}" type="presParOf" srcId="{9787F337-6D00-4495-AAC4-50F671DE0368}" destId="{7DE8C76F-2853-4609-A8E6-63E37988E462}" srcOrd="0" destOrd="0" presId="urn:microsoft.com/office/officeart/2005/8/layout/hProcess7"/>
    <dgm:cxn modelId="{CCD709C3-9F12-4489-8FD4-EE4E39483344}" type="presParOf" srcId="{9787F337-6D00-4495-AAC4-50F671DE0368}" destId="{553FDD65-06AB-47F2-9C73-71C426335076}" srcOrd="1" destOrd="0" presId="urn:microsoft.com/office/officeart/2005/8/layout/hProcess7"/>
    <dgm:cxn modelId="{F720B683-AF31-425E-BD8E-0A37A5C3D7B9}" type="presParOf" srcId="{9787F337-6D00-4495-AAC4-50F671DE0368}" destId="{56FFBF0D-2F11-4D8D-B89B-2B527555263D}" srcOrd="2" destOrd="0" presId="urn:microsoft.com/office/officeart/2005/8/layout/hProcess7"/>
  </dgm:cxnLst>
  <dgm:bg/>
  <dgm:whole>
    <a:ln>
      <a:noFill/>
    </a:ln>
  </dgm:whole>
  <dgm:extLst>
    <a:ext uri="http://schemas.microsoft.com/office/drawing/2008/diagram">
      <dsp:dataModelExt xmlns:dsp="http://schemas.microsoft.com/office/drawing/2008/diagram" relId="rId9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11F7DAE7-5BFA-4E17-A346-BAA8376A2E16}" type="doc">
      <dgm:prSet loTypeId="urn:microsoft.com/office/officeart/2005/8/layout/hProcess7" loCatId="process" qsTypeId="urn:microsoft.com/office/officeart/2005/8/quickstyle/simple1" qsCatId="simple" csTypeId="urn:microsoft.com/office/officeart/2005/8/colors/accent1_2" csCatId="accent1" phldr="1"/>
      <dgm:spPr/>
      <dgm:t>
        <a:bodyPr/>
        <a:lstStyle/>
        <a:p>
          <a:endParaRPr lang="en-AU"/>
        </a:p>
      </dgm:t>
    </dgm:pt>
    <dgm:pt modelId="{73B2AEAF-1C98-483C-8FE9-1EB760D23765}">
      <dgm:prSet phldrT="[Text]"/>
      <dgm:spPr>
        <a:xfrm>
          <a:off x="2258" y="62186"/>
          <a:ext cx="2533538" cy="3040246"/>
        </a:xfrm>
        <a:noFill/>
        <a:ln w="12700" cap="flat" cmpd="sng" algn="ctr">
          <a:solidFill>
            <a:srgbClr val="70AD47">
              <a:lumMod val="20000"/>
              <a:lumOff val="80000"/>
            </a:srgbClr>
          </a:solidFill>
          <a:prstDash val="solid"/>
          <a:miter lim="800000"/>
        </a:ln>
        <a:effectLst/>
      </dgm:spPr>
      <dgm:t>
        <a:bodyPr/>
        <a:lstStyle/>
        <a:p>
          <a:endParaRPr lang="en-AU">
            <a:solidFill>
              <a:sysClr val="window" lastClr="FFFFFF"/>
            </a:solidFill>
            <a:latin typeface="Calibri" panose="020F0502020204030204"/>
            <a:ea typeface="+mn-ea"/>
            <a:cs typeface="+mn-cs"/>
          </a:endParaRPr>
        </a:p>
      </dgm:t>
    </dgm:pt>
    <dgm:pt modelId="{7888CA8F-DCE1-4043-8615-24658B2E96D1}" type="parTrans" cxnId="{7176BAD1-C8AA-4731-A0B4-C55257E3EEAC}">
      <dgm:prSet/>
      <dgm:spPr/>
      <dgm:t>
        <a:bodyPr/>
        <a:lstStyle/>
        <a:p>
          <a:endParaRPr lang="en-AU"/>
        </a:p>
      </dgm:t>
    </dgm:pt>
    <dgm:pt modelId="{469EE93D-CCBB-4219-B205-F0135320E231}" type="sibTrans" cxnId="{7176BAD1-C8AA-4731-A0B4-C55257E3EEAC}">
      <dgm:prSet/>
      <dgm:spPr/>
      <dgm:t>
        <a:bodyPr/>
        <a:lstStyle/>
        <a:p>
          <a:endParaRPr lang="en-AU"/>
        </a:p>
      </dgm:t>
    </dgm:pt>
    <dgm:pt modelId="{60339268-E571-4D14-9011-05A0305D47A9}">
      <dgm:prSet phldrT="[Text]"/>
      <dgm:spPr>
        <a:xfrm>
          <a:off x="3141103" y="62186"/>
          <a:ext cx="2533538" cy="3040246"/>
        </a:xfrm>
        <a:solidFill>
          <a:srgbClr val="EEF7E9"/>
        </a:solidFill>
        <a:ln w="12700" cap="flat" cmpd="sng" algn="ctr">
          <a:noFill/>
          <a:prstDash val="solid"/>
          <a:miter lim="800000"/>
        </a:ln>
        <a:effectLst/>
      </dgm:spPr>
      <dgm:t>
        <a:bodyPr/>
        <a:lstStyle/>
        <a:p>
          <a:endParaRPr lang="en-AU">
            <a:solidFill>
              <a:sysClr val="window" lastClr="FFFFFF"/>
            </a:solidFill>
            <a:latin typeface="Calibri" panose="020F0502020204030204"/>
            <a:ea typeface="+mn-ea"/>
            <a:cs typeface="+mn-cs"/>
          </a:endParaRPr>
        </a:p>
      </dgm:t>
    </dgm:pt>
    <dgm:pt modelId="{3F35929E-0D1A-49A6-B830-98BA70460034}" type="parTrans" cxnId="{1F9B48E3-8280-489F-B6FC-0E3243521985}">
      <dgm:prSet/>
      <dgm:spPr/>
      <dgm:t>
        <a:bodyPr/>
        <a:lstStyle/>
        <a:p>
          <a:endParaRPr lang="en-AU"/>
        </a:p>
      </dgm:t>
    </dgm:pt>
    <dgm:pt modelId="{8351FD1E-E9D3-463F-9EDF-F0828D6072D4}" type="sibTrans" cxnId="{1F9B48E3-8280-489F-B6FC-0E3243521985}">
      <dgm:prSet/>
      <dgm:spPr/>
      <dgm:t>
        <a:bodyPr/>
        <a:lstStyle/>
        <a:p>
          <a:endParaRPr lang="en-AU"/>
        </a:p>
      </dgm:t>
    </dgm:pt>
    <dgm:pt modelId="{1961C0D7-DFF6-44CD-8E79-D1F3440BA45E}">
      <dgm:prSet phldrT="[Text]" custT="1"/>
      <dgm:spPr>
        <a:xfrm>
          <a:off x="3647811" y="62186"/>
          <a:ext cx="1887486" cy="3040246"/>
        </a:xfrm>
        <a:noFill/>
        <a:ln w="12700" cap="flat" cmpd="sng" algn="ctr">
          <a:noFill/>
          <a:prstDash val="solid"/>
          <a:miter lim="800000"/>
        </a:ln>
        <a:effectLst/>
        <a:sp3d/>
      </dgm:spPr>
      <dgm:t>
        <a:bodyPr/>
        <a:lstStyle/>
        <a:p>
          <a:pPr algn="l">
            <a:spcAft>
              <a:spcPct val="35000"/>
            </a:spcAft>
          </a:pPr>
          <a:endParaRPr lang="en-AU" sz="1100">
            <a:solidFill>
              <a:sysClr val="windowText" lastClr="000000"/>
            </a:solidFill>
            <a:latin typeface="Calibri" panose="020F0502020204030204"/>
            <a:ea typeface="+mn-ea"/>
            <a:cs typeface="+mn-cs"/>
          </a:endParaRPr>
        </a:p>
        <a:p>
          <a:pPr algn="l">
            <a:spcAft>
              <a:spcPct val="35000"/>
            </a:spcAft>
          </a:pPr>
          <a:r>
            <a:rPr lang="en-AU" sz="1100">
              <a:solidFill>
                <a:sysClr val="windowText" lastClr="000000"/>
              </a:solidFill>
              <a:latin typeface="Calibri" panose="020F0502020204030204"/>
              <a:ea typeface="+mn-ea"/>
              <a:cs typeface="+mn-cs"/>
            </a:rPr>
            <a:t>Point out the following: </a:t>
          </a:r>
        </a:p>
        <a:p>
          <a:pPr algn="l">
            <a:spcAft>
              <a:spcPct val="35000"/>
            </a:spcAft>
          </a:pPr>
          <a:r>
            <a:rPr lang="en-AU" sz="1100">
              <a:solidFill>
                <a:sysClr val="windowText" lastClr="000000"/>
              </a:solidFill>
              <a:latin typeface="Calibri" panose="020F0502020204030204"/>
              <a:ea typeface="+mn-ea"/>
              <a:cs typeface="+mn-cs"/>
            </a:rPr>
            <a:t>- There is usually minimal cost in producing gender statistics with existing instruments. In some cases, it simply involves the addition of an extra question or column specifying sex. </a:t>
          </a:r>
        </a:p>
        <a:p>
          <a:pPr algn="l">
            <a:spcAft>
              <a:spcPct val="35000"/>
            </a:spcAft>
          </a:pPr>
          <a:r>
            <a:rPr lang="en-AU" sz="1100">
              <a:solidFill>
                <a:sysClr val="windowText" lastClr="000000"/>
              </a:solidFill>
              <a:latin typeface="Calibri" panose="020F0502020204030204"/>
              <a:ea typeface="+mn-ea"/>
              <a:cs typeface="+mn-cs"/>
            </a:rPr>
            <a:t>- At analysis time, the main cost would be the time involved in running extra tabulations, but in many cases, sex can simply be added to existing tabulations.</a:t>
          </a:r>
        </a:p>
        <a:p>
          <a:pPr algn="l">
            <a:spcAft>
              <a:spcPts val="600"/>
            </a:spcAft>
          </a:pPr>
          <a:r>
            <a:rPr lang="en-AU" sz="1100">
              <a:solidFill>
                <a:sysClr val="windowText" lastClr="000000"/>
              </a:solidFill>
              <a:latin typeface="Calibri" panose="020F0502020204030204"/>
              <a:ea typeface="+mn-ea"/>
              <a:cs typeface="+mn-cs"/>
            </a:rPr>
            <a:t>- Significant cost is usually only incurred when a completely new investigation (such as a survey) is carried out.</a:t>
          </a:r>
        </a:p>
      </dgm:t>
    </dgm:pt>
    <dgm:pt modelId="{EC20F96D-E469-4C50-A48D-88F04D1D4A73}" type="parTrans" cxnId="{002BEF68-F311-4FF4-913B-55E51DFB612B}">
      <dgm:prSet/>
      <dgm:spPr/>
      <dgm:t>
        <a:bodyPr/>
        <a:lstStyle/>
        <a:p>
          <a:endParaRPr lang="en-AU"/>
        </a:p>
      </dgm:t>
    </dgm:pt>
    <dgm:pt modelId="{50C04975-8400-4FC2-9B9E-43F4659524C7}" type="sibTrans" cxnId="{002BEF68-F311-4FF4-913B-55E51DFB612B}">
      <dgm:prSet/>
      <dgm:spPr/>
      <dgm:t>
        <a:bodyPr/>
        <a:lstStyle/>
        <a:p>
          <a:endParaRPr lang="en-AU"/>
        </a:p>
      </dgm:t>
    </dgm:pt>
    <dgm:pt modelId="{B78C4C10-4C32-41F4-B571-5CC018614B52}">
      <dgm:prSet phldrT="[Text]" custT="1"/>
      <dgm:spPr>
        <a:xfrm>
          <a:off x="508965" y="62186"/>
          <a:ext cx="1887486" cy="3040246"/>
        </a:xfrm>
        <a:noFill/>
        <a:ln w="12700" cap="flat" cmpd="sng" algn="ctr">
          <a:noFill/>
          <a:prstDash val="solid"/>
          <a:miter lim="800000"/>
        </a:ln>
        <a:effectLst/>
        <a:sp3d/>
      </dgm:spPr>
      <dgm:t>
        <a:bodyPr/>
        <a:lstStyle/>
        <a:p>
          <a:pPr algn="ctr">
            <a:spcAft>
              <a:spcPct val="35000"/>
            </a:spcAft>
          </a:pPr>
          <a:endParaRPr lang="en-AU" sz="1100">
            <a:solidFill>
              <a:sysClr val="windowText" lastClr="000000"/>
            </a:solidFill>
            <a:latin typeface="Calibri" panose="020F0502020204030204"/>
            <a:ea typeface="+mn-ea"/>
            <a:cs typeface="+mn-cs"/>
          </a:endParaRPr>
        </a:p>
        <a:p>
          <a:pPr algn="l">
            <a:spcAft>
              <a:spcPts val="600"/>
            </a:spcAft>
          </a:pPr>
          <a:r>
            <a:rPr lang="en-AU" sz="1100" b="1">
              <a:solidFill>
                <a:sysClr val="windowText" lastClr="000000"/>
              </a:solidFill>
              <a:latin typeface="Calibri" panose="020F0502020204030204"/>
              <a:ea typeface="+mn-ea"/>
              <a:cs typeface="+mn-cs"/>
            </a:rPr>
            <a:t>Undervaluing gender statistics 1</a:t>
          </a:r>
        </a:p>
      </dgm:t>
    </dgm:pt>
    <dgm:pt modelId="{110A0213-F899-4701-9210-D6CFF7DD2E45}" type="sibTrans" cxnId="{25FDB214-0CA9-423F-AC73-495EB21E799E}">
      <dgm:prSet/>
      <dgm:spPr/>
      <dgm:t>
        <a:bodyPr/>
        <a:lstStyle/>
        <a:p>
          <a:endParaRPr lang="en-AU"/>
        </a:p>
      </dgm:t>
    </dgm:pt>
    <dgm:pt modelId="{188FADF3-856C-4E96-92B7-7D67CD18BF7F}" type="parTrans" cxnId="{25FDB214-0CA9-423F-AC73-495EB21E799E}">
      <dgm:prSet/>
      <dgm:spPr/>
      <dgm:t>
        <a:bodyPr/>
        <a:lstStyle/>
        <a:p>
          <a:endParaRPr lang="en-AU"/>
        </a:p>
      </dgm:t>
    </dgm:pt>
    <dgm:pt modelId="{7FC49E14-FB28-408E-A219-5199F32AA2D5}">
      <dgm:prSet custT="1"/>
      <dgm:spPr>
        <a:xfrm>
          <a:off x="508965" y="62186"/>
          <a:ext cx="1887486" cy="3040246"/>
        </a:xfrm>
        <a:noFill/>
        <a:ln w="12700" cap="flat" cmpd="sng" algn="ctr">
          <a:noFill/>
          <a:prstDash val="solid"/>
          <a:miter lim="800000"/>
        </a:ln>
        <a:effectLst/>
        <a:sp3d/>
      </dgm:spPr>
      <dgm:t>
        <a:bodyPr/>
        <a:lstStyle/>
        <a:p>
          <a:pPr algn="l">
            <a:spcAft>
              <a:spcPct val="35000"/>
            </a:spcAft>
          </a:pPr>
          <a:r>
            <a:rPr lang="en-AU" sz="1100">
              <a:solidFill>
                <a:sysClr val="windowText" lastClr="000000"/>
              </a:solidFill>
              <a:latin typeface="Calibri" panose="020F0502020204030204"/>
              <a:ea typeface="+mn-ea"/>
              <a:cs typeface="+mn-cs"/>
            </a:rPr>
            <a:t>Leadership claims that adding a statistical breakdown by sex will cost too much.</a:t>
          </a:r>
        </a:p>
      </dgm:t>
    </dgm:pt>
    <dgm:pt modelId="{53CD45F5-8014-4AD0-8ADE-A6982F7B2EA5}" type="parTrans" cxnId="{69C7C529-EE95-49CC-A842-95C156D4A2A8}">
      <dgm:prSet/>
      <dgm:spPr/>
      <dgm:t>
        <a:bodyPr/>
        <a:lstStyle/>
        <a:p>
          <a:endParaRPr lang="en-AU"/>
        </a:p>
      </dgm:t>
    </dgm:pt>
    <dgm:pt modelId="{A0F9E791-9E26-46C5-8D4B-0CD8CD8C2A03}" type="sibTrans" cxnId="{69C7C529-EE95-49CC-A842-95C156D4A2A8}">
      <dgm:prSet/>
      <dgm:spPr/>
      <dgm:t>
        <a:bodyPr/>
        <a:lstStyle/>
        <a:p>
          <a:endParaRPr lang="en-AU"/>
        </a:p>
      </dgm:t>
    </dgm:pt>
    <dgm:pt modelId="{6E760029-3516-4AC2-9FE4-D50C4A071BD6}">
      <dgm:prSet custT="1"/>
      <dgm:spPr>
        <a:xfrm>
          <a:off x="508965" y="62186"/>
          <a:ext cx="1887486" cy="3040246"/>
        </a:xfrm>
        <a:noFill/>
        <a:ln w="12700" cap="flat" cmpd="sng" algn="ctr">
          <a:noFill/>
          <a:prstDash val="solid"/>
          <a:miter lim="800000"/>
        </a:ln>
        <a:effectLst/>
        <a:sp3d/>
      </dgm:spPr>
      <dgm:t>
        <a:bodyPr/>
        <a:lstStyle/>
        <a:p>
          <a:pPr algn="l">
            <a:spcAft>
              <a:spcPct val="35000"/>
            </a:spcAft>
          </a:pPr>
          <a:endParaRPr lang="en-AU" sz="1100">
            <a:solidFill>
              <a:sysClr val="windowText" lastClr="000000"/>
            </a:solidFill>
            <a:latin typeface="Calibri" panose="020F0502020204030204"/>
            <a:ea typeface="+mn-ea"/>
            <a:cs typeface="+mn-cs"/>
          </a:endParaRPr>
        </a:p>
      </dgm:t>
    </dgm:pt>
    <dgm:pt modelId="{05EDCF70-26D0-4966-B611-C6CEB6D5327D}" type="sibTrans" cxnId="{C15421A3-7852-4429-B43F-25B2188C3329}">
      <dgm:prSet/>
      <dgm:spPr/>
      <dgm:t>
        <a:bodyPr/>
        <a:lstStyle/>
        <a:p>
          <a:endParaRPr lang="en-AU"/>
        </a:p>
      </dgm:t>
    </dgm:pt>
    <dgm:pt modelId="{4EE0C44F-96B9-4846-9FC9-788B36CB2154}" type="parTrans" cxnId="{C15421A3-7852-4429-B43F-25B2188C3329}">
      <dgm:prSet/>
      <dgm:spPr/>
      <dgm:t>
        <a:bodyPr/>
        <a:lstStyle/>
        <a:p>
          <a:endParaRPr lang="en-AU"/>
        </a:p>
      </dgm:t>
    </dgm:pt>
    <dgm:pt modelId="{88D55513-7191-4A61-AA43-5DDF752E8056}">
      <dgm:prSet custT="1"/>
      <dgm:spPr>
        <a:xfrm>
          <a:off x="508965" y="62186"/>
          <a:ext cx="1887486" cy="3040246"/>
        </a:xfrm>
        <a:noFill/>
        <a:ln w="12700" cap="flat" cmpd="sng" algn="ctr">
          <a:noFill/>
          <a:prstDash val="solid"/>
          <a:miter lim="800000"/>
        </a:ln>
        <a:effectLst/>
        <a:sp3d/>
      </dgm:spPr>
      <dgm:t>
        <a:bodyPr/>
        <a:lstStyle/>
        <a:p>
          <a:pPr algn="ctr">
            <a:spcAft>
              <a:spcPct val="35000"/>
            </a:spcAft>
          </a:pPr>
          <a:r>
            <a:rPr lang="en-AU" sz="1100">
              <a:solidFill>
                <a:sysClr val="windowText" lastClr="000000"/>
              </a:solidFill>
              <a:latin typeface="Calibri" panose="020F0502020204030204"/>
              <a:ea typeface="+mn-ea"/>
              <a:cs typeface="+mn-cs"/>
            </a:rPr>
            <a:t> </a:t>
          </a:r>
        </a:p>
        <a:p>
          <a:pPr algn="ctr">
            <a:spcAft>
              <a:spcPct val="35000"/>
            </a:spcAft>
          </a:pPr>
          <a:endParaRPr lang="en-AU" sz="1100">
            <a:solidFill>
              <a:sysClr val="windowText" lastClr="000000"/>
            </a:solidFill>
            <a:latin typeface="Calibri" panose="020F0502020204030204"/>
            <a:ea typeface="+mn-ea"/>
            <a:cs typeface="+mn-cs"/>
          </a:endParaRPr>
        </a:p>
      </dgm:t>
    </dgm:pt>
    <dgm:pt modelId="{2773C684-BE59-4E42-B516-ED8D9E77CAEA}" type="sibTrans" cxnId="{78076A18-9294-40EC-BFEA-11B60AF024BD}">
      <dgm:prSet/>
      <dgm:spPr/>
      <dgm:t>
        <a:bodyPr/>
        <a:lstStyle/>
        <a:p>
          <a:endParaRPr lang="en-AU"/>
        </a:p>
      </dgm:t>
    </dgm:pt>
    <dgm:pt modelId="{0F25075B-3885-42AA-8BC5-0FD6735A9D52}" type="parTrans" cxnId="{78076A18-9294-40EC-BFEA-11B60AF024BD}">
      <dgm:prSet/>
      <dgm:spPr/>
      <dgm:t>
        <a:bodyPr/>
        <a:lstStyle/>
        <a:p>
          <a:endParaRPr lang="en-AU"/>
        </a:p>
      </dgm:t>
    </dgm:pt>
    <dgm:pt modelId="{B9E1F392-EFDD-43B2-8A54-6361C8208DFC}" type="pres">
      <dgm:prSet presAssocID="{11F7DAE7-5BFA-4E17-A346-BAA8376A2E16}" presName="Name0" presStyleCnt="0">
        <dgm:presLayoutVars>
          <dgm:dir/>
          <dgm:animLvl val="lvl"/>
          <dgm:resizeHandles val="exact"/>
        </dgm:presLayoutVars>
      </dgm:prSet>
      <dgm:spPr/>
      <dgm:t>
        <a:bodyPr/>
        <a:lstStyle/>
        <a:p>
          <a:endParaRPr lang="en-AU"/>
        </a:p>
      </dgm:t>
    </dgm:pt>
    <dgm:pt modelId="{BEB6B4CE-B25E-44EF-93C5-A64633034108}" type="pres">
      <dgm:prSet presAssocID="{73B2AEAF-1C98-483C-8FE9-1EB760D23765}" presName="compositeNode" presStyleCnt="0">
        <dgm:presLayoutVars>
          <dgm:bulletEnabled val="1"/>
        </dgm:presLayoutVars>
      </dgm:prSet>
      <dgm:spPr/>
    </dgm:pt>
    <dgm:pt modelId="{60DAE95B-9499-4A56-A9EF-EA99B454DBB5}" type="pres">
      <dgm:prSet presAssocID="{73B2AEAF-1C98-483C-8FE9-1EB760D23765}" presName="bgRect" presStyleLbl="node1" presStyleIdx="0" presStyleCnt="2"/>
      <dgm:spPr>
        <a:prstGeom prst="roundRect">
          <a:avLst>
            <a:gd name="adj" fmla="val 5000"/>
          </a:avLst>
        </a:prstGeom>
      </dgm:spPr>
      <dgm:t>
        <a:bodyPr/>
        <a:lstStyle/>
        <a:p>
          <a:endParaRPr lang="en-AU"/>
        </a:p>
      </dgm:t>
    </dgm:pt>
    <dgm:pt modelId="{910D0492-DC0D-44AD-8A86-D3910D698604}" type="pres">
      <dgm:prSet presAssocID="{73B2AEAF-1C98-483C-8FE9-1EB760D23765}" presName="parentNode" presStyleLbl="node1" presStyleIdx="0" presStyleCnt="2">
        <dgm:presLayoutVars>
          <dgm:chMax val="0"/>
          <dgm:bulletEnabled val="1"/>
        </dgm:presLayoutVars>
      </dgm:prSet>
      <dgm:spPr/>
      <dgm:t>
        <a:bodyPr/>
        <a:lstStyle/>
        <a:p>
          <a:endParaRPr lang="en-AU"/>
        </a:p>
      </dgm:t>
    </dgm:pt>
    <dgm:pt modelId="{5BA70862-8CD4-4754-8340-F1AA6F2B6D33}" type="pres">
      <dgm:prSet presAssocID="{73B2AEAF-1C98-483C-8FE9-1EB760D23765}" presName="childNode" presStyleLbl="node1" presStyleIdx="0" presStyleCnt="2">
        <dgm:presLayoutVars>
          <dgm:bulletEnabled val="1"/>
        </dgm:presLayoutVars>
      </dgm:prSet>
      <dgm:spPr>
        <a:prstGeom prst="rect">
          <a:avLst/>
        </a:prstGeom>
      </dgm:spPr>
      <dgm:t>
        <a:bodyPr/>
        <a:lstStyle/>
        <a:p>
          <a:endParaRPr lang="en-AU"/>
        </a:p>
      </dgm:t>
    </dgm:pt>
    <dgm:pt modelId="{C41541EA-4FA4-4AFB-8632-79E7EDBECF3F}" type="pres">
      <dgm:prSet presAssocID="{469EE93D-CCBB-4219-B205-F0135320E231}" presName="hSp" presStyleCnt="0"/>
      <dgm:spPr/>
    </dgm:pt>
    <dgm:pt modelId="{82D18F60-6258-43F9-80AA-C3A6B460CACF}" type="pres">
      <dgm:prSet presAssocID="{469EE93D-CCBB-4219-B205-F0135320E231}" presName="vProcSp" presStyleCnt="0"/>
      <dgm:spPr/>
    </dgm:pt>
    <dgm:pt modelId="{7BBFB510-0ED1-4AF1-8ABF-3E55CC3378B9}" type="pres">
      <dgm:prSet presAssocID="{469EE93D-CCBB-4219-B205-F0135320E231}" presName="vSp1" presStyleCnt="0"/>
      <dgm:spPr/>
    </dgm:pt>
    <dgm:pt modelId="{B69A4D15-46DA-4831-A682-3B9C690822D2}" type="pres">
      <dgm:prSet presAssocID="{469EE93D-CCBB-4219-B205-F0135320E231}" presName="simulatedConn" presStyleLbl="solidFgAcc1" presStyleIdx="0" presStyleCnt="1" custScaleX="235945" custScaleY="98855" custLinFactNeighborY="24662"/>
      <dgm:spPr>
        <a:xfrm rot="5400000">
          <a:off x="2674270" y="2273167"/>
          <a:ext cx="442368" cy="896663"/>
        </a:xfrm>
        <a:prstGeom prst="flowChartExtract">
          <a:avLst/>
        </a:prstGeom>
        <a:solidFill>
          <a:srgbClr val="70AD47">
            <a:lumMod val="50000"/>
          </a:srgbClr>
        </a:solidFill>
        <a:ln w="12700" cap="flat" cmpd="sng" algn="ctr">
          <a:noFill/>
          <a:prstDash val="solid"/>
          <a:miter lim="800000"/>
        </a:ln>
        <a:effectLst>
          <a:outerShdw blurRad="50800" dist="38100" dir="2700000" algn="tl" rotWithShape="0">
            <a:prstClr val="black">
              <a:alpha val="40000"/>
            </a:prstClr>
          </a:outerShdw>
        </a:effectLst>
      </dgm:spPr>
      <dgm:t>
        <a:bodyPr/>
        <a:lstStyle/>
        <a:p>
          <a:endParaRPr lang="en-AU"/>
        </a:p>
      </dgm:t>
    </dgm:pt>
    <dgm:pt modelId="{D6E86BB3-BD8D-46EE-AAB0-35D29DC239CD}" type="pres">
      <dgm:prSet presAssocID="{469EE93D-CCBB-4219-B205-F0135320E231}" presName="vSp2" presStyleCnt="0"/>
      <dgm:spPr/>
    </dgm:pt>
    <dgm:pt modelId="{BF049829-0F2A-4F39-89CE-A36CA62B70DC}" type="pres">
      <dgm:prSet presAssocID="{469EE93D-CCBB-4219-B205-F0135320E231}" presName="sibTrans" presStyleCnt="0"/>
      <dgm:spPr/>
    </dgm:pt>
    <dgm:pt modelId="{9787F337-6D00-4495-AAC4-50F671DE0368}" type="pres">
      <dgm:prSet presAssocID="{60339268-E571-4D14-9011-05A0305D47A9}" presName="compositeNode" presStyleCnt="0">
        <dgm:presLayoutVars>
          <dgm:bulletEnabled val="1"/>
        </dgm:presLayoutVars>
      </dgm:prSet>
      <dgm:spPr/>
    </dgm:pt>
    <dgm:pt modelId="{7DE8C76F-2853-4609-A8E6-63E37988E462}" type="pres">
      <dgm:prSet presAssocID="{60339268-E571-4D14-9011-05A0305D47A9}" presName="bgRect" presStyleLbl="node1" presStyleIdx="1" presStyleCnt="2"/>
      <dgm:spPr>
        <a:prstGeom prst="roundRect">
          <a:avLst>
            <a:gd name="adj" fmla="val 5000"/>
          </a:avLst>
        </a:prstGeom>
      </dgm:spPr>
      <dgm:t>
        <a:bodyPr/>
        <a:lstStyle/>
        <a:p>
          <a:endParaRPr lang="en-AU"/>
        </a:p>
      </dgm:t>
    </dgm:pt>
    <dgm:pt modelId="{553FDD65-06AB-47F2-9C73-71C426335076}" type="pres">
      <dgm:prSet presAssocID="{60339268-E571-4D14-9011-05A0305D47A9}" presName="parentNode" presStyleLbl="node1" presStyleIdx="1" presStyleCnt="2">
        <dgm:presLayoutVars>
          <dgm:chMax val="0"/>
          <dgm:bulletEnabled val="1"/>
        </dgm:presLayoutVars>
      </dgm:prSet>
      <dgm:spPr/>
      <dgm:t>
        <a:bodyPr/>
        <a:lstStyle/>
        <a:p>
          <a:endParaRPr lang="en-AU"/>
        </a:p>
      </dgm:t>
    </dgm:pt>
    <dgm:pt modelId="{56FFBF0D-2F11-4D8D-B89B-2B527555263D}" type="pres">
      <dgm:prSet presAssocID="{60339268-E571-4D14-9011-05A0305D47A9}" presName="childNode" presStyleLbl="node1" presStyleIdx="1" presStyleCnt="2">
        <dgm:presLayoutVars>
          <dgm:bulletEnabled val="1"/>
        </dgm:presLayoutVars>
      </dgm:prSet>
      <dgm:spPr>
        <a:prstGeom prst="rect">
          <a:avLst/>
        </a:prstGeom>
      </dgm:spPr>
      <dgm:t>
        <a:bodyPr/>
        <a:lstStyle/>
        <a:p>
          <a:endParaRPr lang="en-AU"/>
        </a:p>
      </dgm:t>
    </dgm:pt>
  </dgm:ptLst>
  <dgm:cxnLst>
    <dgm:cxn modelId="{0DFB290B-98B5-4FB5-A685-47E352B0D3C6}" type="presOf" srcId="{6E760029-3516-4AC2-9FE4-D50C4A071BD6}" destId="{5BA70862-8CD4-4754-8340-F1AA6F2B6D33}" srcOrd="0" destOrd="2" presId="urn:microsoft.com/office/officeart/2005/8/layout/hProcess7"/>
    <dgm:cxn modelId="{AF96C3A0-C3BA-4C14-A3B9-3A2DA4547CD2}" type="presOf" srcId="{11F7DAE7-5BFA-4E17-A346-BAA8376A2E16}" destId="{B9E1F392-EFDD-43B2-8A54-6361C8208DFC}" srcOrd="0" destOrd="0" presId="urn:microsoft.com/office/officeart/2005/8/layout/hProcess7"/>
    <dgm:cxn modelId="{002BEF68-F311-4FF4-913B-55E51DFB612B}" srcId="{60339268-E571-4D14-9011-05A0305D47A9}" destId="{1961C0D7-DFF6-44CD-8E79-D1F3440BA45E}" srcOrd="0" destOrd="0" parTransId="{EC20F96D-E469-4C50-A48D-88F04D1D4A73}" sibTransId="{50C04975-8400-4FC2-9B9E-43F4659524C7}"/>
    <dgm:cxn modelId="{C15421A3-7852-4429-B43F-25B2188C3329}" srcId="{73B2AEAF-1C98-483C-8FE9-1EB760D23765}" destId="{6E760029-3516-4AC2-9FE4-D50C4A071BD6}" srcOrd="2" destOrd="0" parTransId="{4EE0C44F-96B9-4846-9FC9-788B36CB2154}" sibTransId="{05EDCF70-26D0-4966-B611-C6CEB6D5327D}"/>
    <dgm:cxn modelId="{69C7C529-EE95-49CC-A842-95C156D4A2A8}" srcId="{73B2AEAF-1C98-483C-8FE9-1EB760D23765}" destId="{7FC49E14-FB28-408E-A219-5199F32AA2D5}" srcOrd="1" destOrd="0" parTransId="{53CD45F5-8014-4AD0-8ADE-A6982F7B2EA5}" sibTransId="{A0F9E791-9E26-46C5-8D4B-0CD8CD8C2A03}"/>
    <dgm:cxn modelId="{545E9C4F-054B-4F5C-B852-3CBCFFF0458D}" type="presOf" srcId="{B78C4C10-4C32-41F4-B571-5CC018614B52}" destId="{5BA70862-8CD4-4754-8340-F1AA6F2B6D33}" srcOrd="0" destOrd="0" presId="urn:microsoft.com/office/officeart/2005/8/layout/hProcess7"/>
    <dgm:cxn modelId="{7D77CBE0-972B-4B9C-9FDE-1F959A9ECC6B}" type="presOf" srcId="{88D55513-7191-4A61-AA43-5DDF752E8056}" destId="{5BA70862-8CD4-4754-8340-F1AA6F2B6D33}" srcOrd="0" destOrd="3" presId="urn:microsoft.com/office/officeart/2005/8/layout/hProcess7"/>
    <dgm:cxn modelId="{7176BAD1-C8AA-4731-A0B4-C55257E3EEAC}" srcId="{11F7DAE7-5BFA-4E17-A346-BAA8376A2E16}" destId="{73B2AEAF-1C98-483C-8FE9-1EB760D23765}" srcOrd="0" destOrd="0" parTransId="{7888CA8F-DCE1-4043-8615-24658B2E96D1}" sibTransId="{469EE93D-CCBB-4219-B205-F0135320E231}"/>
    <dgm:cxn modelId="{1F9B48E3-8280-489F-B6FC-0E3243521985}" srcId="{11F7DAE7-5BFA-4E17-A346-BAA8376A2E16}" destId="{60339268-E571-4D14-9011-05A0305D47A9}" srcOrd="1" destOrd="0" parTransId="{3F35929E-0D1A-49A6-B830-98BA70460034}" sibTransId="{8351FD1E-E9D3-463F-9EDF-F0828D6072D4}"/>
    <dgm:cxn modelId="{78076A18-9294-40EC-BFEA-11B60AF024BD}" srcId="{73B2AEAF-1C98-483C-8FE9-1EB760D23765}" destId="{88D55513-7191-4A61-AA43-5DDF752E8056}" srcOrd="3" destOrd="0" parTransId="{0F25075B-3885-42AA-8BC5-0FD6735A9D52}" sibTransId="{2773C684-BE59-4E42-B516-ED8D9E77CAEA}"/>
    <dgm:cxn modelId="{A1F2E3FF-AE15-4EA6-8D84-86BDE87035AC}" type="presOf" srcId="{60339268-E571-4D14-9011-05A0305D47A9}" destId="{553FDD65-06AB-47F2-9C73-71C426335076}" srcOrd="1" destOrd="0" presId="urn:microsoft.com/office/officeart/2005/8/layout/hProcess7"/>
    <dgm:cxn modelId="{C1766014-48E9-42E6-A6C4-620CC76DEB8F}" type="presOf" srcId="{60339268-E571-4D14-9011-05A0305D47A9}" destId="{7DE8C76F-2853-4609-A8E6-63E37988E462}" srcOrd="0" destOrd="0" presId="urn:microsoft.com/office/officeart/2005/8/layout/hProcess7"/>
    <dgm:cxn modelId="{25FDB214-0CA9-423F-AC73-495EB21E799E}" srcId="{73B2AEAF-1C98-483C-8FE9-1EB760D23765}" destId="{B78C4C10-4C32-41F4-B571-5CC018614B52}" srcOrd="0" destOrd="0" parTransId="{188FADF3-856C-4E96-92B7-7D67CD18BF7F}" sibTransId="{110A0213-F899-4701-9210-D6CFF7DD2E45}"/>
    <dgm:cxn modelId="{4152051A-E24F-4653-858C-9878AE02DFCF}" type="presOf" srcId="{73B2AEAF-1C98-483C-8FE9-1EB760D23765}" destId="{910D0492-DC0D-44AD-8A86-D3910D698604}" srcOrd="1" destOrd="0" presId="urn:microsoft.com/office/officeart/2005/8/layout/hProcess7"/>
    <dgm:cxn modelId="{2097000F-E371-4483-8B6E-E359947D3713}" type="presOf" srcId="{7FC49E14-FB28-408E-A219-5199F32AA2D5}" destId="{5BA70862-8CD4-4754-8340-F1AA6F2B6D33}" srcOrd="0" destOrd="1" presId="urn:microsoft.com/office/officeart/2005/8/layout/hProcess7"/>
    <dgm:cxn modelId="{0929BE12-F81B-4025-AA95-E54EC9481067}" type="presOf" srcId="{73B2AEAF-1C98-483C-8FE9-1EB760D23765}" destId="{60DAE95B-9499-4A56-A9EF-EA99B454DBB5}" srcOrd="0" destOrd="0" presId="urn:microsoft.com/office/officeart/2005/8/layout/hProcess7"/>
    <dgm:cxn modelId="{BFF2E960-904B-4C7A-BF8E-C96790085348}" type="presOf" srcId="{1961C0D7-DFF6-44CD-8E79-D1F3440BA45E}" destId="{56FFBF0D-2F11-4D8D-B89B-2B527555263D}" srcOrd="0" destOrd="0" presId="urn:microsoft.com/office/officeart/2005/8/layout/hProcess7"/>
    <dgm:cxn modelId="{E0703A02-B399-42B0-9037-DE50C9FFE83C}" type="presParOf" srcId="{B9E1F392-EFDD-43B2-8A54-6361C8208DFC}" destId="{BEB6B4CE-B25E-44EF-93C5-A64633034108}" srcOrd="0" destOrd="0" presId="urn:microsoft.com/office/officeart/2005/8/layout/hProcess7"/>
    <dgm:cxn modelId="{5B209D0D-67CF-451B-B813-78ADA8DCBE98}" type="presParOf" srcId="{BEB6B4CE-B25E-44EF-93C5-A64633034108}" destId="{60DAE95B-9499-4A56-A9EF-EA99B454DBB5}" srcOrd="0" destOrd="0" presId="urn:microsoft.com/office/officeart/2005/8/layout/hProcess7"/>
    <dgm:cxn modelId="{EFAF249C-94BF-45F3-A1DE-A109F7A1E41D}" type="presParOf" srcId="{BEB6B4CE-B25E-44EF-93C5-A64633034108}" destId="{910D0492-DC0D-44AD-8A86-D3910D698604}" srcOrd="1" destOrd="0" presId="urn:microsoft.com/office/officeart/2005/8/layout/hProcess7"/>
    <dgm:cxn modelId="{B82A94A8-784B-4DE7-A6AB-CEE8D088FDDE}" type="presParOf" srcId="{BEB6B4CE-B25E-44EF-93C5-A64633034108}" destId="{5BA70862-8CD4-4754-8340-F1AA6F2B6D33}" srcOrd="2" destOrd="0" presId="urn:microsoft.com/office/officeart/2005/8/layout/hProcess7"/>
    <dgm:cxn modelId="{5F852556-25C5-4C07-BD20-2BE0012FE09A}" type="presParOf" srcId="{B9E1F392-EFDD-43B2-8A54-6361C8208DFC}" destId="{C41541EA-4FA4-4AFB-8632-79E7EDBECF3F}" srcOrd="1" destOrd="0" presId="urn:microsoft.com/office/officeart/2005/8/layout/hProcess7"/>
    <dgm:cxn modelId="{93D8D6C8-903B-4117-AD52-5BBC38F7B9B9}" type="presParOf" srcId="{B9E1F392-EFDD-43B2-8A54-6361C8208DFC}" destId="{82D18F60-6258-43F9-80AA-C3A6B460CACF}" srcOrd="2" destOrd="0" presId="urn:microsoft.com/office/officeart/2005/8/layout/hProcess7"/>
    <dgm:cxn modelId="{54178E13-ABB6-4C68-9185-C9E7CD8E3770}" type="presParOf" srcId="{82D18F60-6258-43F9-80AA-C3A6B460CACF}" destId="{7BBFB510-0ED1-4AF1-8ABF-3E55CC3378B9}" srcOrd="0" destOrd="0" presId="urn:microsoft.com/office/officeart/2005/8/layout/hProcess7"/>
    <dgm:cxn modelId="{1D48C401-EE25-42DB-BF86-E6947F2F6B2E}" type="presParOf" srcId="{82D18F60-6258-43F9-80AA-C3A6B460CACF}" destId="{B69A4D15-46DA-4831-A682-3B9C690822D2}" srcOrd="1" destOrd="0" presId="urn:microsoft.com/office/officeart/2005/8/layout/hProcess7"/>
    <dgm:cxn modelId="{09B9CECB-2509-41BA-AA45-1A7C164225D1}" type="presParOf" srcId="{82D18F60-6258-43F9-80AA-C3A6B460CACF}" destId="{D6E86BB3-BD8D-46EE-AAB0-35D29DC239CD}" srcOrd="2" destOrd="0" presId="urn:microsoft.com/office/officeart/2005/8/layout/hProcess7"/>
    <dgm:cxn modelId="{CB0E58FB-28E5-47E3-9967-FCB361B59A43}" type="presParOf" srcId="{B9E1F392-EFDD-43B2-8A54-6361C8208DFC}" destId="{BF049829-0F2A-4F39-89CE-A36CA62B70DC}" srcOrd="3" destOrd="0" presId="urn:microsoft.com/office/officeart/2005/8/layout/hProcess7"/>
    <dgm:cxn modelId="{41805939-58BF-4CC8-B375-B6D0BD631982}" type="presParOf" srcId="{B9E1F392-EFDD-43B2-8A54-6361C8208DFC}" destId="{9787F337-6D00-4495-AAC4-50F671DE0368}" srcOrd="4" destOrd="0" presId="urn:microsoft.com/office/officeart/2005/8/layout/hProcess7"/>
    <dgm:cxn modelId="{F3D55FA8-0DF3-4D64-A022-69E4E9ED7D43}" type="presParOf" srcId="{9787F337-6D00-4495-AAC4-50F671DE0368}" destId="{7DE8C76F-2853-4609-A8E6-63E37988E462}" srcOrd="0" destOrd="0" presId="urn:microsoft.com/office/officeart/2005/8/layout/hProcess7"/>
    <dgm:cxn modelId="{C2DBC1A2-D0BB-4373-8E5F-DA4BD87C7F0F}" type="presParOf" srcId="{9787F337-6D00-4495-AAC4-50F671DE0368}" destId="{553FDD65-06AB-47F2-9C73-71C426335076}" srcOrd="1" destOrd="0" presId="urn:microsoft.com/office/officeart/2005/8/layout/hProcess7"/>
    <dgm:cxn modelId="{FDBB1EDF-89ED-486D-BB3E-D6223E8408B2}" type="presParOf" srcId="{9787F337-6D00-4495-AAC4-50F671DE0368}" destId="{56FFBF0D-2F11-4D8D-B89B-2B527555263D}" srcOrd="2" destOrd="0" presId="urn:microsoft.com/office/officeart/2005/8/layout/hProcess7"/>
  </dgm:cxnLst>
  <dgm:bg/>
  <dgm:whole>
    <a:ln>
      <a:noFill/>
    </a:ln>
  </dgm:whole>
  <dgm:extLst>
    <a:ext uri="http://schemas.microsoft.com/office/drawing/2008/diagram">
      <dsp:dataModelExt xmlns:dsp="http://schemas.microsoft.com/office/drawing/2008/diagram" relId="rId9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1F7DAE7-5BFA-4E17-A346-BAA8376A2E16}" type="doc">
      <dgm:prSet loTypeId="urn:microsoft.com/office/officeart/2005/8/layout/hProcess7" loCatId="process" qsTypeId="urn:microsoft.com/office/officeart/2005/8/quickstyle/simple1" qsCatId="simple" csTypeId="urn:microsoft.com/office/officeart/2005/8/colors/accent1_2" csCatId="accent1" phldr="1"/>
      <dgm:spPr/>
      <dgm:t>
        <a:bodyPr/>
        <a:lstStyle/>
        <a:p>
          <a:endParaRPr lang="en-AU"/>
        </a:p>
      </dgm:t>
    </dgm:pt>
    <dgm:pt modelId="{73B2AEAF-1C98-483C-8FE9-1EB760D23765}">
      <dgm:prSet phldrT="[Text]"/>
      <dgm:spPr>
        <a:xfrm>
          <a:off x="2280" y="0"/>
          <a:ext cx="2557910" cy="2114550"/>
        </a:xfrm>
        <a:noFill/>
        <a:ln w="12700" cap="flat" cmpd="sng" algn="ctr">
          <a:solidFill>
            <a:srgbClr val="E6E7F2"/>
          </a:solidFill>
          <a:prstDash val="solid"/>
          <a:miter lim="800000"/>
        </a:ln>
        <a:effectLst/>
      </dgm:spPr>
      <dgm:t>
        <a:bodyPr/>
        <a:lstStyle/>
        <a:p>
          <a:endParaRPr lang="en-AU">
            <a:solidFill>
              <a:sysClr val="window" lastClr="FFFFFF"/>
            </a:solidFill>
            <a:latin typeface="Calibri" panose="020F0502020204030204"/>
            <a:ea typeface="+mn-ea"/>
            <a:cs typeface="+mn-cs"/>
          </a:endParaRPr>
        </a:p>
      </dgm:t>
    </dgm:pt>
    <dgm:pt modelId="{7888CA8F-DCE1-4043-8615-24658B2E96D1}" type="parTrans" cxnId="{7176BAD1-C8AA-4731-A0B4-C55257E3EEAC}">
      <dgm:prSet/>
      <dgm:spPr/>
      <dgm:t>
        <a:bodyPr/>
        <a:lstStyle/>
        <a:p>
          <a:endParaRPr lang="en-AU"/>
        </a:p>
      </dgm:t>
    </dgm:pt>
    <dgm:pt modelId="{469EE93D-CCBB-4219-B205-F0135320E231}" type="sibTrans" cxnId="{7176BAD1-C8AA-4731-A0B4-C55257E3EEAC}">
      <dgm:prSet/>
      <dgm:spPr/>
      <dgm:t>
        <a:bodyPr/>
        <a:lstStyle/>
        <a:p>
          <a:endParaRPr lang="en-AU"/>
        </a:p>
      </dgm:t>
    </dgm:pt>
    <dgm:pt modelId="{60339268-E571-4D14-9011-05A0305D47A9}">
      <dgm:prSet phldrT="[Text]"/>
      <dgm:spPr>
        <a:xfrm>
          <a:off x="3042375" y="0"/>
          <a:ext cx="2557910" cy="2114550"/>
        </a:xfrm>
        <a:solidFill>
          <a:srgbClr val="E6E7F2"/>
        </a:solidFill>
        <a:ln w="12700" cap="flat" cmpd="sng" algn="ctr">
          <a:noFill/>
          <a:prstDash val="solid"/>
          <a:miter lim="800000"/>
        </a:ln>
        <a:effectLst/>
      </dgm:spPr>
      <dgm:t>
        <a:bodyPr/>
        <a:lstStyle/>
        <a:p>
          <a:endParaRPr lang="en-AU">
            <a:solidFill>
              <a:sysClr val="window" lastClr="FFFFFF"/>
            </a:solidFill>
            <a:latin typeface="Calibri" panose="020F0502020204030204"/>
            <a:ea typeface="+mn-ea"/>
            <a:cs typeface="+mn-cs"/>
          </a:endParaRPr>
        </a:p>
      </dgm:t>
    </dgm:pt>
    <dgm:pt modelId="{3F35929E-0D1A-49A6-B830-98BA70460034}" type="parTrans" cxnId="{1F9B48E3-8280-489F-B6FC-0E3243521985}">
      <dgm:prSet/>
      <dgm:spPr/>
      <dgm:t>
        <a:bodyPr/>
        <a:lstStyle/>
        <a:p>
          <a:endParaRPr lang="en-AU"/>
        </a:p>
      </dgm:t>
    </dgm:pt>
    <dgm:pt modelId="{8351FD1E-E9D3-463F-9EDF-F0828D6072D4}" type="sibTrans" cxnId="{1F9B48E3-8280-489F-B6FC-0E3243521985}">
      <dgm:prSet/>
      <dgm:spPr/>
      <dgm:t>
        <a:bodyPr/>
        <a:lstStyle/>
        <a:p>
          <a:endParaRPr lang="en-AU"/>
        </a:p>
      </dgm:t>
    </dgm:pt>
    <dgm:pt modelId="{1961C0D7-DFF6-44CD-8E79-D1F3440BA45E}">
      <dgm:prSet phldrT="[Text]" custT="1"/>
      <dgm:spPr>
        <a:xfrm>
          <a:off x="3553957" y="0"/>
          <a:ext cx="1905643" cy="2114550"/>
        </a:xfrm>
        <a:noFill/>
        <a:ln w="12700" cap="flat" cmpd="sng" algn="ctr">
          <a:noFill/>
          <a:prstDash val="solid"/>
          <a:miter lim="800000"/>
        </a:ln>
        <a:effectLst/>
        <a:sp3d/>
      </dgm:spPr>
      <dgm:t>
        <a:bodyPr/>
        <a:lstStyle/>
        <a:p>
          <a:pPr algn="l">
            <a:spcAft>
              <a:spcPct val="35000"/>
            </a:spcAft>
          </a:pPr>
          <a:endParaRPr lang="en-AU" sz="1100">
            <a:solidFill>
              <a:sysClr val="windowText" lastClr="000000"/>
            </a:solidFill>
            <a:latin typeface="Calibri" panose="020F0502020204030204"/>
            <a:ea typeface="+mn-ea"/>
            <a:cs typeface="+mn-cs"/>
          </a:endParaRPr>
        </a:p>
        <a:p>
          <a:pPr algn="l">
            <a:spcAft>
              <a:spcPts val="600"/>
            </a:spcAft>
          </a:pPr>
          <a:r>
            <a:rPr lang="en-AU" sz="1100">
              <a:solidFill>
                <a:sysClr val="windowText" lastClr="000000"/>
              </a:solidFill>
              <a:latin typeface="Calibri" panose="020F0502020204030204"/>
              <a:ea typeface="+mn-ea"/>
              <a:cs typeface="+mn-cs"/>
            </a:rPr>
            <a:t>Point out that the integration of a gender perspective will enrich the information available from the investigation and increase its value.</a:t>
          </a:r>
        </a:p>
      </dgm:t>
    </dgm:pt>
    <dgm:pt modelId="{EC20F96D-E469-4C50-A48D-88F04D1D4A73}" type="parTrans" cxnId="{002BEF68-F311-4FF4-913B-55E51DFB612B}">
      <dgm:prSet/>
      <dgm:spPr/>
      <dgm:t>
        <a:bodyPr/>
        <a:lstStyle/>
        <a:p>
          <a:endParaRPr lang="en-AU"/>
        </a:p>
      </dgm:t>
    </dgm:pt>
    <dgm:pt modelId="{50C04975-8400-4FC2-9B9E-43F4659524C7}" type="sibTrans" cxnId="{002BEF68-F311-4FF4-913B-55E51DFB612B}">
      <dgm:prSet/>
      <dgm:spPr/>
      <dgm:t>
        <a:bodyPr/>
        <a:lstStyle/>
        <a:p>
          <a:endParaRPr lang="en-AU"/>
        </a:p>
      </dgm:t>
    </dgm:pt>
    <dgm:pt modelId="{B78C4C10-4C32-41F4-B571-5CC018614B52}">
      <dgm:prSet phldrT="[Text]" custT="1"/>
      <dgm:spPr>
        <a:xfrm>
          <a:off x="513862" y="0"/>
          <a:ext cx="1905643" cy="2114550"/>
        </a:xfrm>
        <a:noFill/>
        <a:ln w="12700" cap="flat" cmpd="sng" algn="ctr">
          <a:noFill/>
          <a:prstDash val="solid"/>
          <a:miter lim="800000"/>
        </a:ln>
        <a:effectLst/>
        <a:sp3d/>
      </dgm:spPr>
      <dgm:t>
        <a:bodyPr/>
        <a:lstStyle/>
        <a:p>
          <a:pPr algn="l">
            <a:spcAft>
              <a:spcPct val="35000"/>
            </a:spcAft>
          </a:pPr>
          <a:endParaRPr lang="en-AU" sz="1100" b="1">
            <a:solidFill>
              <a:sysClr val="windowText" lastClr="000000"/>
            </a:solidFill>
            <a:latin typeface="Calibri" panose="020F0502020204030204"/>
            <a:ea typeface="+mn-ea"/>
            <a:cs typeface="+mn-cs"/>
          </a:endParaRPr>
        </a:p>
        <a:p>
          <a:pPr algn="l">
            <a:spcAft>
              <a:spcPct val="35000"/>
            </a:spcAft>
          </a:pPr>
          <a:r>
            <a:rPr lang="en-AU" sz="1100" b="1">
              <a:solidFill>
                <a:sysClr val="windowText" lastClr="000000"/>
              </a:solidFill>
              <a:latin typeface="Calibri" panose="020F0502020204030204"/>
              <a:ea typeface="+mn-ea"/>
              <a:cs typeface="+mn-cs"/>
            </a:rPr>
            <a:t>Undervaluing gender statistics 2</a:t>
          </a:r>
        </a:p>
      </dgm:t>
    </dgm:pt>
    <dgm:pt modelId="{110A0213-F899-4701-9210-D6CFF7DD2E45}" type="sibTrans" cxnId="{25FDB214-0CA9-423F-AC73-495EB21E799E}">
      <dgm:prSet/>
      <dgm:spPr/>
      <dgm:t>
        <a:bodyPr/>
        <a:lstStyle/>
        <a:p>
          <a:endParaRPr lang="en-AU"/>
        </a:p>
      </dgm:t>
    </dgm:pt>
    <dgm:pt modelId="{188FADF3-856C-4E96-92B7-7D67CD18BF7F}" type="parTrans" cxnId="{25FDB214-0CA9-423F-AC73-495EB21E799E}">
      <dgm:prSet/>
      <dgm:spPr/>
      <dgm:t>
        <a:bodyPr/>
        <a:lstStyle/>
        <a:p>
          <a:endParaRPr lang="en-AU"/>
        </a:p>
      </dgm:t>
    </dgm:pt>
    <dgm:pt modelId="{7C8FE413-96CF-4CEE-8159-E360633A8188}">
      <dgm:prSet custT="1"/>
      <dgm:spPr>
        <a:xfrm>
          <a:off x="513862" y="0"/>
          <a:ext cx="1905643" cy="2114550"/>
        </a:xfrm>
        <a:noFill/>
        <a:ln w="12700" cap="flat" cmpd="sng" algn="ctr">
          <a:noFill/>
          <a:prstDash val="solid"/>
          <a:miter lim="800000"/>
        </a:ln>
        <a:effectLst/>
        <a:sp3d/>
      </dgm:spPr>
      <dgm:t>
        <a:bodyPr/>
        <a:lstStyle/>
        <a:p>
          <a:pPr>
            <a:spcAft>
              <a:spcPct val="35000"/>
            </a:spcAft>
          </a:pPr>
          <a:endParaRPr lang="en-AU" sz="1100">
            <a:solidFill>
              <a:sysClr val="windowText" lastClr="000000"/>
            </a:solidFill>
            <a:latin typeface="Calibri" panose="020F0502020204030204"/>
            <a:ea typeface="+mn-ea"/>
            <a:cs typeface="+mn-cs"/>
          </a:endParaRPr>
        </a:p>
      </dgm:t>
    </dgm:pt>
    <dgm:pt modelId="{2B18874C-130C-4DFD-A041-27E8FD96839A}" type="parTrans" cxnId="{0F0F1C5D-DF67-4910-9F38-556E11C8D7B4}">
      <dgm:prSet/>
      <dgm:spPr/>
      <dgm:t>
        <a:bodyPr/>
        <a:lstStyle/>
        <a:p>
          <a:endParaRPr lang="en-AU"/>
        </a:p>
      </dgm:t>
    </dgm:pt>
    <dgm:pt modelId="{42150BC7-B3CD-44FF-9699-0D61F92D5F4E}" type="sibTrans" cxnId="{0F0F1C5D-DF67-4910-9F38-556E11C8D7B4}">
      <dgm:prSet/>
      <dgm:spPr/>
      <dgm:t>
        <a:bodyPr/>
        <a:lstStyle/>
        <a:p>
          <a:endParaRPr lang="en-AU"/>
        </a:p>
      </dgm:t>
    </dgm:pt>
    <dgm:pt modelId="{9DA8BFBE-31A6-4E78-8E43-37289298EF35}">
      <dgm:prSet custT="1"/>
      <dgm:spPr>
        <a:xfrm>
          <a:off x="513862" y="0"/>
          <a:ext cx="1905643" cy="2114550"/>
        </a:xfrm>
        <a:noFill/>
        <a:ln w="12700" cap="flat" cmpd="sng" algn="ctr">
          <a:noFill/>
          <a:prstDash val="solid"/>
          <a:miter lim="800000"/>
        </a:ln>
        <a:effectLst/>
        <a:sp3d/>
      </dgm:spPr>
      <dgm:t>
        <a:bodyPr/>
        <a:lstStyle/>
        <a:p>
          <a:pPr>
            <a:spcAft>
              <a:spcPts val="600"/>
            </a:spcAft>
          </a:pPr>
          <a:r>
            <a:rPr lang="en-AU" sz="1100" b="0">
              <a:solidFill>
                <a:sysClr val="windowText" lastClr="000000"/>
              </a:solidFill>
              <a:latin typeface="Calibri" panose="020F0502020204030204"/>
              <a:ea typeface="+mn-ea"/>
              <a:cs typeface="+mn-cs"/>
            </a:rPr>
            <a:t>Leadership claims that disaggregating data by sex will adversely affect the quality of the data.</a:t>
          </a:r>
        </a:p>
      </dgm:t>
    </dgm:pt>
    <dgm:pt modelId="{FC863F1B-DE71-4005-AA18-603334AFE4BB}" type="parTrans" cxnId="{6F78EB7A-D92A-4E03-BE68-00597EC45BD2}">
      <dgm:prSet/>
      <dgm:spPr/>
      <dgm:t>
        <a:bodyPr/>
        <a:lstStyle/>
        <a:p>
          <a:endParaRPr lang="en-AU"/>
        </a:p>
      </dgm:t>
    </dgm:pt>
    <dgm:pt modelId="{9C713FD5-37AE-46A7-BE65-2307DAF661EA}" type="sibTrans" cxnId="{6F78EB7A-D92A-4E03-BE68-00597EC45BD2}">
      <dgm:prSet/>
      <dgm:spPr/>
      <dgm:t>
        <a:bodyPr/>
        <a:lstStyle/>
        <a:p>
          <a:endParaRPr lang="en-AU"/>
        </a:p>
      </dgm:t>
    </dgm:pt>
    <dgm:pt modelId="{88E20070-948D-4570-8B69-42190D57A27D}">
      <dgm:prSet custT="1"/>
      <dgm:spPr>
        <a:xfrm>
          <a:off x="513862" y="0"/>
          <a:ext cx="1905643" cy="2114550"/>
        </a:xfrm>
        <a:noFill/>
        <a:ln w="12700" cap="flat" cmpd="sng" algn="ctr">
          <a:noFill/>
          <a:prstDash val="solid"/>
          <a:miter lim="800000"/>
        </a:ln>
        <a:effectLst/>
        <a:sp3d/>
      </dgm:spPr>
      <dgm:t>
        <a:bodyPr/>
        <a:lstStyle/>
        <a:p>
          <a:pPr>
            <a:spcAft>
              <a:spcPct val="35000"/>
            </a:spcAft>
          </a:pPr>
          <a:endParaRPr lang="en-AU" sz="1100" b="1">
            <a:solidFill>
              <a:sysClr val="windowText" lastClr="000000"/>
            </a:solidFill>
            <a:latin typeface="Calibri" panose="020F0502020204030204"/>
            <a:ea typeface="+mn-ea"/>
            <a:cs typeface="+mn-cs"/>
          </a:endParaRPr>
        </a:p>
      </dgm:t>
    </dgm:pt>
    <dgm:pt modelId="{5D500C71-48EF-4CB7-ABF4-BE86497C269F}" type="parTrans" cxnId="{92BFA861-E94B-4579-8094-D0CC2E0DF98C}">
      <dgm:prSet/>
      <dgm:spPr/>
      <dgm:t>
        <a:bodyPr/>
        <a:lstStyle/>
        <a:p>
          <a:endParaRPr lang="en-AU"/>
        </a:p>
      </dgm:t>
    </dgm:pt>
    <dgm:pt modelId="{4FB355A1-9114-436B-AC93-569B21A0AA55}" type="sibTrans" cxnId="{92BFA861-E94B-4579-8094-D0CC2E0DF98C}">
      <dgm:prSet/>
      <dgm:spPr/>
      <dgm:t>
        <a:bodyPr/>
        <a:lstStyle/>
        <a:p>
          <a:endParaRPr lang="en-AU"/>
        </a:p>
      </dgm:t>
    </dgm:pt>
    <dgm:pt modelId="{530C3C60-4555-430C-A0CE-F284308022CB}">
      <dgm:prSet custT="1"/>
      <dgm:spPr>
        <a:xfrm>
          <a:off x="3553957" y="0"/>
          <a:ext cx="1905643" cy="2114550"/>
        </a:xfrm>
        <a:noFill/>
        <a:ln w="12700" cap="flat" cmpd="sng" algn="ctr">
          <a:noFill/>
          <a:prstDash val="solid"/>
          <a:miter lim="800000"/>
        </a:ln>
        <a:effectLst/>
        <a:sp3d/>
      </dgm:spPr>
      <dgm:t>
        <a:bodyPr/>
        <a:lstStyle/>
        <a:p>
          <a:pPr>
            <a:spcAft>
              <a:spcPct val="35000"/>
            </a:spcAft>
          </a:pPr>
          <a:r>
            <a:rPr lang="en-AU" sz="1100">
              <a:solidFill>
                <a:sysClr val="windowText" lastClr="000000"/>
              </a:solidFill>
              <a:latin typeface="Calibri" panose="020F0502020204030204"/>
              <a:ea typeface="+mn-ea"/>
              <a:cs typeface="+mn-cs"/>
            </a:rPr>
            <a:t>Stress that disaggregation by sex often results in more accuate data, as it allows for additional checks of data collection and recording.</a:t>
          </a:r>
        </a:p>
      </dgm:t>
    </dgm:pt>
    <dgm:pt modelId="{8FBD7D7C-18A2-43F8-A8E2-6AED2B768C0A}" type="parTrans" cxnId="{3D031198-5378-450B-8193-1718C38EB650}">
      <dgm:prSet/>
      <dgm:spPr/>
      <dgm:t>
        <a:bodyPr/>
        <a:lstStyle/>
        <a:p>
          <a:endParaRPr lang="en-AU"/>
        </a:p>
      </dgm:t>
    </dgm:pt>
    <dgm:pt modelId="{E9965557-C870-4922-A67E-8A16D4CBEE41}" type="sibTrans" cxnId="{3D031198-5378-450B-8193-1718C38EB650}">
      <dgm:prSet/>
      <dgm:spPr/>
      <dgm:t>
        <a:bodyPr/>
        <a:lstStyle/>
        <a:p>
          <a:endParaRPr lang="en-AU"/>
        </a:p>
      </dgm:t>
    </dgm:pt>
    <dgm:pt modelId="{B9E1F392-EFDD-43B2-8A54-6361C8208DFC}" type="pres">
      <dgm:prSet presAssocID="{11F7DAE7-5BFA-4E17-A346-BAA8376A2E16}" presName="Name0" presStyleCnt="0">
        <dgm:presLayoutVars>
          <dgm:dir/>
          <dgm:animLvl val="lvl"/>
          <dgm:resizeHandles val="exact"/>
        </dgm:presLayoutVars>
      </dgm:prSet>
      <dgm:spPr/>
      <dgm:t>
        <a:bodyPr/>
        <a:lstStyle/>
        <a:p>
          <a:endParaRPr lang="en-AU"/>
        </a:p>
      </dgm:t>
    </dgm:pt>
    <dgm:pt modelId="{BEB6B4CE-B25E-44EF-93C5-A64633034108}" type="pres">
      <dgm:prSet presAssocID="{73B2AEAF-1C98-483C-8FE9-1EB760D23765}" presName="compositeNode" presStyleCnt="0">
        <dgm:presLayoutVars>
          <dgm:bulletEnabled val="1"/>
        </dgm:presLayoutVars>
      </dgm:prSet>
      <dgm:spPr/>
    </dgm:pt>
    <dgm:pt modelId="{60DAE95B-9499-4A56-A9EF-EA99B454DBB5}" type="pres">
      <dgm:prSet presAssocID="{73B2AEAF-1C98-483C-8FE9-1EB760D23765}" presName="bgRect" presStyleLbl="node1" presStyleIdx="0" presStyleCnt="2"/>
      <dgm:spPr>
        <a:prstGeom prst="roundRect">
          <a:avLst>
            <a:gd name="adj" fmla="val 5000"/>
          </a:avLst>
        </a:prstGeom>
      </dgm:spPr>
      <dgm:t>
        <a:bodyPr/>
        <a:lstStyle/>
        <a:p>
          <a:endParaRPr lang="en-AU"/>
        </a:p>
      </dgm:t>
    </dgm:pt>
    <dgm:pt modelId="{910D0492-DC0D-44AD-8A86-D3910D698604}" type="pres">
      <dgm:prSet presAssocID="{73B2AEAF-1C98-483C-8FE9-1EB760D23765}" presName="parentNode" presStyleLbl="node1" presStyleIdx="0" presStyleCnt="2">
        <dgm:presLayoutVars>
          <dgm:chMax val="0"/>
          <dgm:bulletEnabled val="1"/>
        </dgm:presLayoutVars>
      </dgm:prSet>
      <dgm:spPr/>
      <dgm:t>
        <a:bodyPr/>
        <a:lstStyle/>
        <a:p>
          <a:endParaRPr lang="en-AU"/>
        </a:p>
      </dgm:t>
    </dgm:pt>
    <dgm:pt modelId="{5BA70862-8CD4-4754-8340-F1AA6F2B6D33}" type="pres">
      <dgm:prSet presAssocID="{73B2AEAF-1C98-483C-8FE9-1EB760D23765}" presName="childNode" presStyleLbl="node1" presStyleIdx="0" presStyleCnt="2">
        <dgm:presLayoutVars>
          <dgm:bulletEnabled val="1"/>
        </dgm:presLayoutVars>
      </dgm:prSet>
      <dgm:spPr>
        <a:prstGeom prst="rect">
          <a:avLst/>
        </a:prstGeom>
      </dgm:spPr>
      <dgm:t>
        <a:bodyPr/>
        <a:lstStyle/>
        <a:p>
          <a:endParaRPr lang="en-AU"/>
        </a:p>
      </dgm:t>
    </dgm:pt>
    <dgm:pt modelId="{C41541EA-4FA4-4AFB-8632-79E7EDBECF3F}" type="pres">
      <dgm:prSet presAssocID="{469EE93D-CCBB-4219-B205-F0135320E231}" presName="hSp" presStyleCnt="0"/>
      <dgm:spPr/>
    </dgm:pt>
    <dgm:pt modelId="{82D18F60-6258-43F9-80AA-C3A6B460CACF}" type="pres">
      <dgm:prSet presAssocID="{469EE93D-CCBB-4219-B205-F0135320E231}" presName="vProcSp" presStyleCnt="0"/>
      <dgm:spPr/>
    </dgm:pt>
    <dgm:pt modelId="{7BBFB510-0ED1-4AF1-8ABF-3E55CC3378B9}" type="pres">
      <dgm:prSet presAssocID="{469EE93D-CCBB-4219-B205-F0135320E231}" presName="vSp1" presStyleCnt="0"/>
      <dgm:spPr/>
    </dgm:pt>
    <dgm:pt modelId="{B69A4D15-46DA-4831-A682-3B9C690822D2}" type="pres">
      <dgm:prSet presAssocID="{469EE93D-CCBB-4219-B205-F0135320E231}" presName="simulatedConn" presStyleLbl="solidFgAcc1" presStyleIdx="0" presStyleCnt="1" custScaleX="235945" custScaleY="135989" custLinFactNeighborX="-21678" custLinFactNeighborY="52696"/>
      <dgm:spPr>
        <a:xfrm rot="5400000">
          <a:off x="2639473" y="1394513"/>
          <a:ext cx="401318" cy="905289"/>
        </a:xfrm>
        <a:prstGeom prst="flowChartExtract">
          <a:avLst/>
        </a:prstGeom>
        <a:solidFill>
          <a:srgbClr val="5A5098"/>
        </a:solidFill>
        <a:ln w="12700" cap="flat" cmpd="sng" algn="ctr">
          <a:noFill/>
          <a:prstDash val="solid"/>
          <a:miter lim="800000"/>
        </a:ln>
        <a:effectLst>
          <a:outerShdw blurRad="50800" dist="38100" dir="2700000" algn="tl" rotWithShape="0">
            <a:prstClr val="black">
              <a:alpha val="40000"/>
            </a:prstClr>
          </a:outerShdw>
        </a:effectLst>
      </dgm:spPr>
      <dgm:t>
        <a:bodyPr/>
        <a:lstStyle/>
        <a:p>
          <a:endParaRPr lang="en-AU"/>
        </a:p>
      </dgm:t>
    </dgm:pt>
    <dgm:pt modelId="{D6E86BB3-BD8D-46EE-AAB0-35D29DC239CD}" type="pres">
      <dgm:prSet presAssocID="{469EE93D-CCBB-4219-B205-F0135320E231}" presName="vSp2" presStyleCnt="0"/>
      <dgm:spPr/>
    </dgm:pt>
    <dgm:pt modelId="{BF049829-0F2A-4F39-89CE-A36CA62B70DC}" type="pres">
      <dgm:prSet presAssocID="{469EE93D-CCBB-4219-B205-F0135320E231}" presName="sibTrans" presStyleCnt="0"/>
      <dgm:spPr/>
    </dgm:pt>
    <dgm:pt modelId="{9787F337-6D00-4495-AAC4-50F671DE0368}" type="pres">
      <dgm:prSet presAssocID="{60339268-E571-4D14-9011-05A0305D47A9}" presName="compositeNode" presStyleCnt="0">
        <dgm:presLayoutVars>
          <dgm:bulletEnabled val="1"/>
        </dgm:presLayoutVars>
      </dgm:prSet>
      <dgm:spPr/>
    </dgm:pt>
    <dgm:pt modelId="{7DE8C76F-2853-4609-A8E6-63E37988E462}" type="pres">
      <dgm:prSet presAssocID="{60339268-E571-4D14-9011-05A0305D47A9}" presName="bgRect" presStyleLbl="node1" presStyleIdx="1" presStyleCnt="2" custLinFactNeighborX="-5041"/>
      <dgm:spPr>
        <a:prstGeom prst="roundRect">
          <a:avLst>
            <a:gd name="adj" fmla="val 5000"/>
          </a:avLst>
        </a:prstGeom>
      </dgm:spPr>
      <dgm:t>
        <a:bodyPr/>
        <a:lstStyle/>
        <a:p>
          <a:endParaRPr lang="en-AU"/>
        </a:p>
      </dgm:t>
    </dgm:pt>
    <dgm:pt modelId="{553FDD65-06AB-47F2-9C73-71C426335076}" type="pres">
      <dgm:prSet presAssocID="{60339268-E571-4D14-9011-05A0305D47A9}" presName="parentNode" presStyleLbl="node1" presStyleIdx="1" presStyleCnt="2">
        <dgm:presLayoutVars>
          <dgm:chMax val="0"/>
          <dgm:bulletEnabled val="1"/>
        </dgm:presLayoutVars>
      </dgm:prSet>
      <dgm:spPr/>
      <dgm:t>
        <a:bodyPr/>
        <a:lstStyle/>
        <a:p>
          <a:endParaRPr lang="en-AU"/>
        </a:p>
      </dgm:t>
    </dgm:pt>
    <dgm:pt modelId="{56FFBF0D-2F11-4D8D-B89B-2B527555263D}" type="pres">
      <dgm:prSet presAssocID="{60339268-E571-4D14-9011-05A0305D47A9}" presName="childNode" presStyleLbl="node1" presStyleIdx="1" presStyleCnt="2">
        <dgm:presLayoutVars>
          <dgm:bulletEnabled val="1"/>
        </dgm:presLayoutVars>
      </dgm:prSet>
      <dgm:spPr>
        <a:prstGeom prst="rect">
          <a:avLst/>
        </a:prstGeom>
      </dgm:spPr>
      <dgm:t>
        <a:bodyPr/>
        <a:lstStyle/>
        <a:p>
          <a:endParaRPr lang="en-AU"/>
        </a:p>
      </dgm:t>
    </dgm:pt>
  </dgm:ptLst>
  <dgm:cxnLst>
    <dgm:cxn modelId="{6F78EB7A-D92A-4E03-BE68-00597EC45BD2}" srcId="{73B2AEAF-1C98-483C-8FE9-1EB760D23765}" destId="{9DA8BFBE-31A6-4E78-8E43-37289298EF35}" srcOrd="1" destOrd="0" parTransId="{FC863F1B-DE71-4005-AA18-603334AFE4BB}" sibTransId="{9C713FD5-37AE-46A7-BE65-2307DAF661EA}"/>
    <dgm:cxn modelId="{92BFA861-E94B-4579-8094-D0CC2E0DF98C}" srcId="{73B2AEAF-1C98-483C-8FE9-1EB760D23765}" destId="{88E20070-948D-4570-8B69-42190D57A27D}" srcOrd="2" destOrd="0" parTransId="{5D500C71-48EF-4CB7-ABF4-BE86497C269F}" sibTransId="{4FB355A1-9114-436B-AC93-569B21A0AA55}"/>
    <dgm:cxn modelId="{527865F8-7EFF-477F-8BBA-E91BB0905031}" type="presOf" srcId="{11F7DAE7-5BFA-4E17-A346-BAA8376A2E16}" destId="{B9E1F392-EFDD-43B2-8A54-6361C8208DFC}" srcOrd="0" destOrd="0" presId="urn:microsoft.com/office/officeart/2005/8/layout/hProcess7"/>
    <dgm:cxn modelId="{002BEF68-F311-4FF4-913B-55E51DFB612B}" srcId="{60339268-E571-4D14-9011-05A0305D47A9}" destId="{1961C0D7-DFF6-44CD-8E79-D1F3440BA45E}" srcOrd="0" destOrd="0" parTransId="{EC20F96D-E469-4C50-A48D-88F04D1D4A73}" sibTransId="{50C04975-8400-4FC2-9B9E-43F4659524C7}"/>
    <dgm:cxn modelId="{1C6D6DE7-CE8C-49DC-BDD1-580194130B75}" type="presOf" srcId="{B78C4C10-4C32-41F4-B571-5CC018614B52}" destId="{5BA70862-8CD4-4754-8340-F1AA6F2B6D33}" srcOrd="0" destOrd="0" presId="urn:microsoft.com/office/officeart/2005/8/layout/hProcess7"/>
    <dgm:cxn modelId="{73423755-A22E-49A9-9FBC-4195B187D5EF}" type="presOf" srcId="{60339268-E571-4D14-9011-05A0305D47A9}" destId="{553FDD65-06AB-47F2-9C73-71C426335076}" srcOrd="1" destOrd="0" presId="urn:microsoft.com/office/officeart/2005/8/layout/hProcess7"/>
    <dgm:cxn modelId="{7176BAD1-C8AA-4731-A0B4-C55257E3EEAC}" srcId="{11F7DAE7-5BFA-4E17-A346-BAA8376A2E16}" destId="{73B2AEAF-1C98-483C-8FE9-1EB760D23765}" srcOrd="0" destOrd="0" parTransId="{7888CA8F-DCE1-4043-8615-24658B2E96D1}" sibTransId="{469EE93D-CCBB-4219-B205-F0135320E231}"/>
    <dgm:cxn modelId="{3D031198-5378-450B-8193-1718C38EB650}" srcId="{60339268-E571-4D14-9011-05A0305D47A9}" destId="{530C3C60-4555-430C-A0CE-F284308022CB}" srcOrd="1" destOrd="0" parTransId="{8FBD7D7C-18A2-43F8-A8E2-6AED2B768C0A}" sibTransId="{E9965557-C870-4922-A67E-8A16D4CBEE41}"/>
    <dgm:cxn modelId="{1F9B48E3-8280-489F-B6FC-0E3243521985}" srcId="{11F7DAE7-5BFA-4E17-A346-BAA8376A2E16}" destId="{60339268-E571-4D14-9011-05A0305D47A9}" srcOrd="1" destOrd="0" parTransId="{3F35929E-0D1A-49A6-B830-98BA70460034}" sibTransId="{8351FD1E-E9D3-463F-9EDF-F0828D6072D4}"/>
    <dgm:cxn modelId="{2E6BDFF4-C289-4932-BEDE-B370D358FCAC}" type="presOf" srcId="{1961C0D7-DFF6-44CD-8E79-D1F3440BA45E}" destId="{56FFBF0D-2F11-4D8D-B89B-2B527555263D}" srcOrd="0" destOrd="0" presId="urn:microsoft.com/office/officeart/2005/8/layout/hProcess7"/>
    <dgm:cxn modelId="{0F0F1C5D-DF67-4910-9F38-556E11C8D7B4}" srcId="{73B2AEAF-1C98-483C-8FE9-1EB760D23765}" destId="{7C8FE413-96CF-4CEE-8159-E360633A8188}" srcOrd="3" destOrd="0" parTransId="{2B18874C-130C-4DFD-A041-27E8FD96839A}" sibTransId="{42150BC7-B3CD-44FF-9699-0D61F92D5F4E}"/>
    <dgm:cxn modelId="{9C1EC671-9F4E-4AEC-BAD1-7FF55F97385D}" type="presOf" srcId="{73B2AEAF-1C98-483C-8FE9-1EB760D23765}" destId="{60DAE95B-9499-4A56-A9EF-EA99B454DBB5}" srcOrd="0" destOrd="0" presId="urn:microsoft.com/office/officeart/2005/8/layout/hProcess7"/>
    <dgm:cxn modelId="{04EC1839-2BEF-4A35-9404-FF5B2B7668DC}" type="presOf" srcId="{60339268-E571-4D14-9011-05A0305D47A9}" destId="{7DE8C76F-2853-4609-A8E6-63E37988E462}" srcOrd="0" destOrd="0" presId="urn:microsoft.com/office/officeart/2005/8/layout/hProcess7"/>
    <dgm:cxn modelId="{7263C1AD-314C-4841-8290-4F76622589C5}" type="presOf" srcId="{530C3C60-4555-430C-A0CE-F284308022CB}" destId="{56FFBF0D-2F11-4D8D-B89B-2B527555263D}" srcOrd="0" destOrd="1" presId="urn:microsoft.com/office/officeart/2005/8/layout/hProcess7"/>
    <dgm:cxn modelId="{B64EBAEE-0611-4E17-927B-E8FD897BD95B}" type="presOf" srcId="{73B2AEAF-1C98-483C-8FE9-1EB760D23765}" destId="{910D0492-DC0D-44AD-8A86-D3910D698604}" srcOrd="1" destOrd="0" presId="urn:microsoft.com/office/officeart/2005/8/layout/hProcess7"/>
    <dgm:cxn modelId="{2E82DC0B-DDAF-4A99-83A4-6CC436447582}" type="presOf" srcId="{88E20070-948D-4570-8B69-42190D57A27D}" destId="{5BA70862-8CD4-4754-8340-F1AA6F2B6D33}" srcOrd="0" destOrd="2" presId="urn:microsoft.com/office/officeart/2005/8/layout/hProcess7"/>
    <dgm:cxn modelId="{25FDB214-0CA9-423F-AC73-495EB21E799E}" srcId="{73B2AEAF-1C98-483C-8FE9-1EB760D23765}" destId="{B78C4C10-4C32-41F4-B571-5CC018614B52}" srcOrd="0" destOrd="0" parTransId="{188FADF3-856C-4E96-92B7-7D67CD18BF7F}" sibTransId="{110A0213-F899-4701-9210-D6CFF7DD2E45}"/>
    <dgm:cxn modelId="{EFB66294-D3F7-4A7A-A888-D8BB06E269A7}" type="presOf" srcId="{7C8FE413-96CF-4CEE-8159-E360633A8188}" destId="{5BA70862-8CD4-4754-8340-F1AA6F2B6D33}" srcOrd="0" destOrd="3" presId="urn:microsoft.com/office/officeart/2005/8/layout/hProcess7"/>
    <dgm:cxn modelId="{0F5DA1EF-9C6E-4D5B-975E-AC0539BA0659}" type="presOf" srcId="{9DA8BFBE-31A6-4E78-8E43-37289298EF35}" destId="{5BA70862-8CD4-4754-8340-F1AA6F2B6D33}" srcOrd="0" destOrd="1" presId="urn:microsoft.com/office/officeart/2005/8/layout/hProcess7"/>
    <dgm:cxn modelId="{366ED295-46C8-4CF5-8F7B-397FCBC02437}" type="presParOf" srcId="{B9E1F392-EFDD-43B2-8A54-6361C8208DFC}" destId="{BEB6B4CE-B25E-44EF-93C5-A64633034108}" srcOrd="0" destOrd="0" presId="urn:microsoft.com/office/officeart/2005/8/layout/hProcess7"/>
    <dgm:cxn modelId="{E4B25DEF-202F-4C56-938D-D3BB14BD11AC}" type="presParOf" srcId="{BEB6B4CE-B25E-44EF-93C5-A64633034108}" destId="{60DAE95B-9499-4A56-A9EF-EA99B454DBB5}" srcOrd="0" destOrd="0" presId="urn:microsoft.com/office/officeart/2005/8/layout/hProcess7"/>
    <dgm:cxn modelId="{6FB420A0-EE8D-49A4-8D80-FF92FC324703}" type="presParOf" srcId="{BEB6B4CE-B25E-44EF-93C5-A64633034108}" destId="{910D0492-DC0D-44AD-8A86-D3910D698604}" srcOrd="1" destOrd="0" presId="urn:microsoft.com/office/officeart/2005/8/layout/hProcess7"/>
    <dgm:cxn modelId="{8E5898E9-8AEF-490F-B0FD-B268E0A24370}" type="presParOf" srcId="{BEB6B4CE-B25E-44EF-93C5-A64633034108}" destId="{5BA70862-8CD4-4754-8340-F1AA6F2B6D33}" srcOrd="2" destOrd="0" presId="urn:microsoft.com/office/officeart/2005/8/layout/hProcess7"/>
    <dgm:cxn modelId="{CCD522A6-C1FF-4065-9D6C-D0FDDAFEE028}" type="presParOf" srcId="{B9E1F392-EFDD-43B2-8A54-6361C8208DFC}" destId="{C41541EA-4FA4-4AFB-8632-79E7EDBECF3F}" srcOrd="1" destOrd="0" presId="urn:microsoft.com/office/officeart/2005/8/layout/hProcess7"/>
    <dgm:cxn modelId="{BC65E95F-9997-4161-A1FD-B617AD435679}" type="presParOf" srcId="{B9E1F392-EFDD-43B2-8A54-6361C8208DFC}" destId="{82D18F60-6258-43F9-80AA-C3A6B460CACF}" srcOrd="2" destOrd="0" presId="urn:microsoft.com/office/officeart/2005/8/layout/hProcess7"/>
    <dgm:cxn modelId="{5F8B7458-1210-48C1-A4A5-363DA9521A48}" type="presParOf" srcId="{82D18F60-6258-43F9-80AA-C3A6B460CACF}" destId="{7BBFB510-0ED1-4AF1-8ABF-3E55CC3378B9}" srcOrd="0" destOrd="0" presId="urn:microsoft.com/office/officeart/2005/8/layout/hProcess7"/>
    <dgm:cxn modelId="{5C9FF0DA-2DC0-40B0-81E7-0CC13F54D5BF}" type="presParOf" srcId="{82D18F60-6258-43F9-80AA-C3A6B460CACF}" destId="{B69A4D15-46DA-4831-A682-3B9C690822D2}" srcOrd="1" destOrd="0" presId="urn:microsoft.com/office/officeart/2005/8/layout/hProcess7"/>
    <dgm:cxn modelId="{CE1C2A50-FDFA-44C7-9C4D-C54EF446A269}" type="presParOf" srcId="{82D18F60-6258-43F9-80AA-C3A6B460CACF}" destId="{D6E86BB3-BD8D-46EE-AAB0-35D29DC239CD}" srcOrd="2" destOrd="0" presId="urn:microsoft.com/office/officeart/2005/8/layout/hProcess7"/>
    <dgm:cxn modelId="{4B6A7C00-59CF-415F-AD70-EC81AF0FA065}" type="presParOf" srcId="{B9E1F392-EFDD-43B2-8A54-6361C8208DFC}" destId="{BF049829-0F2A-4F39-89CE-A36CA62B70DC}" srcOrd="3" destOrd="0" presId="urn:microsoft.com/office/officeart/2005/8/layout/hProcess7"/>
    <dgm:cxn modelId="{3AE0248C-9F30-473A-AEBB-953A7370212A}" type="presParOf" srcId="{B9E1F392-EFDD-43B2-8A54-6361C8208DFC}" destId="{9787F337-6D00-4495-AAC4-50F671DE0368}" srcOrd="4" destOrd="0" presId="urn:microsoft.com/office/officeart/2005/8/layout/hProcess7"/>
    <dgm:cxn modelId="{5BEE81AE-BBF9-4C47-A0ED-FD886E1FE8CC}" type="presParOf" srcId="{9787F337-6D00-4495-AAC4-50F671DE0368}" destId="{7DE8C76F-2853-4609-A8E6-63E37988E462}" srcOrd="0" destOrd="0" presId="urn:microsoft.com/office/officeart/2005/8/layout/hProcess7"/>
    <dgm:cxn modelId="{1D2AFEFE-8B31-4D3A-ABB9-2E76EA8B6693}" type="presParOf" srcId="{9787F337-6D00-4495-AAC4-50F671DE0368}" destId="{553FDD65-06AB-47F2-9C73-71C426335076}" srcOrd="1" destOrd="0" presId="urn:microsoft.com/office/officeart/2005/8/layout/hProcess7"/>
    <dgm:cxn modelId="{73D02726-BEA5-48AE-86AB-6FA2D5A5B113}" type="presParOf" srcId="{9787F337-6D00-4495-AAC4-50F671DE0368}" destId="{56FFBF0D-2F11-4D8D-B89B-2B527555263D}" srcOrd="2" destOrd="0" presId="urn:microsoft.com/office/officeart/2005/8/layout/hProcess7"/>
  </dgm:cxnLst>
  <dgm:bg/>
  <dgm:whole>
    <a:ln>
      <a:noFill/>
    </a:ln>
  </dgm:whole>
  <dgm:extLst>
    <a:ext uri="http://schemas.microsoft.com/office/drawing/2008/diagram">
      <dsp:dataModelExt xmlns:dsp="http://schemas.microsoft.com/office/drawing/2008/diagram" relId="rId10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7725C011-F7E2-4C88-AF5D-EAF6049D4740}"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AU"/>
        </a:p>
      </dgm:t>
    </dgm:pt>
    <dgm:pt modelId="{2EA43F78-A176-4CC0-BA35-9568E4FB14DD}">
      <dgm:prSet phldrT="[Text]" custT="1"/>
      <dgm:spPr>
        <a:xfrm>
          <a:off x="1762" y="97417"/>
          <a:ext cx="1718652" cy="687460"/>
        </a:xfrm>
        <a:solidFill>
          <a:srgbClr val="70AD47">
            <a:lumMod val="50000"/>
          </a:srgbClr>
        </a:solidFill>
        <a:ln w="12700" cap="flat" cmpd="sng" algn="ctr">
          <a:noFill/>
          <a:prstDash val="solid"/>
          <a:miter lim="800000"/>
        </a:ln>
        <a:effectLst/>
      </dgm:spPr>
      <dgm:t>
        <a:bodyPr/>
        <a:lstStyle/>
        <a:p>
          <a:r>
            <a:rPr lang="en-AU" sz="1400" b="1">
              <a:solidFill>
                <a:sysClr val="window" lastClr="FFFFFF"/>
              </a:solidFill>
              <a:latin typeface="Calibri Light" panose="020F0302020204030204"/>
              <a:ea typeface="+mn-ea"/>
              <a:cs typeface="+mn-cs"/>
            </a:rPr>
            <a:t>Identify allies</a:t>
          </a:r>
        </a:p>
      </dgm:t>
    </dgm:pt>
    <dgm:pt modelId="{7D365D1B-AB64-4D01-A556-FBA80353391D}" type="parTrans" cxnId="{827B3F43-6943-4B5C-8BAF-C84DDD80077A}">
      <dgm:prSet/>
      <dgm:spPr/>
      <dgm:t>
        <a:bodyPr/>
        <a:lstStyle/>
        <a:p>
          <a:endParaRPr lang="en-AU"/>
        </a:p>
      </dgm:t>
    </dgm:pt>
    <dgm:pt modelId="{D8CCB28D-D1AB-405C-B582-29C890544EC9}" type="sibTrans" cxnId="{827B3F43-6943-4B5C-8BAF-C84DDD80077A}">
      <dgm:prSet/>
      <dgm:spPr/>
      <dgm:t>
        <a:bodyPr/>
        <a:lstStyle/>
        <a:p>
          <a:endParaRPr lang="en-AU"/>
        </a:p>
      </dgm:t>
    </dgm:pt>
    <dgm:pt modelId="{AB67BF85-AACD-428A-AFC4-8BFC509B374F}">
      <dgm:prSet phldrT="[Text]" custT="1"/>
      <dgm:spPr>
        <a:xfrm>
          <a:off x="1762" y="784877"/>
          <a:ext cx="1718652" cy="4995899"/>
        </a:xfrm>
        <a:solidFill>
          <a:srgbClr val="EDF5E7">
            <a:alpha val="90000"/>
          </a:srgbClr>
        </a:solidFill>
        <a:ln w="12700" cap="flat" cmpd="sng" algn="ctr">
          <a:noFill/>
          <a:prstDash val="solid"/>
          <a:miter lim="800000"/>
        </a:ln>
        <a:effectLst/>
      </dgm:spPr>
      <dgm:t>
        <a:bodyPr/>
        <a:lstStyle/>
        <a:p>
          <a:pPr marL="216000" indent="-216000">
            <a:spcBef>
              <a:spcPts val="1200"/>
            </a:spcBef>
            <a:spcAft>
              <a:spcPts val="1200"/>
            </a:spcAft>
          </a:pPr>
          <a:r>
            <a:rPr lang="en-AU" sz="1100">
              <a:solidFill>
                <a:sysClr val="windowText" lastClr="000000">
                  <a:hueOff val="0"/>
                  <a:satOff val="0"/>
                  <a:lumOff val="0"/>
                  <a:alphaOff val="0"/>
                </a:sysClr>
              </a:solidFill>
              <a:latin typeface="Calibri" panose="020F0502020204030204"/>
              <a:ea typeface="+mn-ea"/>
              <a:cs typeface="+mn-cs"/>
            </a:rPr>
            <a:t>Identify allies who can provide support,  confidence and reassurance at various organisational levels.</a:t>
          </a:r>
        </a:p>
      </dgm:t>
    </dgm:pt>
    <dgm:pt modelId="{82105A34-5848-41EA-BAD3-881938907745}" type="parTrans" cxnId="{6D10DC67-3227-492F-B6EB-0A06ACA9159C}">
      <dgm:prSet/>
      <dgm:spPr/>
      <dgm:t>
        <a:bodyPr/>
        <a:lstStyle/>
        <a:p>
          <a:endParaRPr lang="en-AU"/>
        </a:p>
      </dgm:t>
    </dgm:pt>
    <dgm:pt modelId="{6BA21FB4-8AE2-4EC6-B3CC-997C9639904C}" type="sibTrans" cxnId="{6D10DC67-3227-492F-B6EB-0A06ACA9159C}">
      <dgm:prSet/>
      <dgm:spPr/>
      <dgm:t>
        <a:bodyPr/>
        <a:lstStyle/>
        <a:p>
          <a:endParaRPr lang="en-AU"/>
        </a:p>
      </dgm:t>
    </dgm:pt>
    <dgm:pt modelId="{D05D56D0-9DDA-4E94-89E7-E9DABE55399A}">
      <dgm:prSet phldrT="[Text]" custT="1"/>
      <dgm:spPr>
        <a:xfrm>
          <a:off x="1961026" y="97417"/>
          <a:ext cx="1718652" cy="687460"/>
        </a:xfrm>
        <a:solidFill>
          <a:srgbClr val="70AD47">
            <a:lumMod val="50000"/>
          </a:srgbClr>
        </a:solidFill>
        <a:ln w="12700" cap="flat" cmpd="sng" algn="ctr">
          <a:noFill/>
          <a:prstDash val="solid"/>
          <a:miter lim="800000"/>
        </a:ln>
        <a:effectLst/>
      </dgm:spPr>
      <dgm:t>
        <a:bodyPr/>
        <a:lstStyle/>
        <a:p>
          <a:r>
            <a:rPr lang="en-AU" sz="1400" b="1">
              <a:solidFill>
                <a:sysClr val="window" lastClr="FFFFFF"/>
              </a:solidFill>
              <a:latin typeface="Calibri Light" panose="020F0302020204030204"/>
              <a:ea typeface="+mn-ea"/>
              <a:cs typeface="+mn-cs"/>
            </a:rPr>
            <a:t>Return to the issues</a:t>
          </a:r>
        </a:p>
      </dgm:t>
    </dgm:pt>
    <dgm:pt modelId="{2F50E4B7-41A8-43D3-8575-5CDF30A1F161}" type="parTrans" cxnId="{6E841B04-E5A7-4A1E-AFF8-D4AA35D0581A}">
      <dgm:prSet/>
      <dgm:spPr/>
      <dgm:t>
        <a:bodyPr/>
        <a:lstStyle/>
        <a:p>
          <a:endParaRPr lang="en-AU"/>
        </a:p>
      </dgm:t>
    </dgm:pt>
    <dgm:pt modelId="{72B603BE-0DD2-40C5-8C41-FC70E2A4D225}" type="sibTrans" cxnId="{6E841B04-E5A7-4A1E-AFF8-D4AA35D0581A}">
      <dgm:prSet/>
      <dgm:spPr/>
      <dgm:t>
        <a:bodyPr/>
        <a:lstStyle/>
        <a:p>
          <a:endParaRPr lang="en-AU"/>
        </a:p>
      </dgm:t>
    </dgm:pt>
    <dgm:pt modelId="{C66C513F-247C-4102-9F5B-D5A5906E8F0F}">
      <dgm:prSet phldrT="[Text]" custT="1"/>
      <dgm:spPr>
        <a:xfrm>
          <a:off x="1961026" y="784877"/>
          <a:ext cx="1718652" cy="4995899"/>
        </a:xfrm>
        <a:solidFill>
          <a:srgbClr val="EDF5E7">
            <a:alpha val="90000"/>
          </a:srgbClr>
        </a:solidFill>
        <a:ln w="12700" cap="flat" cmpd="sng" algn="ctr">
          <a:noFill/>
          <a:prstDash val="solid"/>
          <a:miter lim="800000"/>
        </a:ln>
        <a:effectLst/>
      </dgm:spPr>
      <dgm:t>
        <a:bodyPr/>
        <a:lstStyle/>
        <a:p>
          <a:pPr marL="216000" indent="-216000">
            <a:spcBef>
              <a:spcPts val="1200"/>
            </a:spcBef>
            <a:spcAft>
              <a:spcPts val="1200"/>
            </a:spcAft>
          </a:pPr>
          <a:r>
            <a:rPr lang="en-AU" sz="1100">
              <a:solidFill>
                <a:sysClr val="windowText" lastClr="000000">
                  <a:hueOff val="0"/>
                  <a:satOff val="0"/>
                  <a:lumOff val="0"/>
                  <a:alphaOff val="0"/>
                </a:sysClr>
              </a:solidFill>
              <a:latin typeface="Calibri" panose="020F0502020204030204"/>
              <a:ea typeface="+mn-ea"/>
              <a:cs typeface="+mn-cs"/>
            </a:rPr>
            <a:t>If no resolution is immediately forthcoming, return to the issues regularly and often. </a:t>
          </a:r>
        </a:p>
      </dgm:t>
    </dgm:pt>
    <dgm:pt modelId="{534E1B34-AFD6-47F7-8827-657C9CD1AD17}" type="parTrans" cxnId="{B6301800-239F-4193-9EF8-0B7B18BC41AD}">
      <dgm:prSet/>
      <dgm:spPr/>
      <dgm:t>
        <a:bodyPr/>
        <a:lstStyle/>
        <a:p>
          <a:endParaRPr lang="en-AU"/>
        </a:p>
      </dgm:t>
    </dgm:pt>
    <dgm:pt modelId="{64278FF1-FFB0-44AA-AED2-773EF8A9F295}" type="sibTrans" cxnId="{B6301800-239F-4193-9EF8-0B7B18BC41AD}">
      <dgm:prSet/>
      <dgm:spPr/>
      <dgm:t>
        <a:bodyPr/>
        <a:lstStyle/>
        <a:p>
          <a:endParaRPr lang="en-AU"/>
        </a:p>
      </dgm:t>
    </dgm:pt>
    <dgm:pt modelId="{F236867B-3D2A-4912-A449-11431816A41E}">
      <dgm:prSet phldrT="[Text]" custT="1"/>
      <dgm:spPr>
        <a:xfrm>
          <a:off x="3920289" y="97417"/>
          <a:ext cx="1718652" cy="687460"/>
        </a:xfrm>
        <a:solidFill>
          <a:srgbClr val="70AD47">
            <a:lumMod val="50000"/>
          </a:srgbClr>
        </a:solidFill>
        <a:ln w="12700" cap="flat" cmpd="sng" algn="ctr">
          <a:noFill/>
          <a:prstDash val="solid"/>
          <a:miter lim="800000"/>
        </a:ln>
        <a:effectLst/>
      </dgm:spPr>
      <dgm:t>
        <a:bodyPr/>
        <a:lstStyle/>
        <a:p>
          <a:r>
            <a:rPr lang="en-AU" sz="1400" b="1">
              <a:solidFill>
                <a:sysClr val="window" lastClr="FFFFFF"/>
              </a:solidFill>
              <a:latin typeface="Calibri Light" panose="020F0302020204030204"/>
              <a:ea typeface="+mn-ea"/>
              <a:cs typeface="+mn-cs"/>
            </a:rPr>
            <a:t>Anticipate resistance</a:t>
          </a:r>
        </a:p>
      </dgm:t>
    </dgm:pt>
    <dgm:pt modelId="{B32935DA-15FB-41DF-B7AE-869614920B67}" type="parTrans" cxnId="{236A1C88-45D1-4ABA-8F9D-5A83B8E88E31}">
      <dgm:prSet/>
      <dgm:spPr/>
      <dgm:t>
        <a:bodyPr/>
        <a:lstStyle/>
        <a:p>
          <a:endParaRPr lang="en-AU"/>
        </a:p>
      </dgm:t>
    </dgm:pt>
    <dgm:pt modelId="{AC466B43-513F-455A-91C3-9F480734105F}" type="sibTrans" cxnId="{236A1C88-45D1-4ABA-8F9D-5A83B8E88E31}">
      <dgm:prSet/>
      <dgm:spPr/>
      <dgm:t>
        <a:bodyPr/>
        <a:lstStyle/>
        <a:p>
          <a:endParaRPr lang="en-AU"/>
        </a:p>
      </dgm:t>
    </dgm:pt>
    <dgm:pt modelId="{CC5CFBC0-2901-4438-9D1C-2B78CFFB2F37}">
      <dgm:prSet phldrT="[Text]" custT="1"/>
      <dgm:spPr>
        <a:xfrm>
          <a:off x="3920289" y="784877"/>
          <a:ext cx="1718652" cy="4995899"/>
        </a:xfrm>
        <a:solidFill>
          <a:srgbClr val="EDF5E7">
            <a:alpha val="90000"/>
          </a:srgbClr>
        </a:solidFill>
        <a:ln w="12700" cap="flat" cmpd="sng" algn="ctr">
          <a:noFill/>
          <a:prstDash val="solid"/>
          <a:miter lim="800000"/>
        </a:ln>
        <a:effectLst/>
      </dgm:spPr>
      <dgm:t>
        <a:bodyPr/>
        <a:lstStyle/>
        <a:p>
          <a:pPr marL="216000" indent="-216000">
            <a:spcBef>
              <a:spcPts val="1200"/>
            </a:spcBef>
            <a:spcAft>
              <a:spcPts val="1200"/>
            </a:spcAft>
          </a:pPr>
          <a:r>
            <a:rPr lang="en-AU" sz="1100">
              <a:solidFill>
                <a:sysClr val="windowText" lastClr="000000">
                  <a:hueOff val="0"/>
                  <a:satOff val="0"/>
                  <a:lumOff val="0"/>
                  <a:alphaOff val="0"/>
                </a:sysClr>
              </a:solidFill>
              <a:latin typeface="Calibri" panose="020F0502020204030204"/>
              <a:ea typeface="+mn-ea"/>
              <a:cs typeface="+mn-cs"/>
            </a:rPr>
            <a:t>Try to anticipate the types of resistance that are likely to arise. </a:t>
          </a:r>
        </a:p>
      </dgm:t>
    </dgm:pt>
    <dgm:pt modelId="{C71DA390-871D-411F-B2A7-8C10E7C72320}" type="parTrans" cxnId="{17F42061-3E08-418F-9F70-F4BCAF6CAC2D}">
      <dgm:prSet/>
      <dgm:spPr/>
      <dgm:t>
        <a:bodyPr/>
        <a:lstStyle/>
        <a:p>
          <a:endParaRPr lang="en-AU"/>
        </a:p>
      </dgm:t>
    </dgm:pt>
    <dgm:pt modelId="{643A9342-46FB-48BD-9438-6A4786E1043E}" type="sibTrans" cxnId="{17F42061-3E08-418F-9F70-F4BCAF6CAC2D}">
      <dgm:prSet/>
      <dgm:spPr/>
      <dgm:t>
        <a:bodyPr/>
        <a:lstStyle/>
        <a:p>
          <a:endParaRPr lang="en-AU"/>
        </a:p>
      </dgm:t>
    </dgm:pt>
    <dgm:pt modelId="{2E73CEAA-A0BD-4904-925F-972F5A3B16AD}">
      <dgm:prSet phldrT="[Text]" custT="1"/>
      <dgm:spPr>
        <a:xfrm>
          <a:off x="1961026" y="784877"/>
          <a:ext cx="1718652" cy="4995899"/>
        </a:xfrm>
        <a:solidFill>
          <a:srgbClr val="EDF5E7">
            <a:alpha val="90000"/>
          </a:srgbClr>
        </a:solidFill>
        <a:ln w="12700" cap="flat" cmpd="sng" algn="ctr">
          <a:noFill/>
          <a:prstDash val="solid"/>
          <a:miter lim="800000"/>
        </a:ln>
        <a:effectLst/>
      </dgm:spPr>
      <dgm:t>
        <a:bodyPr/>
        <a:lstStyle/>
        <a:p>
          <a:pPr marL="216000" indent="-216000">
            <a:spcBef>
              <a:spcPts val="1200"/>
            </a:spcBef>
            <a:spcAft>
              <a:spcPts val="1200"/>
            </a:spcAft>
          </a:pPr>
          <a:r>
            <a:rPr lang="en-AU" sz="1100">
              <a:solidFill>
                <a:sysClr val="windowText" lastClr="000000">
                  <a:hueOff val="0"/>
                  <a:satOff val="0"/>
                  <a:lumOff val="0"/>
                  <a:alphaOff val="0"/>
                </a:sysClr>
              </a:solidFill>
              <a:latin typeface="Calibri" panose="020F0502020204030204"/>
              <a:ea typeface="+mn-ea"/>
              <a:cs typeface="+mn-cs"/>
            </a:rPr>
            <a:t>Think of a variety of settings in which you can raise and address the issues. </a:t>
          </a:r>
        </a:p>
      </dgm:t>
    </dgm:pt>
    <dgm:pt modelId="{1754AB1E-7C40-4F67-A2B9-0934354C8FA7}" type="parTrans" cxnId="{2EEAEF12-586E-42FD-BA05-46DBAC59ED68}">
      <dgm:prSet/>
      <dgm:spPr/>
      <dgm:t>
        <a:bodyPr/>
        <a:lstStyle/>
        <a:p>
          <a:endParaRPr lang="en-AU"/>
        </a:p>
      </dgm:t>
    </dgm:pt>
    <dgm:pt modelId="{A424BD23-3BF0-415C-9517-65737666E91F}" type="sibTrans" cxnId="{2EEAEF12-586E-42FD-BA05-46DBAC59ED68}">
      <dgm:prSet/>
      <dgm:spPr/>
      <dgm:t>
        <a:bodyPr/>
        <a:lstStyle/>
        <a:p>
          <a:endParaRPr lang="en-AU"/>
        </a:p>
      </dgm:t>
    </dgm:pt>
    <dgm:pt modelId="{6EF1B408-6943-4927-807B-E0F4415B5BF0}">
      <dgm:prSet phldrT="[Text]" custT="1"/>
      <dgm:spPr>
        <a:xfrm>
          <a:off x="3920289" y="784877"/>
          <a:ext cx="1718652" cy="4995899"/>
        </a:xfrm>
        <a:solidFill>
          <a:srgbClr val="EDF5E7">
            <a:alpha val="90000"/>
          </a:srgbClr>
        </a:solidFill>
        <a:ln w="12700" cap="flat" cmpd="sng" algn="ctr">
          <a:noFill/>
          <a:prstDash val="solid"/>
          <a:miter lim="800000"/>
        </a:ln>
        <a:effectLst/>
      </dgm:spPr>
      <dgm:t>
        <a:bodyPr/>
        <a:lstStyle/>
        <a:p>
          <a:pPr marL="216000" indent="-216000">
            <a:spcBef>
              <a:spcPts val="1200"/>
            </a:spcBef>
            <a:spcAft>
              <a:spcPts val="1200"/>
            </a:spcAft>
          </a:pPr>
          <a:r>
            <a:rPr lang="en-AU" sz="1100">
              <a:solidFill>
                <a:sysClr val="windowText" lastClr="000000">
                  <a:hueOff val="0"/>
                  <a:satOff val="0"/>
                  <a:lumOff val="0"/>
                  <a:alphaOff val="0"/>
                </a:sysClr>
              </a:solidFill>
              <a:latin typeface="Calibri" panose="020F0502020204030204"/>
              <a:ea typeface="+mn-ea"/>
              <a:cs typeface="+mn-cs"/>
            </a:rPr>
            <a:t>Allies can be helpful in developing these responses. For example, role-playing with allies to practise how to deal with resistant people or business units. </a:t>
          </a:r>
        </a:p>
      </dgm:t>
    </dgm:pt>
    <dgm:pt modelId="{926B0EDF-F7A9-412B-8AA8-7474A1F6852D}" type="parTrans" cxnId="{A4C75F46-DE97-48D4-AC0C-17EB9D9033F4}">
      <dgm:prSet/>
      <dgm:spPr/>
      <dgm:t>
        <a:bodyPr/>
        <a:lstStyle/>
        <a:p>
          <a:endParaRPr lang="en-AU"/>
        </a:p>
      </dgm:t>
    </dgm:pt>
    <dgm:pt modelId="{1A42591F-6FEC-4525-B2DD-F87F195F079B}" type="sibTrans" cxnId="{A4C75F46-DE97-48D4-AC0C-17EB9D9033F4}">
      <dgm:prSet/>
      <dgm:spPr/>
      <dgm:t>
        <a:bodyPr/>
        <a:lstStyle/>
        <a:p>
          <a:endParaRPr lang="en-AU"/>
        </a:p>
      </dgm:t>
    </dgm:pt>
    <dgm:pt modelId="{970A696E-E38C-45A8-B69B-3CCDAB454C64}">
      <dgm:prSet phldrT="[Text]" custT="1"/>
      <dgm:spPr>
        <a:xfrm>
          <a:off x="1961026" y="784877"/>
          <a:ext cx="1718652" cy="4995899"/>
        </a:xfrm>
        <a:solidFill>
          <a:srgbClr val="EDF5E7">
            <a:alpha val="90000"/>
          </a:srgbClr>
        </a:solidFill>
        <a:ln w="12700" cap="flat" cmpd="sng" algn="ctr">
          <a:noFill/>
          <a:prstDash val="solid"/>
          <a:miter lim="800000"/>
        </a:ln>
        <a:effectLst/>
      </dgm:spPr>
      <dgm:t>
        <a:bodyPr/>
        <a:lstStyle/>
        <a:p>
          <a:pPr marL="216000" indent="-216000">
            <a:spcBef>
              <a:spcPts val="1200"/>
            </a:spcBef>
            <a:spcAft>
              <a:spcPts val="1200"/>
            </a:spcAft>
          </a:pPr>
          <a:r>
            <a:rPr lang="en-AU" sz="1100">
              <a:solidFill>
                <a:sysClr val="windowText" lastClr="000000">
                  <a:hueOff val="0"/>
                  <a:satOff val="0"/>
                  <a:lumOff val="0"/>
                  <a:alphaOff val="0"/>
                </a:sysClr>
              </a:solidFill>
              <a:latin typeface="Calibri" panose="020F0502020204030204"/>
              <a:ea typeface="+mn-ea"/>
              <a:cs typeface="+mn-cs"/>
            </a:rPr>
            <a:t>Be on the lookout for potential favourable occasions to raise issues. Don't let an opportunity go by.</a:t>
          </a:r>
        </a:p>
      </dgm:t>
    </dgm:pt>
    <dgm:pt modelId="{5526D224-964E-40E0-A1F4-FB6166ED08D9}" type="parTrans" cxnId="{683B88B8-46CD-4816-BEA8-196CA65F5360}">
      <dgm:prSet/>
      <dgm:spPr/>
      <dgm:t>
        <a:bodyPr/>
        <a:lstStyle/>
        <a:p>
          <a:endParaRPr lang="en-AU"/>
        </a:p>
      </dgm:t>
    </dgm:pt>
    <dgm:pt modelId="{3DA341A7-DA9C-4BE8-9A18-F41AC4FD53DC}" type="sibTrans" cxnId="{683B88B8-46CD-4816-BEA8-196CA65F5360}">
      <dgm:prSet/>
      <dgm:spPr/>
      <dgm:t>
        <a:bodyPr/>
        <a:lstStyle/>
        <a:p>
          <a:endParaRPr lang="en-AU"/>
        </a:p>
      </dgm:t>
    </dgm:pt>
    <dgm:pt modelId="{90AA5632-075A-4864-981E-3CF281B508B6}">
      <dgm:prSet phldrT="[Text]" custT="1"/>
      <dgm:spPr>
        <a:xfrm>
          <a:off x="1961026" y="784877"/>
          <a:ext cx="1718652" cy="4995899"/>
        </a:xfrm>
        <a:solidFill>
          <a:srgbClr val="EDF5E7">
            <a:alpha val="90000"/>
          </a:srgbClr>
        </a:solidFill>
        <a:ln w="12700" cap="flat" cmpd="sng" algn="ctr">
          <a:noFill/>
          <a:prstDash val="solid"/>
          <a:miter lim="800000"/>
        </a:ln>
        <a:effectLst/>
      </dgm:spPr>
      <dgm:t>
        <a:bodyPr/>
        <a:lstStyle/>
        <a:p>
          <a:pPr marL="216000" indent="-216000">
            <a:spcBef>
              <a:spcPts val="1200"/>
            </a:spcBef>
            <a:spcAft>
              <a:spcPts val="1200"/>
            </a:spcAft>
          </a:pPr>
          <a:r>
            <a:rPr lang="en-AU" sz="1100">
              <a:solidFill>
                <a:sysClr val="windowText" lastClr="000000">
                  <a:hueOff val="0"/>
                  <a:satOff val="0"/>
                  <a:lumOff val="0"/>
                  <a:alphaOff val="0"/>
                </a:sysClr>
              </a:solidFill>
              <a:latin typeface="Calibri" panose="020F0502020204030204"/>
              <a:ea typeface="+mn-ea"/>
              <a:cs typeface="+mn-cs"/>
            </a:rPr>
            <a:t>For example, setting up a special meeting to discuss the issue with relevant colleagues, using an opportunity to raise it in different meetings, talking about it informally with colleagues when the opportunity arises, following up on informal or formal meetings. </a:t>
          </a:r>
        </a:p>
      </dgm:t>
    </dgm:pt>
    <dgm:pt modelId="{D88A3A22-12B1-43A0-BE5E-988ADDCCBE28}" type="parTrans" cxnId="{90EB7F83-51A1-4FD4-B07B-0BAD19F7F2BB}">
      <dgm:prSet/>
      <dgm:spPr/>
      <dgm:t>
        <a:bodyPr/>
        <a:lstStyle/>
        <a:p>
          <a:endParaRPr lang="en-AU"/>
        </a:p>
      </dgm:t>
    </dgm:pt>
    <dgm:pt modelId="{7F9CA091-85B3-4A17-B7B1-7CE04A26A643}" type="sibTrans" cxnId="{90EB7F83-51A1-4FD4-B07B-0BAD19F7F2BB}">
      <dgm:prSet/>
      <dgm:spPr/>
      <dgm:t>
        <a:bodyPr/>
        <a:lstStyle/>
        <a:p>
          <a:endParaRPr lang="en-AU"/>
        </a:p>
      </dgm:t>
    </dgm:pt>
    <dgm:pt modelId="{89E30429-A55C-4B4C-94D9-B7F9AF4E7E74}">
      <dgm:prSet phldrT="[Text]" custT="1"/>
      <dgm:spPr>
        <a:xfrm>
          <a:off x="1762" y="784877"/>
          <a:ext cx="1718652" cy="4995899"/>
        </a:xfrm>
        <a:solidFill>
          <a:srgbClr val="EDF5E7">
            <a:alpha val="90000"/>
          </a:srgbClr>
        </a:solidFill>
        <a:ln w="12700" cap="flat" cmpd="sng" algn="ctr">
          <a:noFill/>
          <a:prstDash val="solid"/>
          <a:miter lim="800000"/>
        </a:ln>
        <a:effectLst/>
      </dgm:spPr>
      <dgm:t>
        <a:bodyPr/>
        <a:lstStyle/>
        <a:p>
          <a:pPr marL="216000" indent="-216000">
            <a:spcBef>
              <a:spcPts val="1200"/>
            </a:spcBef>
            <a:spcAft>
              <a:spcPts val="1200"/>
            </a:spcAft>
          </a:pPr>
          <a:r>
            <a:rPr lang="en-AU" sz="1100">
              <a:solidFill>
                <a:sysClr val="windowText" lastClr="000000">
                  <a:hueOff val="0"/>
                  <a:satOff val="0"/>
                  <a:lumOff val="0"/>
                  <a:alphaOff val="0"/>
                </a:sysClr>
              </a:solidFill>
              <a:latin typeface="Calibri" panose="020F0502020204030204"/>
              <a:ea typeface="+mn-ea"/>
              <a:cs typeface="+mn-cs"/>
            </a:rPr>
            <a:t>Having identified possible allies, spend some time talking with them about the issues and developing a strategy, as well as </a:t>
          </a:r>
          <a:r>
            <a:rPr lang="en-AU" sz="1200">
              <a:solidFill>
                <a:sysClr val="windowText" lastClr="000000">
                  <a:hueOff val="0"/>
                  <a:satOff val="0"/>
                  <a:lumOff val="0"/>
                  <a:alphaOff val="0"/>
                </a:sysClr>
              </a:solidFill>
              <a:latin typeface="Calibri" panose="020F0502020204030204"/>
              <a:ea typeface="+mn-ea"/>
              <a:cs typeface="+mn-cs"/>
            </a:rPr>
            <a:t>soliciting their support in tricky situations. </a:t>
          </a:r>
        </a:p>
      </dgm:t>
    </dgm:pt>
    <dgm:pt modelId="{A77F82E3-522F-4EB5-860B-D8C6D1AE1898}" type="parTrans" cxnId="{A120ED5B-9F93-4C68-BA23-C554D048559C}">
      <dgm:prSet/>
      <dgm:spPr/>
      <dgm:t>
        <a:bodyPr/>
        <a:lstStyle/>
        <a:p>
          <a:endParaRPr lang="en-AU"/>
        </a:p>
      </dgm:t>
    </dgm:pt>
    <dgm:pt modelId="{BD839B7C-9C6E-4B21-93E1-895C27CD7C36}" type="sibTrans" cxnId="{A120ED5B-9F93-4C68-BA23-C554D048559C}">
      <dgm:prSet/>
      <dgm:spPr/>
      <dgm:t>
        <a:bodyPr/>
        <a:lstStyle/>
        <a:p>
          <a:endParaRPr lang="en-AU"/>
        </a:p>
      </dgm:t>
    </dgm:pt>
    <dgm:pt modelId="{4118294B-2405-458E-8BEE-E6AEC1A2F2C0}">
      <dgm:prSet phldrT="[Text]" custT="1"/>
      <dgm:spPr>
        <a:xfrm>
          <a:off x="1762" y="784877"/>
          <a:ext cx="1718652" cy="4995899"/>
        </a:xfrm>
        <a:solidFill>
          <a:srgbClr val="EDF5E7">
            <a:alpha val="90000"/>
          </a:srgbClr>
        </a:solidFill>
        <a:ln w="12700" cap="flat" cmpd="sng" algn="ctr">
          <a:noFill/>
          <a:prstDash val="solid"/>
          <a:miter lim="800000"/>
        </a:ln>
        <a:effectLst/>
      </dgm:spPr>
      <dgm:t>
        <a:bodyPr/>
        <a:lstStyle/>
        <a:p>
          <a:pPr marL="216000" indent="-216000">
            <a:spcBef>
              <a:spcPts val="1200"/>
            </a:spcBef>
            <a:spcAft>
              <a:spcPts val="1200"/>
            </a:spcAft>
          </a:pPr>
          <a:r>
            <a:rPr lang="en-AU" sz="1100">
              <a:solidFill>
                <a:sysClr val="windowText" lastClr="000000">
                  <a:hueOff val="0"/>
                  <a:satOff val="0"/>
                  <a:lumOff val="0"/>
                  <a:alphaOff val="0"/>
                </a:sysClr>
              </a:solidFill>
              <a:latin typeface="Calibri" panose="020F0502020204030204"/>
              <a:ea typeface="+mn-ea"/>
              <a:cs typeface="+mn-cs"/>
            </a:rPr>
            <a:t>For example, senior management 'champions' can provide leadership, facilitating and rewarding efforts to bring gender perspectives to the centre of organisational activities. Other staff can contribute to cultural change and advocate for gender consideration in their activities.</a:t>
          </a:r>
        </a:p>
      </dgm:t>
    </dgm:pt>
    <dgm:pt modelId="{8A09AA76-DC31-4F7D-B5D4-14211371061C}" type="parTrans" cxnId="{D2E1B768-0212-4FC1-B984-D51952763FFA}">
      <dgm:prSet/>
      <dgm:spPr/>
      <dgm:t>
        <a:bodyPr/>
        <a:lstStyle/>
        <a:p>
          <a:endParaRPr lang="en-AU"/>
        </a:p>
      </dgm:t>
    </dgm:pt>
    <dgm:pt modelId="{1760E668-EAE8-410F-B364-215CC2276D33}" type="sibTrans" cxnId="{D2E1B768-0212-4FC1-B984-D51952763FFA}">
      <dgm:prSet/>
      <dgm:spPr/>
      <dgm:t>
        <a:bodyPr/>
        <a:lstStyle/>
        <a:p>
          <a:endParaRPr lang="en-AU"/>
        </a:p>
      </dgm:t>
    </dgm:pt>
    <dgm:pt modelId="{29C05583-BF39-433E-BC76-B4D780E290CE}">
      <dgm:prSet phldrT="[Text]" custT="1"/>
      <dgm:spPr>
        <a:xfrm>
          <a:off x="3920289" y="784877"/>
          <a:ext cx="1718652" cy="4995899"/>
        </a:xfrm>
        <a:solidFill>
          <a:srgbClr val="EDF5E7">
            <a:alpha val="90000"/>
          </a:srgbClr>
        </a:solidFill>
        <a:ln w="12700" cap="flat" cmpd="sng" algn="ctr">
          <a:noFill/>
          <a:prstDash val="solid"/>
          <a:miter lim="800000"/>
        </a:ln>
        <a:effectLst/>
      </dgm:spPr>
      <dgm:t>
        <a:bodyPr/>
        <a:lstStyle/>
        <a:p>
          <a:pPr marL="216000" indent="-216000">
            <a:spcBef>
              <a:spcPts val="1200"/>
            </a:spcBef>
            <a:spcAft>
              <a:spcPts val="1200"/>
            </a:spcAft>
          </a:pPr>
          <a:r>
            <a:rPr lang="en-AU" sz="1100">
              <a:solidFill>
                <a:sysClr val="windowText" lastClr="000000">
                  <a:hueOff val="0"/>
                  <a:satOff val="0"/>
                  <a:lumOff val="0"/>
                  <a:alphaOff val="0"/>
                </a:sysClr>
              </a:solidFill>
              <a:latin typeface="Calibri" panose="020F0502020204030204"/>
              <a:ea typeface="+mn-ea"/>
              <a:cs typeface="+mn-cs"/>
            </a:rPr>
            <a:t>Develop appropriate responses before resistance occurs. </a:t>
          </a:r>
        </a:p>
      </dgm:t>
    </dgm:pt>
    <dgm:pt modelId="{D5AF3571-E109-42A4-8162-7A2E30BF374D}" type="parTrans" cxnId="{41C558C5-CD35-49DB-B70C-D930B363B1B2}">
      <dgm:prSet/>
      <dgm:spPr/>
      <dgm:t>
        <a:bodyPr/>
        <a:lstStyle/>
        <a:p>
          <a:endParaRPr lang="en-AU"/>
        </a:p>
      </dgm:t>
    </dgm:pt>
    <dgm:pt modelId="{1C5612F4-35ED-434C-B514-835DBB252661}" type="sibTrans" cxnId="{41C558C5-CD35-49DB-B70C-D930B363B1B2}">
      <dgm:prSet/>
      <dgm:spPr/>
      <dgm:t>
        <a:bodyPr/>
        <a:lstStyle/>
        <a:p>
          <a:endParaRPr lang="en-AU"/>
        </a:p>
      </dgm:t>
    </dgm:pt>
    <dgm:pt modelId="{A9F25B9A-D973-40C7-8D72-33912B058AC8}" type="pres">
      <dgm:prSet presAssocID="{7725C011-F7E2-4C88-AF5D-EAF6049D4740}" presName="Name0" presStyleCnt="0">
        <dgm:presLayoutVars>
          <dgm:dir/>
          <dgm:animLvl val="lvl"/>
          <dgm:resizeHandles val="exact"/>
        </dgm:presLayoutVars>
      </dgm:prSet>
      <dgm:spPr/>
      <dgm:t>
        <a:bodyPr/>
        <a:lstStyle/>
        <a:p>
          <a:endParaRPr lang="en-AU"/>
        </a:p>
      </dgm:t>
    </dgm:pt>
    <dgm:pt modelId="{BC8C5B98-2F2C-406A-95A7-7B95130685ED}" type="pres">
      <dgm:prSet presAssocID="{2EA43F78-A176-4CC0-BA35-9568E4FB14DD}" presName="composite" presStyleCnt="0"/>
      <dgm:spPr/>
    </dgm:pt>
    <dgm:pt modelId="{00C370DA-36C5-4EAD-9984-302A5BDB22C4}" type="pres">
      <dgm:prSet presAssocID="{2EA43F78-A176-4CC0-BA35-9568E4FB14DD}" presName="parTx" presStyleLbl="alignNode1" presStyleIdx="0" presStyleCnt="3">
        <dgm:presLayoutVars>
          <dgm:chMax val="0"/>
          <dgm:chPref val="0"/>
          <dgm:bulletEnabled val="1"/>
        </dgm:presLayoutVars>
      </dgm:prSet>
      <dgm:spPr>
        <a:prstGeom prst="rect">
          <a:avLst/>
        </a:prstGeom>
      </dgm:spPr>
      <dgm:t>
        <a:bodyPr/>
        <a:lstStyle/>
        <a:p>
          <a:endParaRPr lang="en-AU"/>
        </a:p>
      </dgm:t>
    </dgm:pt>
    <dgm:pt modelId="{4C4CE1E7-4A32-4D5C-A14B-889B97CCC7CA}" type="pres">
      <dgm:prSet presAssocID="{2EA43F78-A176-4CC0-BA35-9568E4FB14DD}" presName="desTx" presStyleLbl="alignAccFollowNode1" presStyleIdx="0" presStyleCnt="3">
        <dgm:presLayoutVars>
          <dgm:bulletEnabled val="1"/>
        </dgm:presLayoutVars>
      </dgm:prSet>
      <dgm:spPr>
        <a:prstGeom prst="rect">
          <a:avLst/>
        </a:prstGeom>
      </dgm:spPr>
      <dgm:t>
        <a:bodyPr/>
        <a:lstStyle/>
        <a:p>
          <a:endParaRPr lang="en-AU"/>
        </a:p>
      </dgm:t>
    </dgm:pt>
    <dgm:pt modelId="{E6037066-5937-4790-A95C-85CB35B88786}" type="pres">
      <dgm:prSet presAssocID="{D8CCB28D-D1AB-405C-B582-29C890544EC9}" presName="space" presStyleCnt="0"/>
      <dgm:spPr/>
    </dgm:pt>
    <dgm:pt modelId="{BB5FAF20-A102-41D0-AECA-F3AC02F23B40}" type="pres">
      <dgm:prSet presAssocID="{D05D56D0-9DDA-4E94-89E7-E9DABE55399A}" presName="composite" presStyleCnt="0"/>
      <dgm:spPr/>
    </dgm:pt>
    <dgm:pt modelId="{C838B1EA-325A-4014-9AD4-C372C2F56EB3}" type="pres">
      <dgm:prSet presAssocID="{D05D56D0-9DDA-4E94-89E7-E9DABE55399A}" presName="parTx" presStyleLbl="alignNode1" presStyleIdx="1" presStyleCnt="3">
        <dgm:presLayoutVars>
          <dgm:chMax val="0"/>
          <dgm:chPref val="0"/>
          <dgm:bulletEnabled val="1"/>
        </dgm:presLayoutVars>
      </dgm:prSet>
      <dgm:spPr>
        <a:prstGeom prst="rect">
          <a:avLst/>
        </a:prstGeom>
      </dgm:spPr>
      <dgm:t>
        <a:bodyPr/>
        <a:lstStyle/>
        <a:p>
          <a:endParaRPr lang="en-AU"/>
        </a:p>
      </dgm:t>
    </dgm:pt>
    <dgm:pt modelId="{69D35E1B-597B-445B-A582-BD7A48962D0E}" type="pres">
      <dgm:prSet presAssocID="{D05D56D0-9DDA-4E94-89E7-E9DABE55399A}" presName="desTx" presStyleLbl="alignAccFollowNode1" presStyleIdx="1" presStyleCnt="3">
        <dgm:presLayoutVars>
          <dgm:bulletEnabled val="1"/>
        </dgm:presLayoutVars>
      </dgm:prSet>
      <dgm:spPr>
        <a:prstGeom prst="rect">
          <a:avLst/>
        </a:prstGeom>
      </dgm:spPr>
      <dgm:t>
        <a:bodyPr/>
        <a:lstStyle/>
        <a:p>
          <a:endParaRPr lang="en-AU"/>
        </a:p>
      </dgm:t>
    </dgm:pt>
    <dgm:pt modelId="{72D523F1-4E2A-4668-BEF9-9AD3D311F9FC}" type="pres">
      <dgm:prSet presAssocID="{72B603BE-0DD2-40C5-8C41-FC70E2A4D225}" presName="space" presStyleCnt="0"/>
      <dgm:spPr/>
    </dgm:pt>
    <dgm:pt modelId="{29A0E648-0007-4F88-B0FC-5519D2DE19CD}" type="pres">
      <dgm:prSet presAssocID="{F236867B-3D2A-4912-A449-11431816A41E}" presName="composite" presStyleCnt="0"/>
      <dgm:spPr/>
    </dgm:pt>
    <dgm:pt modelId="{F6482CD8-0871-42DB-A241-BB13F59EFF19}" type="pres">
      <dgm:prSet presAssocID="{F236867B-3D2A-4912-A449-11431816A41E}" presName="parTx" presStyleLbl="alignNode1" presStyleIdx="2" presStyleCnt="3">
        <dgm:presLayoutVars>
          <dgm:chMax val="0"/>
          <dgm:chPref val="0"/>
          <dgm:bulletEnabled val="1"/>
        </dgm:presLayoutVars>
      </dgm:prSet>
      <dgm:spPr>
        <a:prstGeom prst="rect">
          <a:avLst/>
        </a:prstGeom>
      </dgm:spPr>
      <dgm:t>
        <a:bodyPr/>
        <a:lstStyle/>
        <a:p>
          <a:endParaRPr lang="en-AU"/>
        </a:p>
      </dgm:t>
    </dgm:pt>
    <dgm:pt modelId="{2C35B110-8483-4ABF-A27B-9D17CD01F003}" type="pres">
      <dgm:prSet presAssocID="{F236867B-3D2A-4912-A449-11431816A41E}" presName="desTx" presStyleLbl="alignAccFollowNode1" presStyleIdx="2" presStyleCnt="3">
        <dgm:presLayoutVars>
          <dgm:bulletEnabled val="1"/>
        </dgm:presLayoutVars>
      </dgm:prSet>
      <dgm:spPr>
        <a:prstGeom prst="rect">
          <a:avLst/>
        </a:prstGeom>
      </dgm:spPr>
      <dgm:t>
        <a:bodyPr/>
        <a:lstStyle/>
        <a:p>
          <a:endParaRPr lang="en-AU"/>
        </a:p>
      </dgm:t>
    </dgm:pt>
  </dgm:ptLst>
  <dgm:cxnLst>
    <dgm:cxn modelId="{34F8CC2F-5365-4A08-BD14-012675E932D8}" type="presOf" srcId="{2EA43F78-A176-4CC0-BA35-9568E4FB14DD}" destId="{00C370DA-36C5-4EAD-9984-302A5BDB22C4}" srcOrd="0" destOrd="0" presId="urn:microsoft.com/office/officeart/2005/8/layout/hList1"/>
    <dgm:cxn modelId="{E6C023C7-1BD7-43DE-8676-58F10E3387D2}" type="presOf" srcId="{AB67BF85-AACD-428A-AFC4-8BFC509B374F}" destId="{4C4CE1E7-4A32-4D5C-A14B-889B97CCC7CA}" srcOrd="0" destOrd="0" presId="urn:microsoft.com/office/officeart/2005/8/layout/hList1"/>
    <dgm:cxn modelId="{683B88B8-46CD-4816-BEA8-196CA65F5360}" srcId="{D05D56D0-9DDA-4E94-89E7-E9DABE55399A}" destId="{970A696E-E38C-45A8-B69B-3CCDAB454C64}" srcOrd="3" destOrd="0" parTransId="{5526D224-964E-40E0-A1F4-FB6166ED08D9}" sibTransId="{3DA341A7-DA9C-4BE8-9A18-F41AC4FD53DC}"/>
    <dgm:cxn modelId="{A120ED5B-9F93-4C68-BA23-C554D048559C}" srcId="{2EA43F78-A176-4CC0-BA35-9568E4FB14DD}" destId="{89E30429-A55C-4B4C-94D9-B7F9AF4E7E74}" srcOrd="2" destOrd="0" parTransId="{A77F82E3-522F-4EB5-860B-D8C6D1AE1898}" sibTransId="{BD839B7C-9C6E-4B21-93E1-895C27CD7C36}"/>
    <dgm:cxn modelId="{409A811F-8689-4BA0-9F60-139BC127842C}" type="presOf" srcId="{90AA5632-075A-4864-981E-3CF281B508B6}" destId="{69D35E1B-597B-445B-A582-BD7A48962D0E}" srcOrd="0" destOrd="2" presId="urn:microsoft.com/office/officeart/2005/8/layout/hList1"/>
    <dgm:cxn modelId="{17F42061-3E08-418F-9F70-F4BCAF6CAC2D}" srcId="{F236867B-3D2A-4912-A449-11431816A41E}" destId="{CC5CFBC0-2901-4438-9D1C-2B78CFFB2F37}" srcOrd="0" destOrd="0" parTransId="{C71DA390-871D-411F-B2A7-8C10E7C72320}" sibTransId="{643A9342-46FB-48BD-9438-6A4786E1043E}"/>
    <dgm:cxn modelId="{236A1C88-45D1-4ABA-8F9D-5A83B8E88E31}" srcId="{7725C011-F7E2-4C88-AF5D-EAF6049D4740}" destId="{F236867B-3D2A-4912-A449-11431816A41E}" srcOrd="2" destOrd="0" parTransId="{B32935DA-15FB-41DF-B7AE-869614920B67}" sibTransId="{AC466B43-513F-455A-91C3-9F480734105F}"/>
    <dgm:cxn modelId="{A4C75F46-DE97-48D4-AC0C-17EB9D9033F4}" srcId="{F236867B-3D2A-4912-A449-11431816A41E}" destId="{6EF1B408-6943-4927-807B-E0F4415B5BF0}" srcOrd="2" destOrd="0" parTransId="{926B0EDF-F7A9-412B-8AA8-7474A1F6852D}" sibTransId="{1A42591F-6FEC-4525-B2DD-F87F195F079B}"/>
    <dgm:cxn modelId="{90EB7F83-51A1-4FD4-B07B-0BAD19F7F2BB}" srcId="{D05D56D0-9DDA-4E94-89E7-E9DABE55399A}" destId="{90AA5632-075A-4864-981E-3CF281B508B6}" srcOrd="2" destOrd="0" parTransId="{D88A3A22-12B1-43A0-BE5E-988ADDCCBE28}" sibTransId="{7F9CA091-85B3-4A17-B7B1-7CE04A26A643}"/>
    <dgm:cxn modelId="{7E34A1BA-8D82-441E-BAAA-F07AC3F58031}" type="presOf" srcId="{2E73CEAA-A0BD-4904-925F-972F5A3B16AD}" destId="{69D35E1B-597B-445B-A582-BD7A48962D0E}" srcOrd="0" destOrd="1" presId="urn:microsoft.com/office/officeart/2005/8/layout/hList1"/>
    <dgm:cxn modelId="{E236535C-175B-404E-9CC1-D3FB90A9F3C2}" type="presOf" srcId="{6EF1B408-6943-4927-807B-E0F4415B5BF0}" destId="{2C35B110-8483-4ABF-A27B-9D17CD01F003}" srcOrd="0" destOrd="2" presId="urn:microsoft.com/office/officeart/2005/8/layout/hList1"/>
    <dgm:cxn modelId="{58C678FA-44A5-495F-A70F-ADB6BA8342C8}" type="presOf" srcId="{970A696E-E38C-45A8-B69B-3CCDAB454C64}" destId="{69D35E1B-597B-445B-A582-BD7A48962D0E}" srcOrd="0" destOrd="3" presId="urn:microsoft.com/office/officeart/2005/8/layout/hList1"/>
    <dgm:cxn modelId="{CFEC8CBB-CBE2-49CB-8A73-1DCDDE0990FB}" type="presOf" srcId="{D05D56D0-9DDA-4E94-89E7-E9DABE55399A}" destId="{C838B1EA-325A-4014-9AD4-C372C2F56EB3}" srcOrd="0" destOrd="0" presId="urn:microsoft.com/office/officeart/2005/8/layout/hList1"/>
    <dgm:cxn modelId="{6C99E6FD-0000-482D-9DD5-EEC62E442C23}" type="presOf" srcId="{29C05583-BF39-433E-BC76-B4D780E290CE}" destId="{2C35B110-8483-4ABF-A27B-9D17CD01F003}" srcOrd="0" destOrd="1" presId="urn:microsoft.com/office/officeart/2005/8/layout/hList1"/>
    <dgm:cxn modelId="{6D10DC67-3227-492F-B6EB-0A06ACA9159C}" srcId="{2EA43F78-A176-4CC0-BA35-9568E4FB14DD}" destId="{AB67BF85-AACD-428A-AFC4-8BFC509B374F}" srcOrd="0" destOrd="0" parTransId="{82105A34-5848-41EA-BAD3-881938907745}" sibTransId="{6BA21FB4-8AE2-4EC6-B3CC-997C9639904C}"/>
    <dgm:cxn modelId="{A2C98FC3-6067-42C3-ACB1-C76310D37FD5}" type="presOf" srcId="{4118294B-2405-458E-8BEE-E6AEC1A2F2C0}" destId="{4C4CE1E7-4A32-4D5C-A14B-889B97CCC7CA}" srcOrd="0" destOrd="1" presId="urn:microsoft.com/office/officeart/2005/8/layout/hList1"/>
    <dgm:cxn modelId="{B0E264FA-BA4F-4BA2-816B-32CA7E3AD56E}" type="presOf" srcId="{89E30429-A55C-4B4C-94D9-B7F9AF4E7E74}" destId="{4C4CE1E7-4A32-4D5C-A14B-889B97CCC7CA}" srcOrd="0" destOrd="2" presId="urn:microsoft.com/office/officeart/2005/8/layout/hList1"/>
    <dgm:cxn modelId="{B6301800-239F-4193-9EF8-0B7B18BC41AD}" srcId="{D05D56D0-9DDA-4E94-89E7-E9DABE55399A}" destId="{C66C513F-247C-4102-9F5B-D5A5906E8F0F}" srcOrd="0" destOrd="0" parTransId="{534E1B34-AFD6-47F7-8827-657C9CD1AD17}" sibTransId="{64278FF1-FFB0-44AA-AED2-773EF8A9F295}"/>
    <dgm:cxn modelId="{99142EE2-1242-4FCC-9C53-0D042573722E}" type="presOf" srcId="{F236867B-3D2A-4912-A449-11431816A41E}" destId="{F6482CD8-0871-42DB-A241-BB13F59EFF19}" srcOrd="0" destOrd="0" presId="urn:microsoft.com/office/officeart/2005/8/layout/hList1"/>
    <dgm:cxn modelId="{2EEAEF12-586E-42FD-BA05-46DBAC59ED68}" srcId="{D05D56D0-9DDA-4E94-89E7-E9DABE55399A}" destId="{2E73CEAA-A0BD-4904-925F-972F5A3B16AD}" srcOrd="1" destOrd="0" parTransId="{1754AB1E-7C40-4F67-A2B9-0934354C8FA7}" sibTransId="{A424BD23-3BF0-415C-9517-65737666E91F}"/>
    <dgm:cxn modelId="{6E841B04-E5A7-4A1E-AFF8-D4AA35D0581A}" srcId="{7725C011-F7E2-4C88-AF5D-EAF6049D4740}" destId="{D05D56D0-9DDA-4E94-89E7-E9DABE55399A}" srcOrd="1" destOrd="0" parTransId="{2F50E4B7-41A8-43D3-8575-5CDF30A1F161}" sibTransId="{72B603BE-0DD2-40C5-8C41-FC70E2A4D225}"/>
    <dgm:cxn modelId="{41C558C5-CD35-49DB-B70C-D930B363B1B2}" srcId="{F236867B-3D2A-4912-A449-11431816A41E}" destId="{29C05583-BF39-433E-BC76-B4D780E290CE}" srcOrd="1" destOrd="0" parTransId="{D5AF3571-E109-42A4-8162-7A2E30BF374D}" sibTransId="{1C5612F4-35ED-434C-B514-835DBB252661}"/>
    <dgm:cxn modelId="{A23E69AC-D84C-4388-A200-5B7F361B5762}" type="presOf" srcId="{C66C513F-247C-4102-9F5B-D5A5906E8F0F}" destId="{69D35E1B-597B-445B-A582-BD7A48962D0E}" srcOrd="0" destOrd="0" presId="urn:microsoft.com/office/officeart/2005/8/layout/hList1"/>
    <dgm:cxn modelId="{D2E1B768-0212-4FC1-B984-D51952763FFA}" srcId="{2EA43F78-A176-4CC0-BA35-9568E4FB14DD}" destId="{4118294B-2405-458E-8BEE-E6AEC1A2F2C0}" srcOrd="1" destOrd="0" parTransId="{8A09AA76-DC31-4F7D-B5D4-14211371061C}" sibTransId="{1760E668-EAE8-410F-B364-215CC2276D33}"/>
    <dgm:cxn modelId="{8AB7E04F-3AC0-426A-BFDA-FA5B322AAD16}" type="presOf" srcId="{CC5CFBC0-2901-4438-9D1C-2B78CFFB2F37}" destId="{2C35B110-8483-4ABF-A27B-9D17CD01F003}" srcOrd="0" destOrd="0" presId="urn:microsoft.com/office/officeart/2005/8/layout/hList1"/>
    <dgm:cxn modelId="{950E2AB2-6BBB-4710-97E8-38B99EC810FD}" type="presOf" srcId="{7725C011-F7E2-4C88-AF5D-EAF6049D4740}" destId="{A9F25B9A-D973-40C7-8D72-33912B058AC8}" srcOrd="0" destOrd="0" presId="urn:microsoft.com/office/officeart/2005/8/layout/hList1"/>
    <dgm:cxn modelId="{827B3F43-6943-4B5C-8BAF-C84DDD80077A}" srcId="{7725C011-F7E2-4C88-AF5D-EAF6049D4740}" destId="{2EA43F78-A176-4CC0-BA35-9568E4FB14DD}" srcOrd="0" destOrd="0" parTransId="{7D365D1B-AB64-4D01-A556-FBA80353391D}" sibTransId="{D8CCB28D-D1AB-405C-B582-29C890544EC9}"/>
    <dgm:cxn modelId="{B5AD36CB-0AF4-4C9C-9454-20886CFD97C1}" type="presParOf" srcId="{A9F25B9A-D973-40C7-8D72-33912B058AC8}" destId="{BC8C5B98-2F2C-406A-95A7-7B95130685ED}" srcOrd="0" destOrd="0" presId="urn:microsoft.com/office/officeart/2005/8/layout/hList1"/>
    <dgm:cxn modelId="{36BF7303-1A24-483E-BE38-F3687CD64F00}" type="presParOf" srcId="{BC8C5B98-2F2C-406A-95A7-7B95130685ED}" destId="{00C370DA-36C5-4EAD-9984-302A5BDB22C4}" srcOrd="0" destOrd="0" presId="urn:microsoft.com/office/officeart/2005/8/layout/hList1"/>
    <dgm:cxn modelId="{4F7AD4BF-4A66-4F11-985B-750B42E28317}" type="presParOf" srcId="{BC8C5B98-2F2C-406A-95A7-7B95130685ED}" destId="{4C4CE1E7-4A32-4D5C-A14B-889B97CCC7CA}" srcOrd="1" destOrd="0" presId="urn:microsoft.com/office/officeart/2005/8/layout/hList1"/>
    <dgm:cxn modelId="{C1B09DD3-CE90-4352-A5A8-414A7E373FF8}" type="presParOf" srcId="{A9F25B9A-D973-40C7-8D72-33912B058AC8}" destId="{E6037066-5937-4790-A95C-85CB35B88786}" srcOrd="1" destOrd="0" presId="urn:microsoft.com/office/officeart/2005/8/layout/hList1"/>
    <dgm:cxn modelId="{4D693F97-B8F7-4D7F-B7E3-E132E06411FB}" type="presParOf" srcId="{A9F25B9A-D973-40C7-8D72-33912B058AC8}" destId="{BB5FAF20-A102-41D0-AECA-F3AC02F23B40}" srcOrd="2" destOrd="0" presId="urn:microsoft.com/office/officeart/2005/8/layout/hList1"/>
    <dgm:cxn modelId="{F36E21E0-FC3A-4B38-9B79-83750CD1C463}" type="presParOf" srcId="{BB5FAF20-A102-41D0-AECA-F3AC02F23B40}" destId="{C838B1EA-325A-4014-9AD4-C372C2F56EB3}" srcOrd="0" destOrd="0" presId="urn:microsoft.com/office/officeart/2005/8/layout/hList1"/>
    <dgm:cxn modelId="{24B71BB4-3F8E-4826-B3DA-AA315355E049}" type="presParOf" srcId="{BB5FAF20-A102-41D0-AECA-F3AC02F23B40}" destId="{69D35E1B-597B-445B-A582-BD7A48962D0E}" srcOrd="1" destOrd="0" presId="urn:microsoft.com/office/officeart/2005/8/layout/hList1"/>
    <dgm:cxn modelId="{11882A79-E6EA-4450-A339-4A1EC8F1AC81}" type="presParOf" srcId="{A9F25B9A-D973-40C7-8D72-33912B058AC8}" destId="{72D523F1-4E2A-4668-BEF9-9AD3D311F9FC}" srcOrd="3" destOrd="0" presId="urn:microsoft.com/office/officeart/2005/8/layout/hList1"/>
    <dgm:cxn modelId="{1FFCE8F0-4009-47AB-A4B6-5AAE359C5466}" type="presParOf" srcId="{A9F25B9A-D973-40C7-8D72-33912B058AC8}" destId="{29A0E648-0007-4F88-B0FC-5519D2DE19CD}" srcOrd="4" destOrd="0" presId="urn:microsoft.com/office/officeart/2005/8/layout/hList1"/>
    <dgm:cxn modelId="{027A7F4C-F1F0-4D65-A6BF-93C29E5A5BE2}" type="presParOf" srcId="{29A0E648-0007-4F88-B0FC-5519D2DE19CD}" destId="{F6482CD8-0871-42DB-A241-BB13F59EFF19}" srcOrd="0" destOrd="0" presId="urn:microsoft.com/office/officeart/2005/8/layout/hList1"/>
    <dgm:cxn modelId="{51F9E156-DF34-433D-A41D-03A417065DB8}" type="presParOf" srcId="{29A0E648-0007-4F88-B0FC-5519D2DE19CD}" destId="{2C35B110-8483-4ABF-A27B-9D17CD01F003}" srcOrd="1" destOrd="0" presId="urn:microsoft.com/office/officeart/2005/8/layout/hList1"/>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7725C011-F7E2-4C88-AF5D-EAF6049D4740}"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AU"/>
        </a:p>
      </dgm:t>
    </dgm:pt>
    <dgm:pt modelId="{2EA43F78-A176-4CC0-BA35-9568E4FB14DD}">
      <dgm:prSet phldrT="[Text]" custT="1"/>
      <dgm:spPr>
        <a:xfrm>
          <a:off x="1762" y="97417"/>
          <a:ext cx="1718652" cy="687460"/>
        </a:xfrm>
        <a:solidFill>
          <a:srgbClr val="70AD47">
            <a:lumMod val="50000"/>
          </a:srgbClr>
        </a:solidFill>
        <a:ln w="12700" cap="flat" cmpd="sng" algn="ctr">
          <a:noFill/>
          <a:prstDash val="solid"/>
          <a:miter lim="800000"/>
        </a:ln>
        <a:effectLst/>
      </dgm:spPr>
      <dgm:t>
        <a:bodyPr/>
        <a:lstStyle/>
        <a:p>
          <a:r>
            <a:rPr lang="en-AU" sz="1400" b="1">
              <a:solidFill>
                <a:sysClr val="window" lastClr="FFFFFF"/>
              </a:solidFill>
              <a:latin typeface="Calibri Light" panose="020F0302020204030204"/>
              <a:ea typeface="+mn-ea"/>
              <a:cs typeface="+mn-cs"/>
            </a:rPr>
            <a:t>Identify allies</a:t>
          </a:r>
        </a:p>
      </dgm:t>
    </dgm:pt>
    <dgm:pt modelId="{7D365D1B-AB64-4D01-A556-FBA80353391D}" type="parTrans" cxnId="{827B3F43-6943-4B5C-8BAF-C84DDD80077A}">
      <dgm:prSet/>
      <dgm:spPr/>
      <dgm:t>
        <a:bodyPr/>
        <a:lstStyle/>
        <a:p>
          <a:endParaRPr lang="en-AU"/>
        </a:p>
      </dgm:t>
    </dgm:pt>
    <dgm:pt modelId="{D8CCB28D-D1AB-405C-B582-29C890544EC9}" type="sibTrans" cxnId="{827B3F43-6943-4B5C-8BAF-C84DDD80077A}">
      <dgm:prSet/>
      <dgm:spPr/>
      <dgm:t>
        <a:bodyPr/>
        <a:lstStyle/>
        <a:p>
          <a:endParaRPr lang="en-AU"/>
        </a:p>
      </dgm:t>
    </dgm:pt>
    <dgm:pt modelId="{AB67BF85-AACD-428A-AFC4-8BFC509B374F}">
      <dgm:prSet phldrT="[Text]" custT="1"/>
      <dgm:spPr>
        <a:xfrm>
          <a:off x="1762" y="784877"/>
          <a:ext cx="1718652" cy="4995899"/>
        </a:xfrm>
        <a:solidFill>
          <a:srgbClr val="EDF5E7">
            <a:alpha val="90000"/>
          </a:srgbClr>
        </a:solidFill>
        <a:ln w="12700" cap="flat" cmpd="sng" algn="ctr">
          <a:noFill/>
          <a:prstDash val="solid"/>
          <a:miter lim="800000"/>
        </a:ln>
        <a:effectLst/>
      </dgm:spPr>
      <dgm:t>
        <a:bodyPr/>
        <a:lstStyle/>
        <a:p>
          <a:pPr marL="216000" indent="-216000">
            <a:spcBef>
              <a:spcPts val="1200"/>
            </a:spcBef>
            <a:spcAft>
              <a:spcPts val="1200"/>
            </a:spcAft>
          </a:pPr>
          <a:r>
            <a:rPr lang="en-AU" sz="1100">
              <a:solidFill>
                <a:sysClr val="windowText" lastClr="000000">
                  <a:hueOff val="0"/>
                  <a:satOff val="0"/>
                  <a:lumOff val="0"/>
                  <a:alphaOff val="0"/>
                </a:sysClr>
              </a:solidFill>
              <a:latin typeface="Calibri" panose="020F0502020204030204"/>
              <a:ea typeface="+mn-ea"/>
              <a:cs typeface="+mn-cs"/>
            </a:rPr>
            <a:t>Identify allies who can provide support,  confidence and reassurance at various organisational levels.</a:t>
          </a:r>
        </a:p>
      </dgm:t>
    </dgm:pt>
    <dgm:pt modelId="{82105A34-5848-41EA-BAD3-881938907745}" type="parTrans" cxnId="{6D10DC67-3227-492F-B6EB-0A06ACA9159C}">
      <dgm:prSet/>
      <dgm:spPr/>
      <dgm:t>
        <a:bodyPr/>
        <a:lstStyle/>
        <a:p>
          <a:endParaRPr lang="en-AU"/>
        </a:p>
      </dgm:t>
    </dgm:pt>
    <dgm:pt modelId="{6BA21FB4-8AE2-4EC6-B3CC-997C9639904C}" type="sibTrans" cxnId="{6D10DC67-3227-492F-B6EB-0A06ACA9159C}">
      <dgm:prSet/>
      <dgm:spPr/>
      <dgm:t>
        <a:bodyPr/>
        <a:lstStyle/>
        <a:p>
          <a:endParaRPr lang="en-AU"/>
        </a:p>
      </dgm:t>
    </dgm:pt>
    <dgm:pt modelId="{D05D56D0-9DDA-4E94-89E7-E9DABE55399A}">
      <dgm:prSet phldrT="[Text]" custT="1"/>
      <dgm:spPr>
        <a:xfrm>
          <a:off x="1961026" y="97417"/>
          <a:ext cx="1718652" cy="687460"/>
        </a:xfrm>
        <a:solidFill>
          <a:srgbClr val="70AD47">
            <a:lumMod val="50000"/>
          </a:srgbClr>
        </a:solidFill>
        <a:ln w="12700" cap="flat" cmpd="sng" algn="ctr">
          <a:noFill/>
          <a:prstDash val="solid"/>
          <a:miter lim="800000"/>
        </a:ln>
        <a:effectLst/>
      </dgm:spPr>
      <dgm:t>
        <a:bodyPr/>
        <a:lstStyle/>
        <a:p>
          <a:r>
            <a:rPr lang="en-AU" sz="1400" b="1">
              <a:solidFill>
                <a:sysClr val="window" lastClr="FFFFFF"/>
              </a:solidFill>
              <a:latin typeface="Calibri Light" panose="020F0302020204030204"/>
              <a:ea typeface="+mn-ea"/>
              <a:cs typeface="+mn-cs"/>
            </a:rPr>
            <a:t>Return to the issues</a:t>
          </a:r>
        </a:p>
      </dgm:t>
    </dgm:pt>
    <dgm:pt modelId="{2F50E4B7-41A8-43D3-8575-5CDF30A1F161}" type="parTrans" cxnId="{6E841B04-E5A7-4A1E-AFF8-D4AA35D0581A}">
      <dgm:prSet/>
      <dgm:spPr/>
      <dgm:t>
        <a:bodyPr/>
        <a:lstStyle/>
        <a:p>
          <a:endParaRPr lang="en-AU"/>
        </a:p>
      </dgm:t>
    </dgm:pt>
    <dgm:pt modelId="{72B603BE-0DD2-40C5-8C41-FC70E2A4D225}" type="sibTrans" cxnId="{6E841B04-E5A7-4A1E-AFF8-D4AA35D0581A}">
      <dgm:prSet/>
      <dgm:spPr/>
      <dgm:t>
        <a:bodyPr/>
        <a:lstStyle/>
        <a:p>
          <a:endParaRPr lang="en-AU"/>
        </a:p>
      </dgm:t>
    </dgm:pt>
    <dgm:pt modelId="{C66C513F-247C-4102-9F5B-D5A5906E8F0F}">
      <dgm:prSet phldrT="[Text]" custT="1"/>
      <dgm:spPr>
        <a:xfrm>
          <a:off x="1961026" y="784877"/>
          <a:ext cx="1718652" cy="4995899"/>
        </a:xfrm>
        <a:solidFill>
          <a:srgbClr val="EDF5E7">
            <a:alpha val="90000"/>
          </a:srgbClr>
        </a:solidFill>
        <a:ln w="12700" cap="flat" cmpd="sng" algn="ctr">
          <a:noFill/>
          <a:prstDash val="solid"/>
          <a:miter lim="800000"/>
        </a:ln>
        <a:effectLst/>
      </dgm:spPr>
      <dgm:t>
        <a:bodyPr/>
        <a:lstStyle/>
        <a:p>
          <a:pPr marL="216000" indent="-216000">
            <a:spcBef>
              <a:spcPts val="1200"/>
            </a:spcBef>
            <a:spcAft>
              <a:spcPts val="1200"/>
            </a:spcAft>
          </a:pPr>
          <a:r>
            <a:rPr lang="en-AU" sz="1100">
              <a:solidFill>
                <a:sysClr val="windowText" lastClr="000000">
                  <a:hueOff val="0"/>
                  <a:satOff val="0"/>
                  <a:lumOff val="0"/>
                  <a:alphaOff val="0"/>
                </a:sysClr>
              </a:solidFill>
              <a:latin typeface="Calibri" panose="020F0502020204030204"/>
              <a:ea typeface="+mn-ea"/>
              <a:cs typeface="+mn-cs"/>
            </a:rPr>
            <a:t>If no resolution is immediately forthcoming, return to the issues regularly and often. </a:t>
          </a:r>
        </a:p>
      </dgm:t>
    </dgm:pt>
    <dgm:pt modelId="{534E1B34-AFD6-47F7-8827-657C9CD1AD17}" type="parTrans" cxnId="{B6301800-239F-4193-9EF8-0B7B18BC41AD}">
      <dgm:prSet/>
      <dgm:spPr/>
      <dgm:t>
        <a:bodyPr/>
        <a:lstStyle/>
        <a:p>
          <a:endParaRPr lang="en-AU"/>
        </a:p>
      </dgm:t>
    </dgm:pt>
    <dgm:pt modelId="{64278FF1-FFB0-44AA-AED2-773EF8A9F295}" type="sibTrans" cxnId="{B6301800-239F-4193-9EF8-0B7B18BC41AD}">
      <dgm:prSet/>
      <dgm:spPr/>
      <dgm:t>
        <a:bodyPr/>
        <a:lstStyle/>
        <a:p>
          <a:endParaRPr lang="en-AU"/>
        </a:p>
      </dgm:t>
    </dgm:pt>
    <dgm:pt modelId="{F236867B-3D2A-4912-A449-11431816A41E}">
      <dgm:prSet phldrT="[Text]" custT="1"/>
      <dgm:spPr>
        <a:xfrm>
          <a:off x="3920289" y="97417"/>
          <a:ext cx="1718652" cy="687460"/>
        </a:xfrm>
        <a:solidFill>
          <a:srgbClr val="70AD47">
            <a:lumMod val="50000"/>
          </a:srgbClr>
        </a:solidFill>
        <a:ln w="12700" cap="flat" cmpd="sng" algn="ctr">
          <a:noFill/>
          <a:prstDash val="solid"/>
          <a:miter lim="800000"/>
        </a:ln>
        <a:effectLst/>
      </dgm:spPr>
      <dgm:t>
        <a:bodyPr/>
        <a:lstStyle/>
        <a:p>
          <a:r>
            <a:rPr lang="en-AU" sz="1400" b="1">
              <a:solidFill>
                <a:sysClr val="window" lastClr="FFFFFF"/>
              </a:solidFill>
              <a:latin typeface="Calibri Light" panose="020F0302020204030204"/>
              <a:ea typeface="+mn-ea"/>
              <a:cs typeface="+mn-cs"/>
            </a:rPr>
            <a:t>Anticipate resistance</a:t>
          </a:r>
        </a:p>
      </dgm:t>
    </dgm:pt>
    <dgm:pt modelId="{B32935DA-15FB-41DF-B7AE-869614920B67}" type="parTrans" cxnId="{236A1C88-45D1-4ABA-8F9D-5A83B8E88E31}">
      <dgm:prSet/>
      <dgm:spPr/>
      <dgm:t>
        <a:bodyPr/>
        <a:lstStyle/>
        <a:p>
          <a:endParaRPr lang="en-AU"/>
        </a:p>
      </dgm:t>
    </dgm:pt>
    <dgm:pt modelId="{AC466B43-513F-455A-91C3-9F480734105F}" type="sibTrans" cxnId="{236A1C88-45D1-4ABA-8F9D-5A83B8E88E31}">
      <dgm:prSet/>
      <dgm:spPr/>
      <dgm:t>
        <a:bodyPr/>
        <a:lstStyle/>
        <a:p>
          <a:endParaRPr lang="en-AU"/>
        </a:p>
      </dgm:t>
    </dgm:pt>
    <dgm:pt modelId="{CC5CFBC0-2901-4438-9D1C-2B78CFFB2F37}">
      <dgm:prSet phldrT="[Text]" custT="1"/>
      <dgm:spPr>
        <a:xfrm>
          <a:off x="3920289" y="784877"/>
          <a:ext cx="1718652" cy="4995899"/>
        </a:xfrm>
        <a:solidFill>
          <a:srgbClr val="EDF5E7">
            <a:alpha val="90000"/>
          </a:srgbClr>
        </a:solidFill>
        <a:ln w="12700" cap="flat" cmpd="sng" algn="ctr">
          <a:noFill/>
          <a:prstDash val="solid"/>
          <a:miter lim="800000"/>
        </a:ln>
        <a:effectLst/>
      </dgm:spPr>
      <dgm:t>
        <a:bodyPr/>
        <a:lstStyle/>
        <a:p>
          <a:pPr marL="216000" indent="-216000">
            <a:spcBef>
              <a:spcPts val="1200"/>
            </a:spcBef>
            <a:spcAft>
              <a:spcPts val="1200"/>
            </a:spcAft>
          </a:pPr>
          <a:r>
            <a:rPr lang="en-AU" sz="1100">
              <a:solidFill>
                <a:sysClr val="windowText" lastClr="000000">
                  <a:hueOff val="0"/>
                  <a:satOff val="0"/>
                  <a:lumOff val="0"/>
                  <a:alphaOff val="0"/>
                </a:sysClr>
              </a:solidFill>
              <a:latin typeface="Calibri" panose="020F0502020204030204"/>
              <a:ea typeface="+mn-ea"/>
              <a:cs typeface="+mn-cs"/>
            </a:rPr>
            <a:t>Try to anticipate the types of resistance that are likely to arise. </a:t>
          </a:r>
        </a:p>
      </dgm:t>
    </dgm:pt>
    <dgm:pt modelId="{C71DA390-871D-411F-B2A7-8C10E7C72320}" type="parTrans" cxnId="{17F42061-3E08-418F-9F70-F4BCAF6CAC2D}">
      <dgm:prSet/>
      <dgm:spPr/>
      <dgm:t>
        <a:bodyPr/>
        <a:lstStyle/>
        <a:p>
          <a:endParaRPr lang="en-AU"/>
        </a:p>
      </dgm:t>
    </dgm:pt>
    <dgm:pt modelId="{643A9342-46FB-48BD-9438-6A4786E1043E}" type="sibTrans" cxnId="{17F42061-3E08-418F-9F70-F4BCAF6CAC2D}">
      <dgm:prSet/>
      <dgm:spPr/>
      <dgm:t>
        <a:bodyPr/>
        <a:lstStyle/>
        <a:p>
          <a:endParaRPr lang="en-AU"/>
        </a:p>
      </dgm:t>
    </dgm:pt>
    <dgm:pt modelId="{2E73CEAA-A0BD-4904-925F-972F5A3B16AD}">
      <dgm:prSet phldrT="[Text]" custT="1"/>
      <dgm:spPr>
        <a:xfrm>
          <a:off x="1961026" y="784877"/>
          <a:ext cx="1718652" cy="4995899"/>
        </a:xfrm>
        <a:solidFill>
          <a:srgbClr val="EDF5E7">
            <a:alpha val="90000"/>
          </a:srgbClr>
        </a:solidFill>
        <a:ln w="12700" cap="flat" cmpd="sng" algn="ctr">
          <a:noFill/>
          <a:prstDash val="solid"/>
          <a:miter lim="800000"/>
        </a:ln>
        <a:effectLst/>
      </dgm:spPr>
      <dgm:t>
        <a:bodyPr/>
        <a:lstStyle/>
        <a:p>
          <a:pPr marL="216000" indent="-216000">
            <a:spcBef>
              <a:spcPts val="1200"/>
            </a:spcBef>
            <a:spcAft>
              <a:spcPts val="1200"/>
            </a:spcAft>
          </a:pPr>
          <a:r>
            <a:rPr lang="en-AU" sz="1100">
              <a:solidFill>
                <a:sysClr val="windowText" lastClr="000000">
                  <a:hueOff val="0"/>
                  <a:satOff val="0"/>
                  <a:lumOff val="0"/>
                  <a:alphaOff val="0"/>
                </a:sysClr>
              </a:solidFill>
              <a:latin typeface="Calibri" panose="020F0502020204030204"/>
              <a:ea typeface="+mn-ea"/>
              <a:cs typeface="+mn-cs"/>
            </a:rPr>
            <a:t>Think of a variety of settings in which you can raise and address the issues. </a:t>
          </a:r>
        </a:p>
      </dgm:t>
    </dgm:pt>
    <dgm:pt modelId="{1754AB1E-7C40-4F67-A2B9-0934354C8FA7}" type="parTrans" cxnId="{2EEAEF12-586E-42FD-BA05-46DBAC59ED68}">
      <dgm:prSet/>
      <dgm:spPr/>
      <dgm:t>
        <a:bodyPr/>
        <a:lstStyle/>
        <a:p>
          <a:endParaRPr lang="en-AU"/>
        </a:p>
      </dgm:t>
    </dgm:pt>
    <dgm:pt modelId="{A424BD23-3BF0-415C-9517-65737666E91F}" type="sibTrans" cxnId="{2EEAEF12-586E-42FD-BA05-46DBAC59ED68}">
      <dgm:prSet/>
      <dgm:spPr/>
      <dgm:t>
        <a:bodyPr/>
        <a:lstStyle/>
        <a:p>
          <a:endParaRPr lang="en-AU"/>
        </a:p>
      </dgm:t>
    </dgm:pt>
    <dgm:pt modelId="{6EF1B408-6943-4927-807B-E0F4415B5BF0}">
      <dgm:prSet phldrT="[Text]" custT="1"/>
      <dgm:spPr>
        <a:xfrm>
          <a:off x="3920289" y="784877"/>
          <a:ext cx="1718652" cy="4995899"/>
        </a:xfrm>
        <a:solidFill>
          <a:srgbClr val="EDF5E7">
            <a:alpha val="90000"/>
          </a:srgbClr>
        </a:solidFill>
        <a:ln w="12700" cap="flat" cmpd="sng" algn="ctr">
          <a:noFill/>
          <a:prstDash val="solid"/>
          <a:miter lim="800000"/>
        </a:ln>
        <a:effectLst/>
      </dgm:spPr>
      <dgm:t>
        <a:bodyPr/>
        <a:lstStyle/>
        <a:p>
          <a:pPr marL="216000" indent="-216000">
            <a:spcBef>
              <a:spcPts val="1200"/>
            </a:spcBef>
            <a:spcAft>
              <a:spcPts val="1200"/>
            </a:spcAft>
          </a:pPr>
          <a:r>
            <a:rPr lang="en-AU" sz="1100">
              <a:solidFill>
                <a:sysClr val="windowText" lastClr="000000">
                  <a:hueOff val="0"/>
                  <a:satOff val="0"/>
                  <a:lumOff val="0"/>
                  <a:alphaOff val="0"/>
                </a:sysClr>
              </a:solidFill>
              <a:latin typeface="Calibri" panose="020F0502020204030204"/>
              <a:ea typeface="+mn-ea"/>
              <a:cs typeface="+mn-cs"/>
            </a:rPr>
            <a:t>Allies can be helpful in developing these responses. For example, role-playing with allies to practise how to deal with resistant people or business units. </a:t>
          </a:r>
        </a:p>
      </dgm:t>
    </dgm:pt>
    <dgm:pt modelId="{926B0EDF-F7A9-412B-8AA8-7474A1F6852D}" type="parTrans" cxnId="{A4C75F46-DE97-48D4-AC0C-17EB9D9033F4}">
      <dgm:prSet/>
      <dgm:spPr/>
      <dgm:t>
        <a:bodyPr/>
        <a:lstStyle/>
        <a:p>
          <a:endParaRPr lang="en-AU"/>
        </a:p>
      </dgm:t>
    </dgm:pt>
    <dgm:pt modelId="{1A42591F-6FEC-4525-B2DD-F87F195F079B}" type="sibTrans" cxnId="{A4C75F46-DE97-48D4-AC0C-17EB9D9033F4}">
      <dgm:prSet/>
      <dgm:spPr/>
      <dgm:t>
        <a:bodyPr/>
        <a:lstStyle/>
        <a:p>
          <a:endParaRPr lang="en-AU"/>
        </a:p>
      </dgm:t>
    </dgm:pt>
    <dgm:pt modelId="{970A696E-E38C-45A8-B69B-3CCDAB454C64}">
      <dgm:prSet phldrT="[Text]" custT="1"/>
      <dgm:spPr>
        <a:xfrm>
          <a:off x="1961026" y="784877"/>
          <a:ext cx="1718652" cy="4995899"/>
        </a:xfrm>
        <a:solidFill>
          <a:srgbClr val="EDF5E7">
            <a:alpha val="90000"/>
          </a:srgbClr>
        </a:solidFill>
        <a:ln w="12700" cap="flat" cmpd="sng" algn="ctr">
          <a:noFill/>
          <a:prstDash val="solid"/>
          <a:miter lim="800000"/>
        </a:ln>
        <a:effectLst/>
      </dgm:spPr>
      <dgm:t>
        <a:bodyPr/>
        <a:lstStyle/>
        <a:p>
          <a:pPr marL="216000" indent="-216000">
            <a:spcBef>
              <a:spcPts val="1200"/>
            </a:spcBef>
            <a:spcAft>
              <a:spcPts val="1200"/>
            </a:spcAft>
          </a:pPr>
          <a:r>
            <a:rPr lang="en-AU" sz="1100">
              <a:solidFill>
                <a:sysClr val="windowText" lastClr="000000">
                  <a:hueOff val="0"/>
                  <a:satOff val="0"/>
                  <a:lumOff val="0"/>
                  <a:alphaOff val="0"/>
                </a:sysClr>
              </a:solidFill>
              <a:latin typeface="Calibri" panose="020F0502020204030204"/>
              <a:ea typeface="+mn-ea"/>
              <a:cs typeface="+mn-cs"/>
            </a:rPr>
            <a:t>Be on the lookout for potential favourable occasions to raise issues. Don't let an opportunity go by.</a:t>
          </a:r>
        </a:p>
      </dgm:t>
    </dgm:pt>
    <dgm:pt modelId="{5526D224-964E-40E0-A1F4-FB6166ED08D9}" type="parTrans" cxnId="{683B88B8-46CD-4816-BEA8-196CA65F5360}">
      <dgm:prSet/>
      <dgm:spPr/>
      <dgm:t>
        <a:bodyPr/>
        <a:lstStyle/>
        <a:p>
          <a:endParaRPr lang="en-AU"/>
        </a:p>
      </dgm:t>
    </dgm:pt>
    <dgm:pt modelId="{3DA341A7-DA9C-4BE8-9A18-F41AC4FD53DC}" type="sibTrans" cxnId="{683B88B8-46CD-4816-BEA8-196CA65F5360}">
      <dgm:prSet/>
      <dgm:spPr/>
      <dgm:t>
        <a:bodyPr/>
        <a:lstStyle/>
        <a:p>
          <a:endParaRPr lang="en-AU"/>
        </a:p>
      </dgm:t>
    </dgm:pt>
    <dgm:pt modelId="{90AA5632-075A-4864-981E-3CF281B508B6}">
      <dgm:prSet phldrT="[Text]" custT="1"/>
      <dgm:spPr>
        <a:xfrm>
          <a:off x="1961026" y="784877"/>
          <a:ext cx="1718652" cy="4995899"/>
        </a:xfrm>
        <a:solidFill>
          <a:srgbClr val="EDF5E7">
            <a:alpha val="90000"/>
          </a:srgbClr>
        </a:solidFill>
        <a:ln w="12700" cap="flat" cmpd="sng" algn="ctr">
          <a:noFill/>
          <a:prstDash val="solid"/>
          <a:miter lim="800000"/>
        </a:ln>
        <a:effectLst/>
      </dgm:spPr>
      <dgm:t>
        <a:bodyPr/>
        <a:lstStyle/>
        <a:p>
          <a:pPr marL="216000" indent="-216000">
            <a:spcBef>
              <a:spcPts val="1200"/>
            </a:spcBef>
            <a:spcAft>
              <a:spcPts val="1200"/>
            </a:spcAft>
          </a:pPr>
          <a:r>
            <a:rPr lang="en-AU" sz="1100">
              <a:solidFill>
                <a:sysClr val="windowText" lastClr="000000">
                  <a:hueOff val="0"/>
                  <a:satOff val="0"/>
                  <a:lumOff val="0"/>
                  <a:alphaOff val="0"/>
                </a:sysClr>
              </a:solidFill>
              <a:latin typeface="Calibri" panose="020F0502020204030204"/>
              <a:ea typeface="+mn-ea"/>
              <a:cs typeface="+mn-cs"/>
            </a:rPr>
            <a:t>For example, setting up a special meeting to discuss the issue with relevant colleagues, using an opportunity to raise it in different meetings, talking about it informally with colleagues when the opportunity arises, following up on informal or formal meetings. </a:t>
          </a:r>
        </a:p>
      </dgm:t>
    </dgm:pt>
    <dgm:pt modelId="{D88A3A22-12B1-43A0-BE5E-988ADDCCBE28}" type="parTrans" cxnId="{90EB7F83-51A1-4FD4-B07B-0BAD19F7F2BB}">
      <dgm:prSet/>
      <dgm:spPr/>
      <dgm:t>
        <a:bodyPr/>
        <a:lstStyle/>
        <a:p>
          <a:endParaRPr lang="en-AU"/>
        </a:p>
      </dgm:t>
    </dgm:pt>
    <dgm:pt modelId="{7F9CA091-85B3-4A17-B7B1-7CE04A26A643}" type="sibTrans" cxnId="{90EB7F83-51A1-4FD4-B07B-0BAD19F7F2BB}">
      <dgm:prSet/>
      <dgm:spPr/>
      <dgm:t>
        <a:bodyPr/>
        <a:lstStyle/>
        <a:p>
          <a:endParaRPr lang="en-AU"/>
        </a:p>
      </dgm:t>
    </dgm:pt>
    <dgm:pt modelId="{89E30429-A55C-4B4C-94D9-B7F9AF4E7E74}">
      <dgm:prSet phldrT="[Text]" custT="1"/>
      <dgm:spPr>
        <a:xfrm>
          <a:off x="1762" y="784877"/>
          <a:ext cx="1718652" cy="4995899"/>
        </a:xfrm>
        <a:solidFill>
          <a:srgbClr val="EDF5E7">
            <a:alpha val="90000"/>
          </a:srgbClr>
        </a:solidFill>
        <a:ln w="12700" cap="flat" cmpd="sng" algn="ctr">
          <a:noFill/>
          <a:prstDash val="solid"/>
          <a:miter lim="800000"/>
        </a:ln>
        <a:effectLst/>
      </dgm:spPr>
      <dgm:t>
        <a:bodyPr/>
        <a:lstStyle/>
        <a:p>
          <a:pPr marL="216000" indent="-216000">
            <a:spcBef>
              <a:spcPts val="1200"/>
            </a:spcBef>
            <a:spcAft>
              <a:spcPts val="1200"/>
            </a:spcAft>
          </a:pPr>
          <a:r>
            <a:rPr lang="en-AU" sz="1100">
              <a:solidFill>
                <a:sysClr val="windowText" lastClr="000000">
                  <a:hueOff val="0"/>
                  <a:satOff val="0"/>
                  <a:lumOff val="0"/>
                  <a:alphaOff val="0"/>
                </a:sysClr>
              </a:solidFill>
              <a:latin typeface="Calibri" panose="020F0502020204030204"/>
              <a:ea typeface="+mn-ea"/>
              <a:cs typeface="+mn-cs"/>
            </a:rPr>
            <a:t>Having identified possible allies, spend some time talking with them about the issues and developing a strategy, as well as </a:t>
          </a:r>
          <a:r>
            <a:rPr lang="en-AU" sz="1200">
              <a:solidFill>
                <a:sysClr val="windowText" lastClr="000000">
                  <a:hueOff val="0"/>
                  <a:satOff val="0"/>
                  <a:lumOff val="0"/>
                  <a:alphaOff val="0"/>
                </a:sysClr>
              </a:solidFill>
              <a:latin typeface="Calibri" panose="020F0502020204030204"/>
              <a:ea typeface="+mn-ea"/>
              <a:cs typeface="+mn-cs"/>
            </a:rPr>
            <a:t>soliciting their support in tricky situations. </a:t>
          </a:r>
        </a:p>
      </dgm:t>
    </dgm:pt>
    <dgm:pt modelId="{A77F82E3-522F-4EB5-860B-D8C6D1AE1898}" type="parTrans" cxnId="{A120ED5B-9F93-4C68-BA23-C554D048559C}">
      <dgm:prSet/>
      <dgm:spPr/>
      <dgm:t>
        <a:bodyPr/>
        <a:lstStyle/>
        <a:p>
          <a:endParaRPr lang="en-AU"/>
        </a:p>
      </dgm:t>
    </dgm:pt>
    <dgm:pt modelId="{BD839B7C-9C6E-4B21-93E1-895C27CD7C36}" type="sibTrans" cxnId="{A120ED5B-9F93-4C68-BA23-C554D048559C}">
      <dgm:prSet/>
      <dgm:spPr/>
      <dgm:t>
        <a:bodyPr/>
        <a:lstStyle/>
        <a:p>
          <a:endParaRPr lang="en-AU"/>
        </a:p>
      </dgm:t>
    </dgm:pt>
    <dgm:pt modelId="{4118294B-2405-458E-8BEE-E6AEC1A2F2C0}">
      <dgm:prSet phldrT="[Text]" custT="1"/>
      <dgm:spPr>
        <a:xfrm>
          <a:off x="1762" y="784877"/>
          <a:ext cx="1718652" cy="4995899"/>
        </a:xfrm>
        <a:solidFill>
          <a:srgbClr val="EDF5E7">
            <a:alpha val="90000"/>
          </a:srgbClr>
        </a:solidFill>
        <a:ln w="12700" cap="flat" cmpd="sng" algn="ctr">
          <a:noFill/>
          <a:prstDash val="solid"/>
          <a:miter lim="800000"/>
        </a:ln>
        <a:effectLst/>
      </dgm:spPr>
      <dgm:t>
        <a:bodyPr/>
        <a:lstStyle/>
        <a:p>
          <a:pPr marL="216000" indent="-216000">
            <a:spcBef>
              <a:spcPts val="1200"/>
            </a:spcBef>
            <a:spcAft>
              <a:spcPts val="1200"/>
            </a:spcAft>
          </a:pPr>
          <a:r>
            <a:rPr lang="en-AU" sz="1100">
              <a:solidFill>
                <a:sysClr val="windowText" lastClr="000000">
                  <a:hueOff val="0"/>
                  <a:satOff val="0"/>
                  <a:lumOff val="0"/>
                  <a:alphaOff val="0"/>
                </a:sysClr>
              </a:solidFill>
              <a:latin typeface="Calibri" panose="020F0502020204030204"/>
              <a:ea typeface="+mn-ea"/>
              <a:cs typeface="+mn-cs"/>
            </a:rPr>
            <a:t>For example, senior management 'champions' can provide leadership, facilitating and rewarding efforts to bring gender perspectives to the centre of organisational activities. Other staff can contribute to cultural change and advocate for gender consideration in their activities.</a:t>
          </a:r>
        </a:p>
      </dgm:t>
    </dgm:pt>
    <dgm:pt modelId="{8A09AA76-DC31-4F7D-B5D4-14211371061C}" type="parTrans" cxnId="{D2E1B768-0212-4FC1-B984-D51952763FFA}">
      <dgm:prSet/>
      <dgm:spPr/>
      <dgm:t>
        <a:bodyPr/>
        <a:lstStyle/>
        <a:p>
          <a:endParaRPr lang="en-AU"/>
        </a:p>
      </dgm:t>
    </dgm:pt>
    <dgm:pt modelId="{1760E668-EAE8-410F-B364-215CC2276D33}" type="sibTrans" cxnId="{D2E1B768-0212-4FC1-B984-D51952763FFA}">
      <dgm:prSet/>
      <dgm:spPr/>
      <dgm:t>
        <a:bodyPr/>
        <a:lstStyle/>
        <a:p>
          <a:endParaRPr lang="en-AU"/>
        </a:p>
      </dgm:t>
    </dgm:pt>
    <dgm:pt modelId="{29C05583-BF39-433E-BC76-B4D780E290CE}">
      <dgm:prSet phldrT="[Text]" custT="1"/>
      <dgm:spPr>
        <a:xfrm>
          <a:off x="3920289" y="784877"/>
          <a:ext cx="1718652" cy="4995899"/>
        </a:xfrm>
        <a:solidFill>
          <a:srgbClr val="EDF5E7">
            <a:alpha val="90000"/>
          </a:srgbClr>
        </a:solidFill>
        <a:ln w="12700" cap="flat" cmpd="sng" algn="ctr">
          <a:noFill/>
          <a:prstDash val="solid"/>
          <a:miter lim="800000"/>
        </a:ln>
        <a:effectLst/>
      </dgm:spPr>
      <dgm:t>
        <a:bodyPr/>
        <a:lstStyle/>
        <a:p>
          <a:pPr marL="216000" indent="-216000">
            <a:spcBef>
              <a:spcPts val="1200"/>
            </a:spcBef>
            <a:spcAft>
              <a:spcPts val="1200"/>
            </a:spcAft>
          </a:pPr>
          <a:r>
            <a:rPr lang="en-AU" sz="1100">
              <a:solidFill>
                <a:sysClr val="windowText" lastClr="000000">
                  <a:hueOff val="0"/>
                  <a:satOff val="0"/>
                  <a:lumOff val="0"/>
                  <a:alphaOff val="0"/>
                </a:sysClr>
              </a:solidFill>
              <a:latin typeface="Calibri" panose="020F0502020204030204"/>
              <a:ea typeface="+mn-ea"/>
              <a:cs typeface="+mn-cs"/>
            </a:rPr>
            <a:t>Develop appropriate responses before resistance occurs. </a:t>
          </a:r>
        </a:p>
      </dgm:t>
    </dgm:pt>
    <dgm:pt modelId="{D5AF3571-E109-42A4-8162-7A2E30BF374D}" type="parTrans" cxnId="{41C558C5-CD35-49DB-B70C-D930B363B1B2}">
      <dgm:prSet/>
      <dgm:spPr/>
      <dgm:t>
        <a:bodyPr/>
        <a:lstStyle/>
        <a:p>
          <a:endParaRPr lang="en-AU"/>
        </a:p>
      </dgm:t>
    </dgm:pt>
    <dgm:pt modelId="{1C5612F4-35ED-434C-B514-835DBB252661}" type="sibTrans" cxnId="{41C558C5-CD35-49DB-B70C-D930B363B1B2}">
      <dgm:prSet/>
      <dgm:spPr/>
      <dgm:t>
        <a:bodyPr/>
        <a:lstStyle/>
        <a:p>
          <a:endParaRPr lang="en-AU"/>
        </a:p>
      </dgm:t>
    </dgm:pt>
    <dgm:pt modelId="{A9F25B9A-D973-40C7-8D72-33912B058AC8}" type="pres">
      <dgm:prSet presAssocID="{7725C011-F7E2-4C88-AF5D-EAF6049D4740}" presName="Name0" presStyleCnt="0">
        <dgm:presLayoutVars>
          <dgm:dir/>
          <dgm:animLvl val="lvl"/>
          <dgm:resizeHandles val="exact"/>
        </dgm:presLayoutVars>
      </dgm:prSet>
      <dgm:spPr/>
      <dgm:t>
        <a:bodyPr/>
        <a:lstStyle/>
        <a:p>
          <a:endParaRPr lang="en-AU"/>
        </a:p>
      </dgm:t>
    </dgm:pt>
    <dgm:pt modelId="{BC8C5B98-2F2C-406A-95A7-7B95130685ED}" type="pres">
      <dgm:prSet presAssocID="{2EA43F78-A176-4CC0-BA35-9568E4FB14DD}" presName="composite" presStyleCnt="0"/>
      <dgm:spPr/>
    </dgm:pt>
    <dgm:pt modelId="{00C370DA-36C5-4EAD-9984-302A5BDB22C4}" type="pres">
      <dgm:prSet presAssocID="{2EA43F78-A176-4CC0-BA35-9568E4FB14DD}" presName="parTx" presStyleLbl="alignNode1" presStyleIdx="0" presStyleCnt="3">
        <dgm:presLayoutVars>
          <dgm:chMax val="0"/>
          <dgm:chPref val="0"/>
          <dgm:bulletEnabled val="1"/>
        </dgm:presLayoutVars>
      </dgm:prSet>
      <dgm:spPr>
        <a:prstGeom prst="rect">
          <a:avLst/>
        </a:prstGeom>
      </dgm:spPr>
      <dgm:t>
        <a:bodyPr/>
        <a:lstStyle/>
        <a:p>
          <a:endParaRPr lang="en-AU"/>
        </a:p>
      </dgm:t>
    </dgm:pt>
    <dgm:pt modelId="{4C4CE1E7-4A32-4D5C-A14B-889B97CCC7CA}" type="pres">
      <dgm:prSet presAssocID="{2EA43F78-A176-4CC0-BA35-9568E4FB14DD}" presName="desTx" presStyleLbl="alignAccFollowNode1" presStyleIdx="0" presStyleCnt="3">
        <dgm:presLayoutVars>
          <dgm:bulletEnabled val="1"/>
        </dgm:presLayoutVars>
      </dgm:prSet>
      <dgm:spPr>
        <a:prstGeom prst="rect">
          <a:avLst/>
        </a:prstGeom>
      </dgm:spPr>
      <dgm:t>
        <a:bodyPr/>
        <a:lstStyle/>
        <a:p>
          <a:endParaRPr lang="en-AU"/>
        </a:p>
      </dgm:t>
    </dgm:pt>
    <dgm:pt modelId="{E6037066-5937-4790-A95C-85CB35B88786}" type="pres">
      <dgm:prSet presAssocID="{D8CCB28D-D1AB-405C-B582-29C890544EC9}" presName="space" presStyleCnt="0"/>
      <dgm:spPr/>
    </dgm:pt>
    <dgm:pt modelId="{BB5FAF20-A102-41D0-AECA-F3AC02F23B40}" type="pres">
      <dgm:prSet presAssocID="{D05D56D0-9DDA-4E94-89E7-E9DABE55399A}" presName="composite" presStyleCnt="0"/>
      <dgm:spPr/>
    </dgm:pt>
    <dgm:pt modelId="{C838B1EA-325A-4014-9AD4-C372C2F56EB3}" type="pres">
      <dgm:prSet presAssocID="{D05D56D0-9DDA-4E94-89E7-E9DABE55399A}" presName="parTx" presStyleLbl="alignNode1" presStyleIdx="1" presStyleCnt="3">
        <dgm:presLayoutVars>
          <dgm:chMax val="0"/>
          <dgm:chPref val="0"/>
          <dgm:bulletEnabled val="1"/>
        </dgm:presLayoutVars>
      </dgm:prSet>
      <dgm:spPr>
        <a:prstGeom prst="rect">
          <a:avLst/>
        </a:prstGeom>
      </dgm:spPr>
      <dgm:t>
        <a:bodyPr/>
        <a:lstStyle/>
        <a:p>
          <a:endParaRPr lang="en-AU"/>
        </a:p>
      </dgm:t>
    </dgm:pt>
    <dgm:pt modelId="{69D35E1B-597B-445B-A582-BD7A48962D0E}" type="pres">
      <dgm:prSet presAssocID="{D05D56D0-9DDA-4E94-89E7-E9DABE55399A}" presName="desTx" presStyleLbl="alignAccFollowNode1" presStyleIdx="1" presStyleCnt="3">
        <dgm:presLayoutVars>
          <dgm:bulletEnabled val="1"/>
        </dgm:presLayoutVars>
      </dgm:prSet>
      <dgm:spPr>
        <a:prstGeom prst="rect">
          <a:avLst/>
        </a:prstGeom>
      </dgm:spPr>
      <dgm:t>
        <a:bodyPr/>
        <a:lstStyle/>
        <a:p>
          <a:endParaRPr lang="en-AU"/>
        </a:p>
      </dgm:t>
    </dgm:pt>
    <dgm:pt modelId="{72D523F1-4E2A-4668-BEF9-9AD3D311F9FC}" type="pres">
      <dgm:prSet presAssocID="{72B603BE-0DD2-40C5-8C41-FC70E2A4D225}" presName="space" presStyleCnt="0"/>
      <dgm:spPr/>
    </dgm:pt>
    <dgm:pt modelId="{29A0E648-0007-4F88-B0FC-5519D2DE19CD}" type="pres">
      <dgm:prSet presAssocID="{F236867B-3D2A-4912-A449-11431816A41E}" presName="composite" presStyleCnt="0"/>
      <dgm:spPr/>
    </dgm:pt>
    <dgm:pt modelId="{F6482CD8-0871-42DB-A241-BB13F59EFF19}" type="pres">
      <dgm:prSet presAssocID="{F236867B-3D2A-4912-A449-11431816A41E}" presName="parTx" presStyleLbl="alignNode1" presStyleIdx="2" presStyleCnt="3">
        <dgm:presLayoutVars>
          <dgm:chMax val="0"/>
          <dgm:chPref val="0"/>
          <dgm:bulletEnabled val="1"/>
        </dgm:presLayoutVars>
      </dgm:prSet>
      <dgm:spPr>
        <a:prstGeom prst="rect">
          <a:avLst/>
        </a:prstGeom>
      </dgm:spPr>
      <dgm:t>
        <a:bodyPr/>
        <a:lstStyle/>
        <a:p>
          <a:endParaRPr lang="en-AU"/>
        </a:p>
      </dgm:t>
    </dgm:pt>
    <dgm:pt modelId="{2C35B110-8483-4ABF-A27B-9D17CD01F003}" type="pres">
      <dgm:prSet presAssocID="{F236867B-3D2A-4912-A449-11431816A41E}" presName="desTx" presStyleLbl="alignAccFollowNode1" presStyleIdx="2" presStyleCnt="3">
        <dgm:presLayoutVars>
          <dgm:bulletEnabled val="1"/>
        </dgm:presLayoutVars>
      </dgm:prSet>
      <dgm:spPr>
        <a:prstGeom prst="rect">
          <a:avLst/>
        </a:prstGeom>
      </dgm:spPr>
      <dgm:t>
        <a:bodyPr/>
        <a:lstStyle/>
        <a:p>
          <a:endParaRPr lang="en-AU"/>
        </a:p>
      </dgm:t>
    </dgm:pt>
  </dgm:ptLst>
  <dgm:cxnLst>
    <dgm:cxn modelId="{34F8CC2F-5365-4A08-BD14-012675E932D8}" type="presOf" srcId="{2EA43F78-A176-4CC0-BA35-9568E4FB14DD}" destId="{00C370DA-36C5-4EAD-9984-302A5BDB22C4}" srcOrd="0" destOrd="0" presId="urn:microsoft.com/office/officeart/2005/8/layout/hList1"/>
    <dgm:cxn modelId="{E6C023C7-1BD7-43DE-8676-58F10E3387D2}" type="presOf" srcId="{AB67BF85-AACD-428A-AFC4-8BFC509B374F}" destId="{4C4CE1E7-4A32-4D5C-A14B-889B97CCC7CA}" srcOrd="0" destOrd="0" presId="urn:microsoft.com/office/officeart/2005/8/layout/hList1"/>
    <dgm:cxn modelId="{683B88B8-46CD-4816-BEA8-196CA65F5360}" srcId="{D05D56D0-9DDA-4E94-89E7-E9DABE55399A}" destId="{970A696E-E38C-45A8-B69B-3CCDAB454C64}" srcOrd="3" destOrd="0" parTransId="{5526D224-964E-40E0-A1F4-FB6166ED08D9}" sibTransId="{3DA341A7-DA9C-4BE8-9A18-F41AC4FD53DC}"/>
    <dgm:cxn modelId="{A120ED5B-9F93-4C68-BA23-C554D048559C}" srcId="{2EA43F78-A176-4CC0-BA35-9568E4FB14DD}" destId="{89E30429-A55C-4B4C-94D9-B7F9AF4E7E74}" srcOrd="2" destOrd="0" parTransId="{A77F82E3-522F-4EB5-860B-D8C6D1AE1898}" sibTransId="{BD839B7C-9C6E-4B21-93E1-895C27CD7C36}"/>
    <dgm:cxn modelId="{409A811F-8689-4BA0-9F60-139BC127842C}" type="presOf" srcId="{90AA5632-075A-4864-981E-3CF281B508B6}" destId="{69D35E1B-597B-445B-A582-BD7A48962D0E}" srcOrd="0" destOrd="2" presId="urn:microsoft.com/office/officeart/2005/8/layout/hList1"/>
    <dgm:cxn modelId="{17F42061-3E08-418F-9F70-F4BCAF6CAC2D}" srcId="{F236867B-3D2A-4912-A449-11431816A41E}" destId="{CC5CFBC0-2901-4438-9D1C-2B78CFFB2F37}" srcOrd="0" destOrd="0" parTransId="{C71DA390-871D-411F-B2A7-8C10E7C72320}" sibTransId="{643A9342-46FB-48BD-9438-6A4786E1043E}"/>
    <dgm:cxn modelId="{236A1C88-45D1-4ABA-8F9D-5A83B8E88E31}" srcId="{7725C011-F7E2-4C88-AF5D-EAF6049D4740}" destId="{F236867B-3D2A-4912-A449-11431816A41E}" srcOrd="2" destOrd="0" parTransId="{B32935DA-15FB-41DF-B7AE-869614920B67}" sibTransId="{AC466B43-513F-455A-91C3-9F480734105F}"/>
    <dgm:cxn modelId="{A4C75F46-DE97-48D4-AC0C-17EB9D9033F4}" srcId="{F236867B-3D2A-4912-A449-11431816A41E}" destId="{6EF1B408-6943-4927-807B-E0F4415B5BF0}" srcOrd="2" destOrd="0" parTransId="{926B0EDF-F7A9-412B-8AA8-7474A1F6852D}" sibTransId="{1A42591F-6FEC-4525-B2DD-F87F195F079B}"/>
    <dgm:cxn modelId="{90EB7F83-51A1-4FD4-B07B-0BAD19F7F2BB}" srcId="{D05D56D0-9DDA-4E94-89E7-E9DABE55399A}" destId="{90AA5632-075A-4864-981E-3CF281B508B6}" srcOrd="2" destOrd="0" parTransId="{D88A3A22-12B1-43A0-BE5E-988ADDCCBE28}" sibTransId="{7F9CA091-85B3-4A17-B7B1-7CE04A26A643}"/>
    <dgm:cxn modelId="{7E34A1BA-8D82-441E-BAAA-F07AC3F58031}" type="presOf" srcId="{2E73CEAA-A0BD-4904-925F-972F5A3B16AD}" destId="{69D35E1B-597B-445B-A582-BD7A48962D0E}" srcOrd="0" destOrd="1" presId="urn:microsoft.com/office/officeart/2005/8/layout/hList1"/>
    <dgm:cxn modelId="{E236535C-175B-404E-9CC1-D3FB90A9F3C2}" type="presOf" srcId="{6EF1B408-6943-4927-807B-E0F4415B5BF0}" destId="{2C35B110-8483-4ABF-A27B-9D17CD01F003}" srcOrd="0" destOrd="2" presId="urn:microsoft.com/office/officeart/2005/8/layout/hList1"/>
    <dgm:cxn modelId="{58C678FA-44A5-495F-A70F-ADB6BA8342C8}" type="presOf" srcId="{970A696E-E38C-45A8-B69B-3CCDAB454C64}" destId="{69D35E1B-597B-445B-A582-BD7A48962D0E}" srcOrd="0" destOrd="3" presId="urn:microsoft.com/office/officeart/2005/8/layout/hList1"/>
    <dgm:cxn modelId="{CFEC8CBB-CBE2-49CB-8A73-1DCDDE0990FB}" type="presOf" srcId="{D05D56D0-9DDA-4E94-89E7-E9DABE55399A}" destId="{C838B1EA-325A-4014-9AD4-C372C2F56EB3}" srcOrd="0" destOrd="0" presId="urn:microsoft.com/office/officeart/2005/8/layout/hList1"/>
    <dgm:cxn modelId="{6C99E6FD-0000-482D-9DD5-EEC62E442C23}" type="presOf" srcId="{29C05583-BF39-433E-BC76-B4D780E290CE}" destId="{2C35B110-8483-4ABF-A27B-9D17CD01F003}" srcOrd="0" destOrd="1" presId="urn:microsoft.com/office/officeart/2005/8/layout/hList1"/>
    <dgm:cxn modelId="{6D10DC67-3227-492F-B6EB-0A06ACA9159C}" srcId="{2EA43F78-A176-4CC0-BA35-9568E4FB14DD}" destId="{AB67BF85-AACD-428A-AFC4-8BFC509B374F}" srcOrd="0" destOrd="0" parTransId="{82105A34-5848-41EA-BAD3-881938907745}" sibTransId="{6BA21FB4-8AE2-4EC6-B3CC-997C9639904C}"/>
    <dgm:cxn modelId="{A2C98FC3-6067-42C3-ACB1-C76310D37FD5}" type="presOf" srcId="{4118294B-2405-458E-8BEE-E6AEC1A2F2C0}" destId="{4C4CE1E7-4A32-4D5C-A14B-889B97CCC7CA}" srcOrd="0" destOrd="1" presId="urn:microsoft.com/office/officeart/2005/8/layout/hList1"/>
    <dgm:cxn modelId="{B0E264FA-BA4F-4BA2-816B-32CA7E3AD56E}" type="presOf" srcId="{89E30429-A55C-4B4C-94D9-B7F9AF4E7E74}" destId="{4C4CE1E7-4A32-4D5C-A14B-889B97CCC7CA}" srcOrd="0" destOrd="2" presId="urn:microsoft.com/office/officeart/2005/8/layout/hList1"/>
    <dgm:cxn modelId="{B6301800-239F-4193-9EF8-0B7B18BC41AD}" srcId="{D05D56D0-9DDA-4E94-89E7-E9DABE55399A}" destId="{C66C513F-247C-4102-9F5B-D5A5906E8F0F}" srcOrd="0" destOrd="0" parTransId="{534E1B34-AFD6-47F7-8827-657C9CD1AD17}" sibTransId="{64278FF1-FFB0-44AA-AED2-773EF8A9F295}"/>
    <dgm:cxn modelId="{99142EE2-1242-4FCC-9C53-0D042573722E}" type="presOf" srcId="{F236867B-3D2A-4912-A449-11431816A41E}" destId="{F6482CD8-0871-42DB-A241-BB13F59EFF19}" srcOrd="0" destOrd="0" presId="urn:microsoft.com/office/officeart/2005/8/layout/hList1"/>
    <dgm:cxn modelId="{2EEAEF12-586E-42FD-BA05-46DBAC59ED68}" srcId="{D05D56D0-9DDA-4E94-89E7-E9DABE55399A}" destId="{2E73CEAA-A0BD-4904-925F-972F5A3B16AD}" srcOrd="1" destOrd="0" parTransId="{1754AB1E-7C40-4F67-A2B9-0934354C8FA7}" sibTransId="{A424BD23-3BF0-415C-9517-65737666E91F}"/>
    <dgm:cxn modelId="{6E841B04-E5A7-4A1E-AFF8-D4AA35D0581A}" srcId="{7725C011-F7E2-4C88-AF5D-EAF6049D4740}" destId="{D05D56D0-9DDA-4E94-89E7-E9DABE55399A}" srcOrd="1" destOrd="0" parTransId="{2F50E4B7-41A8-43D3-8575-5CDF30A1F161}" sibTransId="{72B603BE-0DD2-40C5-8C41-FC70E2A4D225}"/>
    <dgm:cxn modelId="{41C558C5-CD35-49DB-B70C-D930B363B1B2}" srcId="{F236867B-3D2A-4912-A449-11431816A41E}" destId="{29C05583-BF39-433E-BC76-B4D780E290CE}" srcOrd="1" destOrd="0" parTransId="{D5AF3571-E109-42A4-8162-7A2E30BF374D}" sibTransId="{1C5612F4-35ED-434C-B514-835DBB252661}"/>
    <dgm:cxn modelId="{A23E69AC-D84C-4388-A200-5B7F361B5762}" type="presOf" srcId="{C66C513F-247C-4102-9F5B-D5A5906E8F0F}" destId="{69D35E1B-597B-445B-A582-BD7A48962D0E}" srcOrd="0" destOrd="0" presId="urn:microsoft.com/office/officeart/2005/8/layout/hList1"/>
    <dgm:cxn modelId="{D2E1B768-0212-4FC1-B984-D51952763FFA}" srcId="{2EA43F78-A176-4CC0-BA35-9568E4FB14DD}" destId="{4118294B-2405-458E-8BEE-E6AEC1A2F2C0}" srcOrd="1" destOrd="0" parTransId="{8A09AA76-DC31-4F7D-B5D4-14211371061C}" sibTransId="{1760E668-EAE8-410F-B364-215CC2276D33}"/>
    <dgm:cxn modelId="{8AB7E04F-3AC0-426A-BFDA-FA5B322AAD16}" type="presOf" srcId="{CC5CFBC0-2901-4438-9D1C-2B78CFFB2F37}" destId="{2C35B110-8483-4ABF-A27B-9D17CD01F003}" srcOrd="0" destOrd="0" presId="urn:microsoft.com/office/officeart/2005/8/layout/hList1"/>
    <dgm:cxn modelId="{950E2AB2-6BBB-4710-97E8-38B99EC810FD}" type="presOf" srcId="{7725C011-F7E2-4C88-AF5D-EAF6049D4740}" destId="{A9F25B9A-D973-40C7-8D72-33912B058AC8}" srcOrd="0" destOrd="0" presId="urn:microsoft.com/office/officeart/2005/8/layout/hList1"/>
    <dgm:cxn modelId="{827B3F43-6943-4B5C-8BAF-C84DDD80077A}" srcId="{7725C011-F7E2-4C88-AF5D-EAF6049D4740}" destId="{2EA43F78-A176-4CC0-BA35-9568E4FB14DD}" srcOrd="0" destOrd="0" parTransId="{7D365D1B-AB64-4D01-A556-FBA80353391D}" sibTransId="{D8CCB28D-D1AB-405C-B582-29C890544EC9}"/>
    <dgm:cxn modelId="{B5AD36CB-0AF4-4C9C-9454-20886CFD97C1}" type="presParOf" srcId="{A9F25B9A-D973-40C7-8D72-33912B058AC8}" destId="{BC8C5B98-2F2C-406A-95A7-7B95130685ED}" srcOrd="0" destOrd="0" presId="urn:microsoft.com/office/officeart/2005/8/layout/hList1"/>
    <dgm:cxn modelId="{36BF7303-1A24-483E-BE38-F3687CD64F00}" type="presParOf" srcId="{BC8C5B98-2F2C-406A-95A7-7B95130685ED}" destId="{00C370DA-36C5-4EAD-9984-302A5BDB22C4}" srcOrd="0" destOrd="0" presId="urn:microsoft.com/office/officeart/2005/8/layout/hList1"/>
    <dgm:cxn modelId="{4F7AD4BF-4A66-4F11-985B-750B42E28317}" type="presParOf" srcId="{BC8C5B98-2F2C-406A-95A7-7B95130685ED}" destId="{4C4CE1E7-4A32-4D5C-A14B-889B97CCC7CA}" srcOrd="1" destOrd="0" presId="urn:microsoft.com/office/officeart/2005/8/layout/hList1"/>
    <dgm:cxn modelId="{C1B09DD3-CE90-4352-A5A8-414A7E373FF8}" type="presParOf" srcId="{A9F25B9A-D973-40C7-8D72-33912B058AC8}" destId="{E6037066-5937-4790-A95C-85CB35B88786}" srcOrd="1" destOrd="0" presId="urn:microsoft.com/office/officeart/2005/8/layout/hList1"/>
    <dgm:cxn modelId="{4D693F97-B8F7-4D7F-B7E3-E132E06411FB}" type="presParOf" srcId="{A9F25B9A-D973-40C7-8D72-33912B058AC8}" destId="{BB5FAF20-A102-41D0-AECA-F3AC02F23B40}" srcOrd="2" destOrd="0" presId="urn:microsoft.com/office/officeart/2005/8/layout/hList1"/>
    <dgm:cxn modelId="{F36E21E0-FC3A-4B38-9B79-83750CD1C463}" type="presParOf" srcId="{BB5FAF20-A102-41D0-AECA-F3AC02F23B40}" destId="{C838B1EA-325A-4014-9AD4-C372C2F56EB3}" srcOrd="0" destOrd="0" presId="urn:microsoft.com/office/officeart/2005/8/layout/hList1"/>
    <dgm:cxn modelId="{24B71BB4-3F8E-4826-B3DA-AA315355E049}" type="presParOf" srcId="{BB5FAF20-A102-41D0-AECA-F3AC02F23B40}" destId="{69D35E1B-597B-445B-A582-BD7A48962D0E}" srcOrd="1" destOrd="0" presId="urn:microsoft.com/office/officeart/2005/8/layout/hList1"/>
    <dgm:cxn modelId="{11882A79-E6EA-4450-A339-4A1EC8F1AC81}" type="presParOf" srcId="{A9F25B9A-D973-40C7-8D72-33912B058AC8}" destId="{72D523F1-4E2A-4668-BEF9-9AD3D311F9FC}" srcOrd="3" destOrd="0" presId="urn:microsoft.com/office/officeart/2005/8/layout/hList1"/>
    <dgm:cxn modelId="{1FFCE8F0-4009-47AB-A4B6-5AAE359C5466}" type="presParOf" srcId="{A9F25B9A-D973-40C7-8D72-33912B058AC8}" destId="{29A0E648-0007-4F88-B0FC-5519D2DE19CD}" srcOrd="4" destOrd="0" presId="urn:microsoft.com/office/officeart/2005/8/layout/hList1"/>
    <dgm:cxn modelId="{027A7F4C-F1F0-4D65-A6BF-93C29E5A5BE2}" type="presParOf" srcId="{29A0E648-0007-4F88-B0FC-5519D2DE19CD}" destId="{F6482CD8-0871-42DB-A241-BB13F59EFF19}" srcOrd="0" destOrd="0" presId="urn:microsoft.com/office/officeart/2005/8/layout/hList1"/>
    <dgm:cxn modelId="{51F9E156-DF34-433D-A41D-03A417065DB8}" type="presParOf" srcId="{29A0E648-0007-4F88-B0FC-5519D2DE19CD}" destId="{2C35B110-8483-4ABF-A27B-9D17CD01F003}" srcOrd="1" destOrd="0" presId="urn:microsoft.com/office/officeart/2005/8/layout/hList1"/>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906541-74BA-4A4C-A804-A20B9EF3609B}"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AU"/>
        </a:p>
      </dgm:t>
    </dgm:pt>
    <dgm:pt modelId="{80CD783E-0DEA-465C-8B59-354833512D1B}">
      <dgm:prSet phldrT="[Text]" custT="1"/>
      <dgm:spPr>
        <a:xfrm>
          <a:off x="682" y="85134"/>
          <a:ext cx="3190145" cy="816552"/>
        </a:xfrm>
        <a:solidFill>
          <a:srgbClr val="70AD47">
            <a:lumMod val="50000"/>
          </a:srgbClr>
        </a:solidFill>
        <a:ln w="12700" cap="flat" cmpd="sng" algn="ctr">
          <a:noFill/>
          <a:prstDash val="solid"/>
          <a:miter lim="800000"/>
        </a:ln>
        <a:effectLst/>
      </dgm:spPr>
      <dgm:t>
        <a:bodyPr/>
        <a:lstStyle/>
        <a:p>
          <a:pPr marL="72000"/>
          <a:r>
            <a:rPr lang="en-AU" sz="1100" b="1">
              <a:solidFill>
                <a:sysClr val="windowText" lastClr="000000"/>
              </a:solidFill>
              <a:latin typeface="Calibri Light" panose="020F0302020204030204"/>
              <a:ea typeface="+mn-ea"/>
              <a:cs typeface="+mn-cs"/>
            </a:rPr>
            <a:t>Strategy</a:t>
          </a:r>
        </a:p>
        <a:p>
          <a:pPr marL="72000"/>
          <a:r>
            <a:rPr lang="en-AU" sz="1100" b="1">
              <a:solidFill>
                <a:schemeClr val="bg1"/>
              </a:solidFill>
              <a:latin typeface="Calibri Light" panose="020F0302020204030204"/>
              <a:ea typeface="+mn-ea"/>
              <a:cs typeface="+mn-cs"/>
            </a:rPr>
            <a:t>Gender mainstreaming</a:t>
          </a:r>
        </a:p>
      </dgm:t>
    </dgm:pt>
    <dgm:pt modelId="{613CE0D7-E891-4DF5-9014-7BB2FBFFB21B}" type="parTrans" cxnId="{77584A51-5337-4B7B-8A45-E1DC5EA0162E}">
      <dgm:prSet/>
      <dgm:spPr/>
      <dgm:t>
        <a:bodyPr/>
        <a:lstStyle/>
        <a:p>
          <a:endParaRPr lang="en-AU"/>
        </a:p>
      </dgm:t>
    </dgm:pt>
    <dgm:pt modelId="{E22976CB-2813-4CB4-B19D-DA6816995EE8}" type="sibTrans" cxnId="{77584A51-5337-4B7B-8A45-E1DC5EA0162E}">
      <dgm:prSet/>
      <dgm:spPr>
        <a:solidFill>
          <a:schemeClr val="accent6">
            <a:lumMod val="20000"/>
            <a:lumOff val="80000"/>
            <a:alpha val="90000"/>
          </a:schemeClr>
        </a:solidFill>
        <a:ln>
          <a:noFill/>
        </a:ln>
      </dgm:spPr>
      <dgm:t>
        <a:bodyPr/>
        <a:lstStyle/>
        <a:p>
          <a:endParaRPr lang="en-AU"/>
        </a:p>
      </dgm:t>
    </dgm:pt>
    <dgm:pt modelId="{C7A71A9D-F649-4192-9906-43C8514FB765}">
      <dgm:prSet phldrT="[Text]" custT="1"/>
      <dgm:spPr>
        <a:xfrm>
          <a:off x="987671" y="239175"/>
          <a:ext cx="2193483" cy="816552"/>
        </a:xfrm>
        <a:solidFill>
          <a:srgbClr val="5A5098"/>
        </a:solidFill>
        <a:ln w="12700" cap="flat" cmpd="sng" algn="ctr">
          <a:noFill/>
          <a:prstDash val="solid"/>
          <a:miter lim="800000"/>
        </a:ln>
        <a:effectLst/>
      </dgm:spPr>
      <dgm:t>
        <a:bodyPr/>
        <a:lstStyle/>
        <a:p>
          <a:pPr marL="72000"/>
          <a:r>
            <a:rPr lang="en-AU" sz="1100" b="1">
              <a:solidFill>
                <a:sysClr val="windowText" lastClr="000000"/>
              </a:solidFill>
              <a:latin typeface="Calibri Light" panose="020F0302020204030204"/>
              <a:ea typeface="+mn-ea"/>
              <a:cs typeface="+mn-cs"/>
            </a:rPr>
            <a:t>A starting point</a:t>
          </a:r>
        </a:p>
        <a:p>
          <a:pPr marL="72000"/>
          <a:r>
            <a:rPr lang="en-AU" sz="1100" b="1">
              <a:solidFill>
                <a:schemeClr val="bg1"/>
              </a:solidFill>
              <a:latin typeface="Calibri Light" panose="020F0302020204030204"/>
              <a:ea typeface="+mn-ea"/>
              <a:cs typeface="+mn-cs"/>
            </a:rPr>
            <a:t>Gender analysis/ awareness programs</a:t>
          </a:r>
        </a:p>
      </dgm:t>
    </dgm:pt>
    <dgm:pt modelId="{11287140-F449-473B-B7F2-F02B2920870A}" type="parTrans" cxnId="{026412D3-E31E-45E4-AE99-4C4FDDD33D36}">
      <dgm:prSet/>
      <dgm:spPr/>
      <dgm:t>
        <a:bodyPr/>
        <a:lstStyle/>
        <a:p>
          <a:endParaRPr lang="en-AU"/>
        </a:p>
      </dgm:t>
    </dgm:pt>
    <dgm:pt modelId="{74481B13-BCC3-468D-8B95-90DD0E751CE4}" type="sibTrans" cxnId="{026412D3-E31E-45E4-AE99-4C4FDDD33D36}">
      <dgm:prSet/>
      <dgm:spPr>
        <a:solidFill>
          <a:schemeClr val="accent6">
            <a:lumMod val="20000"/>
            <a:lumOff val="80000"/>
            <a:alpha val="90000"/>
          </a:schemeClr>
        </a:solidFill>
        <a:ln>
          <a:noFill/>
        </a:ln>
      </dgm:spPr>
      <dgm:t>
        <a:bodyPr/>
        <a:lstStyle/>
        <a:p>
          <a:endParaRPr lang="en-AU"/>
        </a:p>
      </dgm:t>
    </dgm:pt>
    <dgm:pt modelId="{1DB547A1-B25F-4A14-AA65-BFFECC7B5C6A}">
      <dgm:prSet phldrT="[Text]" custT="1"/>
      <dgm:spPr>
        <a:xfrm>
          <a:off x="1964663" y="393217"/>
          <a:ext cx="1216815" cy="816552"/>
        </a:xfrm>
        <a:solidFill>
          <a:srgbClr val="70AD47">
            <a:lumMod val="50000"/>
          </a:srgbClr>
        </a:solidFill>
        <a:ln w="12700" cap="flat" cmpd="sng" algn="ctr">
          <a:noFill/>
          <a:prstDash val="solid"/>
          <a:miter lim="800000"/>
        </a:ln>
        <a:effectLst/>
      </dgm:spPr>
      <dgm:t>
        <a:bodyPr/>
        <a:lstStyle/>
        <a:p>
          <a:pPr marL="72000"/>
          <a:r>
            <a:rPr lang="en-AU" sz="1100" b="1">
              <a:solidFill>
                <a:sysClr val="windowText" lastClr="000000"/>
              </a:solidFill>
              <a:latin typeface="Calibri Light" panose="020F0302020204030204"/>
              <a:ea typeface="+mn-ea"/>
              <a:cs typeface="+mn-cs"/>
            </a:rPr>
            <a:t>Goal</a:t>
          </a:r>
        </a:p>
        <a:p>
          <a:pPr marL="72000"/>
          <a:r>
            <a:rPr lang="en-AU" sz="1100" b="1">
              <a:solidFill>
                <a:schemeClr val="bg1"/>
              </a:solidFill>
              <a:latin typeface="Calibri Light" panose="020F0302020204030204"/>
              <a:ea typeface="+mn-ea"/>
              <a:cs typeface="+mn-cs"/>
            </a:rPr>
            <a:t>Gender equality</a:t>
          </a:r>
        </a:p>
      </dgm:t>
    </dgm:pt>
    <dgm:pt modelId="{C517D2D3-3A6C-4CE1-A3F9-E53B05074185}" type="parTrans" cxnId="{00CC3DD9-AEFC-4C42-9286-2041B8C0905A}">
      <dgm:prSet/>
      <dgm:spPr/>
      <dgm:t>
        <a:bodyPr/>
        <a:lstStyle/>
        <a:p>
          <a:endParaRPr lang="en-AU"/>
        </a:p>
      </dgm:t>
    </dgm:pt>
    <dgm:pt modelId="{9519CDE5-0673-4378-9075-403812A9C460}" type="sibTrans" cxnId="{00CC3DD9-AEFC-4C42-9286-2041B8C0905A}">
      <dgm:prSet/>
      <dgm:spPr/>
      <dgm:t>
        <a:bodyPr/>
        <a:lstStyle/>
        <a:p>
          <a:endParaRPr lang="en-AU"/>
        </a:p>
      </dgm:t>
    </dgm:pt>
    <dgm:pt modelId="{5E63FF4C-8171-4C2E-B450-706D0D15BA2E}" type="pres">
      <dgm:prSet presAssocID="{80906541-74BA-4A4C-A804-A20B9EF3609B}" presName="CompostProcess" presStyleCnt="0">
        <dgm:presLayoutVars>
          <dgm:dir/>
          <dgm:resizeHandles val="exact"/>
        </dgm:presLayoutVars>
      </dgm:prSet>
      <dgm:spPr/>
      <dgm:t>
        <a:bodyPr/>
        <a:lstStyle/>
        <a:p>
          <a:endParaRPr lang="en-AU"/>
        </a:p>
      </dgm:t>
    </dgm:pt>
    <dgm:pt modelId="{DCC2A29B-D21E-4D88-A4A7-8935D45855C6}" type="pres">
      <dgm:prSet presAssocID="{80906541-74BA-4A4C-A804-A20B9EF3609B}" presName="arrow" presStyleLbl="bgShp" presStyleIdx="0" presStyleCnt="1"/>
      <dgm:spPr>
        <a:solidFill>
          <a:srgbClr val="E6E7F2"/>
        </a:solidFill>
      </dgm:spPr>
      <dgm:t>
        <a:bodyPr/>
        <a:lstStyle/>
        <a:p>
          <a:endParaRPr lang="en-AU"/>
        </a:p>
      </dgm:t>
    </dgm:pt>
    <dgm:pt modelId="{DD93780D-0BE8-4A44-9069-E1523EC03E1C}" type="pres">
      <dgm:prSet presAssocID="{80906541-74BA-4A4C-A804-A20B9EF3609B}" presName="linearProcess" presStyleCnt="0"/>
      <dgm:spPr/>
    </dgm:pt>
    <dgm:pt modelId="{F2B107D0-6228-40D4-9E09-2BFB61997C0C}" type="pres">
      <dgm:prSet presAssocID="{80CD783E-0DEA-465C-8B59-354833512D1B}" presName="textNode" presStyleLbl="node1" presStyleIdx="0" presStyleCnt="3">
        <dgm:presLayoutVars>
          <dgm:bulletEnabled val="1"/>
        </dgm:presLayoutVars>
      </dgm:prSet>
      <dgm:spPr>
        <a:prstGeom prst="rect">
          <a:avLst/>
        </a:prstGeom>
      </dgm:spPr>
      <dgm:t>
        <a:bodyPr/>
        <a:lstStyle/>
        <a:p>
          <a:endParaRPr lang="en-AU"/>
        </a:p>
      </dgm:t>
    </dgm:pt>
    <dgm:pt modelId="{A16E9A25-1672-4611-BF7A-5E522F8AFF71}" type="pres">
      <dgm:prSet presAssocID="{E22976CB-2813-4CB4-B19D-DA6816995EE8}" presName="sibTrans" presStyleCnt="0"/>
      <dgm:spPr/>
    </dgm:pt>
    <dgm:pt modelId="{31FF4BC2-CA44-4516-908E-B0CF9755EE04}" type="pres">
      <dgm:prSet presAssocID="{C7A71A9D-F649-4192-9906-43C8514FB765}" presName="textNode" presStyleLbl="node1" presStyleIdx="1" presStyleCnt="3">
        <dgm:presLayoutVars>
          <dgm:bulletEnabled val="1"/>
        </dgm:presLayoutVars>
      </dgm:prSet>
      <dgm:spPr>
        <a:prstGeom prst="rect">
          <a:avLst/>
        </a:prstGeom>
      </dgm:spPr>
      <dgm:t>
        <a:bodyPr/>
        <a:lstStyle/>
        <a:p>
          <a:endParaRPr lang="en-AU"/>
        </a:p>
      </dgm:t>
    </dgm:pt>
    <dgm:pt modelId="{BFD47608-D39C-4235-817A-9A4E28E497BA}" type="pres">
      <dgm:prSet presAssocID="{74481B13-BCC3-468D-8B95-90DD0E751CE4}" presName="sibTrans" presStyleCnt="0"/>
      <dgm:spPr/>
    </dgm:pt>
    <dgm:pt modelId="{E398F85A-3D25-4164-91CF-C663F44F7AF7}" type="pres">
      <dgm:prSet presAssocID="{1DB547A1-B25F-4A14-AA65-BFFECC7B5C6A}" presName="textNode" presStyleLbl="node1" presStyleIdx="2" presStyleCnt="3">
        <dgm:presLayoutVars>
          <dgm:bulletEnabled val="1"/>
        </dgm:presLayoutVars>
      </dgm:prSet>
      <dgm:spPr>
        <a:prstGeom prst="rect">
          <a:avLst/>
        </a:prstGeom>
      </dgm:spPr>
      <dgm:t>
        <a:bodyPr/>
        <a:lstStyle/>
        <a:p>
          <a:endParaRPr lang="en-AU"/>
        </a:p>
      </dgm:t>
    </dgm:pt>
  </dgm:ptLst>
  <dgm:cxnLst>
    <dgm:cxn modelId="{DE624CFE-0514-4E5F-9583-74BE3DC90854}" type="presOf" srcId="{80906541-74BA-4A4C-A804-A20B9EF3609B}" destId="{5E63FF4C-8171-4C2E-B450-706D0D15BA2E}" srcOrd="0" destOrd="0" presId="urn:microsoft.com/office/officeart/2005/8/layout/hProcess9"/>
    <dgm:cxn modelId="{1DFD9658-F871-49F3-94E2-E4200F22C32F}" type="presOf" srcId="{80CD783E-0DEA-465C-8B59-354833512D1B}" destId="{F2B107D0-6228-40D4-9E09-2BFB61997C0C}" srcOrd="0" destOrd="0" presId="urn:microsoft.com/office/officeart/2005/8/layout/hProcess9"/>
    <dgm:cxn modelId="{60608836-DBA0-474C-8952-61A0F7A61730}" type="presOf" srcId="{1DB547A1-B25F-4A14-AA65-BFFECC7B5C6A}" destId="{E398F85A-3D25-4164-91CF-C663F44F7AF7}" srcOrd="0" destOrd="0" presId="urn:microsoft.com/office/officeart/2005/8/layout/hProcess9"/>
    <dgm:cxn modelId="{59B5A13C-E5ED-41CF-8B1E-00A00D004693}" type="presOf" srcId="{C7A71A9D-F649-4192-9906-43C8514FB765}" destId="{31FF4BC2-CA44-4516-908E-B0CF9755EE04}" srcOrd="0" destOrd="0" presId="urn:microsoft.com/office/officeart/2005/8/layout/hProcess9"/>
    <dgm:cxn modelId="{026412D3-E31E-45E4-AE99-4C4FDDD33D36}" srcId="{80906541-74BA-4A4C-A804-A20B9EF3609B}" destId="{C7A71A9D-F649-4192-9906-43C8514FB765}" srcOrd="1" destOrd="0" parTransId="{11287140-F449-473B-B7F2-F02B2920870A}" sibTransId="{74481B13-BCC3-468D-8B95-90DD0E751CE4}"/>
    <dgm:cxn modelId="{00CC3DD9-AEFC-4C42-9286-2041B8C0905A}" srcId="{80906541-74BA-4A4C-A804-A20B9EF3609B}" destId="{1DB547A1-B25F-4A14-AA65-BFFECC7B5C6A}" srcOrd="2" destOrd="0" parTransId="{C517D2D3-3A6C-4CE1-A3F9-E53B05074185}" sibTransId="{9519CDE5-0673-4378-9075-403812A9C460}"/>
    <dgm:cxn modelId="{77584A51-5337-4B7B-8A45-E1DC5EA0162E}" srcId="{80906541-74BA-4A4C-A804-A20B9EF3609B}" destId="{80CD783E-0DEA-465C-8B59-354833512D1B}" srcOrd="0" destOrd="0" parTransId="{613CE0D7-E891-4DF5-9014-7BB2FBFFB21B}" sibTransId="{E22976CB-2813-4CB4-B19D-DA6816995EE8}"/>
    <dgm:cxn modelId="{82653E0B-902C-49F3-8403-B497189EBF3B}" type="presParOf" srcId="{5E63FF4C-8171-4C2E-B450-706D0D15BA2E}" destId="{DCC2A29B-D21E-4D88-A4A7-8935D45855C6}" srcOrd="0" destOrd="0" presId="urn:microsoft.com/office/officeart/2005/8/layout/hProcess9"/>
    <dgm:cxn modelId="{B071E051-0ADA-4F8D-B576-52B951353BDB}" type="presParOf" srcId="{5E63FF4C-8171-4C2E-B450-706D0D15BA2E}" destId="{DD93780D-0BE8-4A44-9069-E1523EC03E1C}" srcOrd="1" destOrd="0" presId="urn:microsoft.com/office/officeart/2005/8/layout/hProcess9"/>
    <dgm:cxn modelId="{512C33A5-9DAA-4974-B722-778850B2DB33}" type="presParOf" srcId="{DD93780D-0BE8-4A44-9069-E1523EC03E1C}" destId="{F2B107D0-6228-40D4-9E09-2BFB61997C0C}" srcOrd="0" destOrd="0" presId="urn:microsoft.com/office/officeart/2005/8/layout/hProcess9"/>
    <dgm:cxn modelId="{33DC7BEA-570B-454D-AFE8-822BB05A3F6C}" type="presParOf" srcId="{DD93780D-0BE8-4A44-9069-E1523EC03E1C}" destId="{A16E9A25-1672-4611-BF7A-5E522F8AFF71}" srcOrd="1" destOrd="0" presId="urn:microsoft.com/office/officeart/2005/8/layout/hProcess9"/>
    <dgm:cxn modelId="{3D907E60-9A82-4B06-877E-0EB792DAB7DC}" type="presParOf" srcId="{DD93780D-0BE8-4A44-9069-E1523EC03E1C}" destId="{31FF4BC2-CA44-4516-908E-B0CF9755EE04}" srcOrd="2" destOrd="0" presId="urn:microsoft.com/office/officeart/2005/8/layout/hProcess9"/>
    <dgm:cxn modelId="{C569C401-6793-4C2C-B4CB-587EB4F9E233}" type="presParOf" srcId="{DD93780D-0BE8-4A44-9069-E1523EC03E1C}" destId="{BFD47608-D39C-4235-817A-9A4E28E497BA}" srcOrd="3" destOrd="0" presId="urn:microsoft.com/office/officeart/2005/8/layout/hProcess9"/>
    <dgm:cxn modelId="{7339F688-7427-48D6-811D-686AE29D6F62}" type="presParOf" srcId="{DD93780D-0BE8-4A44-9069-E1523EC03E1C}" destId="{E398F85A-3D25-4164-91CF-C663F44F7AF7}" srcOrd="4" destOrd="0" presId="urn:microsoft.com/office/officeart/2005/8/layout/hProcess9"/>
  </dgm:cxnLst>
  <dgm:bg>
    <a:noFill/>
  </dgm:bg>
  <dgm:whole>
    <a:ln>
      <a:noFill/>
    </a:ln>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0906541-74BA-4A4C-A804-A20B9EF3609B}"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AU"/>
        </a:p>
      </dgm:t>
    </dgm:pt>
    <dgm:pt modelId="{80CD783E-0DEA-465C-8B59-354833512D1B}">
      <dgm:prSet phldrT="[Text]" custT="1"/>
      <dgm:spPr>
        <a:xfrm>
          <a:off x="682" y="85134"/>
          <a:ext cx="3190145" cy="816552"/>
        </a:xfrm>
        <a:solidFill>
          <a:srgbClr val="70AD47">
            <a:lumMod val="50000"/>
          </a:srgbClr>
        </a:solidFill>
        <a:ln w="12700" cap="flat" cmpd="sng" algn="ctr">
          <a:noFill/>
          <a:prstDash val="solid"/>
          <a:miter lim="800000"/>
        </a:ln>
        <a:effectLst/>
      </dgm:spPr>
      <dgm:t>
        <a:bodyPr/>
        <a:lstStyle/>
        <a:p>
          <a:pPr marL="72000"/>
          <a:r>
            <a:rPr lang="en-AU" sz="1100" b="1">
              <a:solidFill>
                <a:sysClr val="windowText" lastClr="000000"/>
              </a:solidFill>
              <a:latin typeface="Calibri Light" panose="020F0302020204030204"/>
              <a:ea typeface="+mn-ea"/>
              <a:cs typeface="+mn-cs"/>
            </a:rPr>
            <a:t>Strategy</a:t>
          </a:r>
        </a:p>
        <a:p>
          <a:pPr marL="72000"/>
          <a:r>
            <a:rPr lang="en-AU" sz="1100" b="1">
              <a:solidFill>
                <a:schemeClr val="bg1"/>
              </a:solidFill>
              <a:latin typeface="Calibri Light" panose="020F0302020204030204"/>
              <a:ea typeface="+mn-ea"/>
              <a:cs typeface="+mn-cs"/>
            </a:rPr>
            <a:t>Gender mainstreaming</a:t>
          </a:r>
        </a:p>
      </dgm:t>
    </dgm:pt>
    <dgm:pt modelId="{613CE0D7-E891-4DF5-9014-7BB2FBFFB21B}" type="parTrans" cxnId="{77584A51-5337-4B7B-8A45-E1DC5EA0162E}">
      <dgm:prSet/>
      <dgm:spPr/>
      <dgm:t>
        <a:bodyPr/>
        <a:lstStyle/>
        <a:p>
          <a:endParaRPr lang="en-AU"/>
        </a:p>
      </dgm:t>
    </dgm:pt>
    <dgm:pt modelId="{E22976CB-2813-4CB4-B19D-DA6816995EE8}" type="sibTrans" cxnId="{77584A51-5337-4B7B-8A45-E1DC5EA0162E}">
      <dgm:prSet/>
      <dgm:spPr>
        <a:solidFill>
          <a:schemeClr val="accent6">
            <a:lumMod val="20000"/>
            <a:lumOff val="80000"/>
            <a:alpha val="90000"/>
          </a:schemeClr>
        </a:solidFill>
        <a:ln>
          <a:noFill/>
        </a:ln>
      </dgm:spPr>
      <dgm:t>
        <a:bodyPr/>
        <a:lstStyle/>
        <a:p>
          <a:endParaRPr lang="en-AU"/>
        </a:p>
      </dgm:t>
    </dgm:pt>
    <dgm:pt modelId="{C7A71A9D-F649-4192-9906-43C8514FB765}">
      <dgm:prSet phldrT="[Text]" custT="1"/>
      <dgm:spPr>
        <a:xfrm>
          <a:off x="987671" y="239175"/>
          <a:ext cx="2193483" cy="816552"/>
        </a:xfrm>
        <a:solidFill>
          <a:srgbClr val="5A5098"/>
        </a:solidFill>
        <a:ln w="12700" cap="flat" cmpd="sng" algn="ctr">
          <a:noFill/>
          <a:prstDash val="solid"/>
          <a:miter lim="800000"/>
        </a:ln>
        <a:effectLst/>
      </dgm:spPr>
      <dgm:t>
        <a:bodyPr/>
        <a:lstStyle/>
        <a:p>
          <a:pPr marL="72000"/>
          <a:r>
            <a:rPr lang="en-AU" sz="1100" b="1">
              <a:solidFill>
                <a:sysClr val="windowText" lastClr="000000"/>
              </a:solidFill>
              <a:latin typeface="Calibri Light" panose="020F0302020204030204"/>
              <a:ea typeface="+mn-ea"/>
              <a:cs typeface="+mn-cs"/>
            </a:rPr>
            <a:t>A starting point</a:t>
          </a:r>
        </a:p>
        <a:p>
          <a:pPr marL="72000"/>
          <a:r>
            <a:rPr lang="en-AU" sz="1100" b="1">
              <a:solidFill>
                <a:schemeClr val="bg1"/>
              </a:solidFill>
              <a:latin typeface="Calibri Light" panose="020F0302020204030204"/>
              <a:ea typeface="+mn-ea"/>
              <a:cs typeface="+mn-cs"/>
            </a:rPr>
            <a:t>Gender analysis/ awareness programs</a:t>
          </a:r>
        </a:p>
      </dgm:t>
    </dgm:pt>
    <dgm:pt modelId="{11287140-F449-473B-B7F2-F02B2920870A}" type="parTrans" cxnId="{026412D3-E31E-45E4-AE99-4C4FDDD33D36}">
      <dgm:prSet/>
      <dgm:spPr/>
      <dgm:t>
        <a:bodyPr/>
        <a:lstStyle/>
        <a:p>
          <a:endParaRPr lang="en-AU"/>
        </a:p>
      </dgm:t>
    </dgm:pt>
    <dgm:pt modelId="{74481B13-BCC3-468D-8B95-90DD0E751CE4}" type="sibTrans" cxnId="{026412D3-E31E-45E4-AE99-4C4FDDD33D36}">
      <dgm:prSet/>
      <dgm:spPr>
        <a:solidFill>
          <a:schemeClr val="accent6">
            <a:lumMod val="20000"/>
            <a:lumOff val="80000"/>
            <a:alpha val="90000"/>
          </a:schemeClr>
        </a:solidFill>
        <a:ln>
          <a:noFill/>
        </a:ln>
      </dgm:spPr>
      <dgm:t>
        <a:bodyPr/>
        <a:lstStyle/>
        <a:p>
          <a:endParaRPr lang="en-AU"/>
        </a:p>
      </dgm:t>
    </dgm:pt>
    <dgm:pt modelId="{1DB547A1-B25F-4A14-AA65-BFFECC7B5C6A}">
      <dgm:prSet phldrT="[Text]" custT="1"/>
      <dgm:spPr>
        <a:xfrm>
          <a:off x="1964663" y="393217"/>
          <a:ext cx="1216815" cy="816552"/>
        </a:xfrm>
        <a:solidFill>
          <a:srgbClr val="70AD47">
            <a:lumMod val="50000"/>
          </a:srgbClr>
        </a:solidFill>
        <a:ln w="12700" cap="flat" cmpd="sng" algn="ctr">
          <a:noFill/>
          <a:prstDash val="solid"/>
          <a:miter lim="800000"/>
        </a:ln>
        <a:effectLst/>
      </dgm:spPr>
      <dgm:t>
        <a:bodyPr/>
        <a:lstStyle/>
        <a:p>
          <a:pPr marL="72000"/>
          <a:r>
            <a:rPr lang="en-AU" sz="1100" b="1">
              <a:solidFill>
                <a:sysClr val="windowText" lastClr="000000"/>
              </a:solidFill>
              <a:latin typeface="Calibri Light" panose="020F0302020204030204"/>
              <a:ea typeface="+mn-ea"/>
              <a:cs typeface="+mn-cs"/>
            </a:rPr>
            <a:t>Goal</a:t>
          </a:r>
        </a:p>
        <a:p>
          <a:pPr marL="72000"/>
          <a:r>
            <a:rPr lang="en-AU" sz="1100" b="1">
              <a:solidFill>
                <a:schemeClr val="bg1"/>
              </a:solidFill>
              <a:latin typeface="Calibri Light" panose="020F0302020204030204"/>
              <a:ea typeface="+mn-ea"/>
              <a:cs typeface="+mn-cs"/>
            </a:rPr>
            <a:t>Gender equality</a:t>
          </a:r>
        </a:p>
      </dgm:t>
    </dgm:pt>
    <dgm:pt modelId="{C517D2D3-3A6C-4CE1-A3F9-E53B05074185}" type="parTrans" cxnId="{00CC3DD9-AEFC-4C42-9286-2041B8C0905A}">
      <dgm:prSet/>
      <dgm:spPr/>
      <dgm:t>
        <a:bodyPr/>
        <a:lstStyle/>
        <a:p>
          <a:endParaRPr lang="en-AU"/>
        </a:p>
      </dgm:t>
    </dgm:pt>
    <dgm:pt modelId="{9519CDE5-0673-4378-9075-403812A9C460}" type="sibTrans" cxnId="{00CC3DD9-AEFC-4C42-9286-2041B8C0905A}">
      <dgm:prSet/>
      <dgm:spPr/>
      <dgm:t>
        <a:bodyPr/>
        <a:lstStyle/>
        <a:p>
          <a:endParaRPr lang="en-AU"/>
        </a:p>
      </dgm:t>
    </dgm:pt>
    <dgm:pt modelId="{5E63FF4C-8171-4C2E-B450-706D0D15BA2E}" type="pres">
      <dgm:prSet presAssocID="{80906541-74BA-4A4C-A804-A20B9EF3609B}" presName="CompostProcess" presStyleCnt="0">
        <dgm:presLayoutVars>
          <dgm:dir/>
          <dgm:resizeHandles val="exact"/>
        </dgm:presLayoutVars>
      </dgm:prSet>
      <dgm:spPr/>
      <dgm:t>
        <a:bodyPr/>
        <a:lstStyle/>
        <a:p>
          <a:endParaRPr lang="en-AU"/>
        </a:p>
      </dgm:t>
    </dgm:pt>
    <dgm:pt modelId="{DCC2A29B-D21E-4D88-A4A7-8935D45855C6}" type="pres">
      <dgm:prSet presAssocID="{80906541-74BA-4A4C-A804-A20B9EF3609B}" presName="arrow" presStyleLbl="bgShp" presStyleIdx="0" presStyleCnt="1"/>
      <dgm:spPr>
        <a:solidFill>
          <a:srgbClr val="E6E7F2"/>
        </a:solidFill>
      </dgm:spPr>
      <dgm:t>
        <a:bodyPr/>
        <a:lstStyle/>
        <a:p>
          <a:endParaRPr lang="en-AU"/>
        </a:p>
      </dgm:t>
    </dgm:pt>
    <dgm:pt modelId="{DD93780D-0BE8-4A44-9069-E1523EC03E1C}" type="pres">
      <dgm:prSet presAssocID="{80906541-74BA-4A4C-A804-A20B9EF3609B}" presName="linearProcess" presStyleCnt="0"/>
      <dgm:spPr/>
    </dgm:pt>
    <dgm:pt modelId="{F2B107D0-6228-40D4-9E09-2BFB61997C0C}" type="pres">
      <dgm:prSet presAssocID="{80CD783E-0DEA-465C-8B59-354833512D1B}" presName="textNode" presStyleLbl="node1" presStyleIdx="0" presStyleCnt="3">
        <dgm:presLayoutVars>
          <dgm:bulletEnabled val="1"/>
        </dgm:presLayoutVars>
      </dgm:prSet>
      <dgm:spPr>
        <a:prstGeom prst="rect">
          <a:avLst/>
        </a:prstGeom>
      </dgm:spPr>
      <dgm:t>
        <a:bodyPr/>
        <a:lstStyle/>
        <a:p>
          <a:endParaRPr lang="en-AU"/>
        </a:p>
      </dgm:t>
    </dgm:pt>
    <dgm:pt modelId="{A16E9A25-1672-4611-BF7A-5E522F8AFF71}" type="pres">
      <dgm:prSet presAssocID="{E22976CB-2813-4CB4-B19D-DA6816995EE8}" presName="sibTrans" presStyleCnt="0"/>
      <dgm:spPr/>
    </dgm:pt>
    <dgm:pt modelId="{31FF4BC2-CA44-4516-908E-B0CF9755EE04}" type="pres">
      <dgm:prSet presAssocID="{C7A71A9D-F649-4192-9906-43C8514FB765}" presName="textNode" presStyleLbl="node1" presStyleIdx="1" presStyleCnt="3">
        <dgm:presLayoutVars>
          <dgm:bulletEnabled val="1"/>
        </dgm:presLayoutVars>
      </dgm:prSet>
      <dgm:spPr>
        <a:prstGeom prst="rect">
          <a:avLst/>
        </a:prstGeom>
      </dgm:spPr>
      <dgm:t>
        <a:bodyPr/>
        <a:lstStyle/>
        <a:p>
          <a:endParaRPr lang="en-AU"/>
        </a:p>
      </dgm:t>
    </dgm:pt>
    <dgm:pt modelId="{BFD47608-D39C-4235-817A-9A4E28E497BA}" type="pres">
      <dgm:prSet presAssocID="{74481B13-BCC3-468D-8B95-90DD0E751CE4}" presName="sibTrans" presStyleCnt="0"/>
      <dgm:spPr/>
    </dgm:pt>
    <dgm:pt modelId="{E398F85A-3D25-4164-91CF-C663F44F7AF7}" type="pres">
      <dgm:prSet presAssocID="{1DB547A1-B25F-4A14-AA65-BFFECC7B5C6A}" presName="textNode" presStyleLbl="node1" presStyleIdx="2" presStyleCnt="3">
        <dgm:presLayoutVars>
          <dgm:bulletEnabled val="1"/>
        </dgm:presLayoutVars>
      </dgm:prSet>
      <dgm:spPr>
        <a:prstGeom prst="rect">
          <a:avLst/>
        </a:prstGeom>
      </dgm:spPr>
      <dgm:t>
        <a:bodyPr/>
        <a:lstStyle/>
        <a:p>
          <a:endParaRPr lang="en-AU"/>
        </a:p>
      </dgm:t>
    </dgm:pt>
  </dgm:ptLst>
  <dgm:cxnLst>
    <dgm:cxn modelId="{DE624CFE-0514-4E5F-9583-74BE3DC90854}" type="presOf" srcId="{80906541-74BA-4A4C-A804-A20B9EF3609B}" destId="{5E63FF4C-8171-4C2E-B450-706D0D15BA2E}" srcOrd="0" destOrd="0" presId="urn:microsoft.com/office/officeart/2005/8/layout/hProcess9"/>
    <dgm:cxn modelId="{1DFD9658-F871-49F3-94E2-E4200F22C32F}" type="presOf" srcId="{80CD783E-0DEA-465C-8B59-354833512D1B}" destId="{F2B107D0-6228-40D4-9E09-2BFB61997C0C}" srcOrd="0" destOrd="0" presId="urn:microsoft.com/office/officeart/2005/8/layout/hProcess9"/>
    <dgm:cxn modelId="{60608836-DBA0-474C-8952-61A0F7A61730}" type="presOf" srcId="{1DB547A1-B25F-4A14-AA65-BFFECC7B5C6A}" destId="{E398F85A-3D25-4164-91CF-C663F44F7AF7}" srcOrd="0" destOrd="0" presId="urn:microsoft.com/office/officeart/2005/8/layout/hProcess9"/>
    <dgm:cxn modelId="{59B5A13C-E5ED-41CF-8B1E-00A00D004693}" type="presOf" srcId="{C7A71A9D-F649-4192-9906-43C8514FB765}" destId="{31FF4BC2-CA44-4516-908E-B0CF9755EE04}" srcOrd="0" destOrd="0" presId="urn:microsoft.com/office/officeart/2005/8/layout/hProcess9"/>
    <dgm:cxn modelId="{026412D3-E31E-45E4-AE99-4C4FDDD33D36}" srcId="{80906541-74BA-4A4C-A804-A20B9EF3609B}" destId="{C7A71A9D-F649-4192-9906-43C8514FB765}" srcOrd="1" destOrd="0" parTransId="{11287140-F449-473B-B7F2-F02B2920870A}" sibTransId="{74481B13-BCC3-468D-8B95-90DD0E751CE4}"/>
    <dgm:cxn modelId="{00CC3DD9-AEFC-4C42-9286-2041B8C0905A}" srcId="{80906541-74BA-4A4C-A804-A20B9EF3609B}" destId="{1DB547A1-B25F-4A14-AA65-BFFECC7B5C6A}" srcOrd="2" destOrd="0" parTransId="{C517D2D3-3A6C-4CE1-A3F9-E53B05074185}" sibTransId="{9519CDE5-0673-4378-9075-403812A9C460}"/>
    <dgm:cxn modelId="{77584A51-5337-4B7B-8A45-E1DC5EA0162E}" srcId="{80906541-74BA-4A4C-A804-A20B9EF3609B}" destId="{80CD783E-0DEA-465C-8B59-354833512D1B}" srcOrd="0" destOrd="0" parTransId="{613CE0D7-E891-4DF5-9014-7BB2FBFFB21B}" sibTransId="{E22976CB-2813-4CB4-B19D-DA6816995EE8}"/>
    <dgm:cxn modelId="{82653E0B-902C-49F3-8403-B497189EBF3B}" type="presParOf" srcId="{5E63FF4C-8171-4C2E-B450-706D0D15BA2E}" destId="{DCC2A29B-D21E-4D88-A4A7-8935D45855C6}" srcOrd="0" destOrd="0" presId="urn:microsoft.com/office/officeart/2005/8/layout/hProcess9"/>
    <dgm:cxn modelId="{B071E051-0ADA-4F8D-B576-52B951353BDB}" type="presParOf" srcId="{5E63FF4C-8171-4C2E-B450-706D0D15BA2E}" destId="{DD93780D-0BE8-4A44-9069-E1523EC03E1C}" srcOrd="1" destOrd="0" presId="urn:microsoft.com/office/officeart/2005/8/layout/hProcess9"/>
    <dgm:cxn modelId="{512C33A5-9DAA-4974-B722-778850B2DB33}" type="presParOf" srcId="{DD93780D-0BE8-4A44-9069-E1523EC03E1C}" destId="{F2B107D0-6228-40D4-9E09-2BFB61997C0C}" srcOrd="0" destOrd="0" presId="urn:microsoft.com/office/officeart/2005/8/layout/hProcess9"/>
    <dgm:cxn modelId="{33DC7BEA-570B-454D-AFE8-822BB05A3F6C}" type="presParOf" srcId="{DD93780D-0BE8-4A44-9069-E1523EC03E1C}" destId="{A16E9A25-1672-4611-BF7A-5E522F8AFF71}" srcOrd="1" destOrd="0" presId="urn:microsoft.com/office/officeart/2005/8/layout/hProcess9"/>
    <dgm:cxn modelId="{3D907E60-9A82-4B06-877E-0EB792DAB7DC}" type="presParOf" srcId="{DD93780D-0BE8-4A44-9069-E1523EC03E1C}" destId="{31FF4BC2-CA44-4516-908E-B0CF9755EE04}" srcOrd="2" destOrd="0" presId="urn:microsoft.com/office/officeart/2005/8/layout/hProcess9"/>
    <dgm:cxn modelId="{C569C401-6793-4C2C-B4CB-587EB4F9E233}" type="presParOf" srcId="{DD93780D-0BE8-4A44-9069-E1523EC03E1C}" destId="{BFD47608-D39C-4235-817A-9A4E28E497BA}" srcOrd="3" destOrd="0" presId="urn:microsoft.com/office/officeart/2005/8/layout/hProcess9"/>
    <dgm:cxn modelId="{7339F688-7427-48D6-811D-686AE29D6F62}" type="presParOf" srcId="{DD93780D-0BE8-4A44-9069-E1523EC03E1C}" destId="{E398F85A-3D25-4164-91CF-C663F44F7AF7}" srcOrd="4" destOrd="0" presId="urn:microsoft.com/office/officeart/2005/8/layout/hProcess9"/>
  </dgm:cxnLst>
  <dgm:bg>
    <a:noFill/>
  </dgm:bg>
  <dgm:whole>
    <a:ln>
      <a:noFill/>
    </a:ln>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C86B411-59F3-44C1-855F-35B02F86FDFB}" type="doc">
      <dgm:prSet loTypeId="urn:microsoft.com/office/officeart/2005/8/layout/hList2" loCatId="list" qsTypeId="urn:microsoft.com/office/officeart/2005/8/quickstyle/simple1" qsCatId="simple" csTypeId="urn:microsoft.com/office/officeart/2005/8/colors/accent1_2" csCatId="accent1" phldr="1"/>
      <dgm:spPr/>
    </dgm:pt>
    <dgm:pt modelId="{033C8DEF-4F91-4D3A-AF4C-D0361EA35A6A}">
      <dgm:prSet phldrT="[Text]" custT="1"/>
      <dgm:spPr>
        <a:xfrm>
          <a:off x="2559" y="1077197"/>
          <a:ext cx="2748260" cy="304321"/>
        </a:xfrm>
        <a:solidFill>
          <a:srgbClr val="E6E7F2"/>
        </a:solidFill>
        <a:ln w="12700" cap="flat" cmpd="sng" algn="ctr">
          <a:noFill/>
          <a:prstDash val="solid"/>
          <a:miter lim="800000"/>
        </a:ln>
        <a:effectLst/>
      </dgm:spPr>
      <dgm:t>
        <a:bodyPr/>
        <a:lstStyle/>
        <a:p>
          <a:pPr marL="180000" algn="just"/>
          <a:r>
            <a:rPr lang="en-AU" sz="1200" b="1">
              <a:solidFill>
                <a:srgbClr val="5A5098"/>
              </a:solidFill>
              <a:latin typeface="Calibri" panose="020F0502020204030204"/>
              <a:ea typeface="+mn-ea"/>
              <a:cs typeface="+mn-cs"/>
            </a:rPr>
            <a:t>NOTE</a:t>
          </a:r>
        </a:p>
      </dgm:t>
    </dgm:pt>
    <dgm:pt modelId="{194A4180-87CE-4A95-A01F-3436025539F4}" type="parTrans" cxnId="{35196EDA-E973-420A-8751-D4DF66F35ABC}">
      <dgm:prSet/>
      <dgm:spPr/>
      <dgm:t>
        <a:bodyPr/>
        <a:lstStyle/>
        <a:p>
          <a:pPr algn="just"/>
          <a:endParaRPr lang="en-AU"/>
        </a:p>
      </dgm:t>
    </dgm:pt>
    <dgm:pt modelId="{C31047D1-5A17-4F36-B0D6-FF6C743972C4}" type="sibTrans" cxnId="{35196EDA-E973-420A-8751-D4DF66F35ABC}">
      <dgm:prSet/>
      <dgm:spPr/>
      <dgm:t>
        <a:bodyPr/>
        <a:lstStyle/>
        <a:p>
          <a:pPr algn="just"/>
          <a:endParaRPr lang="en-AU"/>
        </a:p>
      </dgm:t>
    </dgm:pt>
    <dgm:pt modelId="{02B8A4C2-9F8F-44B4-8714-7A9190F5AF82}">
      <dgm:prSet phldrT="[Text]" custT="1"/>
      <dgm:spPr>
        <a:xfrm>
          <a:off x="4061" y="122220"/>
          <a:ext cx="2746758" cy="1142330"/>
        </a:xfrm>
        <a:noFill/>
        <a:ln w="12700" cap="flat" cmpd="sng" algn="ctr">
          <a:solidFill>
            <a:srgbClr val="E6E7F2"/>
          </a:solidFill>
          <a:prstDash val="solid"/>
          <a:miter lim="800000"/>
        </a:ln>
        <a:effectLst/>
      </dgm:spPr>
      <dgm:t>
        <a:bodyPr/>
        <a:lstStyle/>
        <a:p>
          <a:pPr marL="252000" indent="-252000" algn="just">
            <a:lnSpc>
              <a:spcPts val="1320"/>
            </a:lnSpc>
            <a:spcBef>
              <a:spcPts val="1200"/>
            </a:spcBef>
            <a:spcAft>
              <a:spcPts val="1200"/>
            </a:spcAft>
          </a:pPr>
          <a:r>
            <a:rPr lang="en-AU" sz="1100">
              <a:solidFill>
                <a:sysClr val="windowText" lastClr="000000">
                  <a:hueOff val="0"/>
                  <a:satOff val="0"/>
                  <a:lumOff val="0"/>
                  <a:alphaOff val="0"/>
                </a:sysClr>
              </a:solidFill>
              <a:latin typeface="Calibri Light" panose="020F0302020204030204"/>
              <a:ea typeface="+mn-ea"/>
              <a:cs typeface="+mn-cs"/>
            </a:rPr>
            <a:t>Depending on the issues/situation, you may not need to start from stage 1, and your analysis may not involve all stages. Also, some stages may take longer than others.</a:t>
          </a:r>
        </a:p>
      </dgm:t>
    </dgm:pt>
    <dgm:pt modelId="{BB767F34-A78D-4658-8C3E-414CFCD7C546}" type="parTrans" cxnId="{BDBAA5DE-180D-44DA-8AC9-C3798859483F}">
      <dgm:prSet/>
      <dgm:spPr/>
      <dgm:t>
        <a:bodyPr/>
        <a:lstStyle/>
        <a:p>
          <a:pPr algn="just"/>
          <a:endParaRPr lang="en-AU"/>
        </a:p>
      </dgm:t>
    </dgm:pt>
    <dgm:pt modelId="{6E483B9F-9ABB-4C63-94B2-98053D963A2E}" type="sibTrans" cxnId="{BDBAA5DE-180D-44DA-8AC9-C3798859483F}">
      <dgm:prSet/>
      <dgm:spPr/>
      <dgm:t>
        <a:bodyPr/>
        <a:lstStyle/>
        <a:p>
          <a:pPr algn="just"/>
          <a:endParaRPr lang="en-AU"/>
        </a:p>
      </dgm:t>
    </dgm:pt>
    <dgm:pt modelId="{72F4D9B4-CF2A-4B46-B7B4-3DD853C17FD2}" type="pres">
      <dgm:prSet presAssocID="{CC86B411-59F3-44C1-855F-35B02F86FDFB}" presName="linearFlow" presStyleCnt="0">
        <dgm:presLayoutVars>
          <dgm:dir/>
          <dgm:animLvl val="lvl"/>
          <dgm:resizeHandles/>
        </dgm:presLayoutVars>
      </dgm:prSet>
      <dgm:spPr/>
    </dgm:pt>
    <dgm:pt modelId="{3E7F33FC-E234-4F55-A1A6-389A15CE84B2}" type="pres">
      <dgm:prSet presAssocID="{033C8DEF-4F91-4D3A-AF4C-D0361EA35A6A}" presName="compositeNode" presStyleCnt="0">
        <dgm:presLayoutVars>
          <dgm:bulletEnabled val="1"/>
        </dgm:presLayoutVars>
      </dgm:prSet>
      <dgm:spPr/>
    </dgm:pt>
    <dgm:pt modelId="{F03E27BE-8E74-4068-9A88-37DD6347CD9B}" type="pres">
      <dgm:prSet presAssocID="{033C8DEF-4F91-4D3A-AF4C-D0361EA35A6A}" presName="image" presStyleLbl="fgImgPlace1" presStyleIdx="0" presStyleCnt="1" custAng="10800000"/>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4000" r="-4000"/>
          </a:stretch>
        </a:blipFill>
      </dgm:spPr>
      <dgm:t>
        <a:bodyPr/>
        <a:lstStyle/>
        <a:p>
          <a:endParaRPr lang="en-AU"/>
        </a:p>
      </dgm:t>
    </dgm:pt>
    <dgm:pt modelId="{CDDEB82E-905B-46A1-9603-EEB3029E28C7}" type="pres">
      <dgm:prSet presAssocID="{033C8DEF-4F91-4D3A-AF4C-D0361EA35A6A}" presName="childNode" presStyleLbl="node1" presStyleIdx="0" presStyleCnt="1" custScaleY="78556">
        <dgm:presLayoutVars>
          <dgm:bulletEnabled val="1"/>
        </dgm:presLayoutVars>
      </dgm:prSet>
      <dgm:spPr/>
      <dgm:t>
        <a:bodyPr/>
        <a:lstStyle/>
        <a:p>
          <a:endParaRPr lang="en-AU"/>
        </a:p>
      </dgm:t>
    </dgm:pt>
    <dgm:pt modelId="{829C1A7F-EA3B-4EB2-8551-B5182CD43274}" type="pres">
      <dgm:prSet presAssocID="{033C8DEF-4F91-4D3A-AF4C-D0361EA35A6A}" presName="parentNode" presStyleLbl="revTx" presStyleIdx="0" presStyleCnt="1" custAng="5400000" custScaleY="76786" custLinFactX="128227" custLinFactNeighborX="200000" custLinFactNeighborY="-59630">
        <dgm:presLayoutVars>
          <dgm:chMax val="0"/>
          <dgm:bulletEnabled val="1"/>
        </dgm:presLayoutVars>
      </dgm:prSet>
      <dgm:spPr/>
      <dgm:t>
        <a:bodyPr/>
        <a:lstStyle/>
        <a:p>
          <a:endParaRPr lang="en-AU"/>
        </a:p>
      </dgm:t>
    </dgm:pt>
  </dgm:ptLst>
  <dgm:cxnLst>
    <dgm:cxn modelId="{BDBAA5DE-180D-44DA-8AC9-C3798859483F}" srcId="{033C8DEF-4F91-4D3A-AF4C-D0361EA35A6A}" destId="{02B8A4C2-9F8F-44B4-8714-7A9190F5AF82}" srcOrd="0" destOrd="0" parTransId="{BB767F34-A78D-4658-8C3E-414CFCD7C546}" sibTransId="{6E483B9F-9ABB-4C63-94B2-98053D963A2E}"/>
    <dgm:cxn modelId="{E3EDC13D-5054-40B6-9184-E1CD897AF546}" type="presOf" srcId="{02B8A4C2-9F8F-44B4-8714-7A9190F5AF82}" destId="{CDDEB82E-905B-46A1-9603-EEB3029E28C7}" srcOrd="0" destOrd="0" presId="urn:microsoft.com/office/officeart/2005/8/layout/hList2"/>
    <dgm:cxn modelId="{E7FD8BE3-3DBF-4E51-BCBB-3E4F883FAC20}" type="presOf" srcId="{033C8DEF-4F91-4D3A-AF4C-D0361EA35A6A}" destId="{829C1A7F-EA3B-4EB2-8551-B5182CD43274}" srcOrd="0" destOrd="0" presId="urn:microsoft.com/office/officeart/2005/8/layout/hList2"/>
    <dgm:cxn modelId="{35196EDA-E973-420A-8751-D4DF66F35ABC}" srcId="{CC86B411-59F3-44C1-855F-35B02F86FDFB}" destId="{033C8DEF-4F91-4D3A-AF4C-D0361EA35A6A}" srcOrd="0" destOrd="0" parTransId="{194A4180-87CE-4A95-A01F-3436025539F4}" sibTransId="{C31047D1-5A17-4F36-B0D6-FF6C743972C4}"/>
    <dgm:cxn modelId="{EB1EAF90-EBB6-423A-9397-009FC4D36BB7}" type="presOf" srcId="{CC86B411-59F3-44C1-855F-35B02F86FDFB}" destId="{72F4D9B4-CF2A-4B46-B7B4-3DD853C17FD2}" srcOrd="0" destOrd="0" presId="urn:microsoft.com/office/officeart/2005/8/layout/hList2"/>
    <dgm:cxn modelId="{45FDA192-53CC-4BCD-AE18-259937C2687D}" type="presParOf" srcId="{72F4D9B4-CF2A-4B46-B7B4-3DD853C17FD2}" destId="{3E7F33FC-E234-4F55-A1A6-389A15CE84B2}" srcOrd="0" destOrd="0" presId="urn:microsoft.com/office/officeart/2005/8/layout/hList2"/>
    <dgm:cxn modelId="{EE3CD533-EFA3-410F-A08E-9B304C5194C4}" type="presParOf" srcId="{3E7F33FC-E234-4F55-A1A6-389A15CE84B2}" destId="{F03E27BE-8E74-4068-9A88-37DD6347CD9B}" srcOrd="0" destOrd="0" presId="urn:microsoft.com/office/officeart/2005/8/layout/hList2"/>
    <dgm:cxn modelId="{2002B98C-9018-4392-AFB3-58F415D34EE6}" type="presParOf" srcId="{3E7F33FC-E234-4F55-A1A6-389A15CE84B2}" destId="{CDDEB82E-905B-46A1-9603-EEB3029E28C7}" srcOrd="1" destOrd="0" presId="urn:microsoft.com/office/officeart/2005/8/layout/hList2"/>
    <dgm:cxn modelId="{C4421283-7993-4340-B70D-84BCDD9CADB2}" type="presParOf" srcId="{3E7F33FC-E234-4F55-A1A6-389A15CE84B2}" destId="{829C1A7F-EA3B-4EB2-8551-B5182CD43274}" srcOrd="2" destOrd="0" presId="urn:microsoft.com/office/officeart/2005/8/layout/hList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1F7DAE7-5BFA-4E17-A346-BAA8376A2E16}" type="doc">
      <dgm:prSet loTypeId="urn:microsoft.com/office/officeart/2005/8/layout/hProcess7" loCatId="process" qsTypeId="urn:microsoft.com/office/officeart/2005/8/quickstyle/simple1" qsCatId="simple" csTypeId="urn:microsoft.com/office/officeart/2005/8/colors/accent1_2" csCatId="accent1" phldr="1"/>
      <dgm:spPr/>
      <dgm:t>
        <a:bodyPr/>
        <a:lstStyle/>
        <a:p>
          <a:endParaRPr lang="en-AU"/>
        </a:p>
      </dgm:t>
    </dgm:pt>
    <dgm:pt modelId="{73B2AEAF-1C98-483C-8FE9-1EB760D23765}">
      <dgm:prSet phldrT="[Text]"/>
      <dgm:spPr>
        <a:xfrm>
          <a:off x="2258" y="0"/>
          <a:ext cx="2533538" cy="2472855"/>
        </a:xfrm>
        <a:noFill/>
        <a:ln w="12700" cap="flat" cmpd="sng" algn="ctr">
          <a:solidFill>
            <a:srgbClr val="E6E7F2"/>
          </a:solidFill>
          <a:prstDash val="solid"/>
          <a:miter lim="800000"/>
        </a:ln>
        <a:effectLst/>
      </dgm:spPr>
      <dgm:t>
        <a:bodyPr/>
        <a:lstStyle/>
        <a:p>
          <a:endParaRPr lang="en-AU">
            <a:solidFill>
              <a:sysClr val="window" lastClr="FFFFFF"/>
            </a:solidFill>
            <a:latin typeface="Calibri" panose="020F0502020204030204"/>
            <a:ea typeface="+mn-ea"/>
            <a:cs typeface="+mn-cs"/>
          </a:endParaRPr>
        </a:p>
      </dgm:t>
    </dgm:pt>
    <dgm:pt modelId="{7888CA8F-DCE1-4043-8615-24658B2E96D1}" type="parTrans" cxnId="{7176BAD1-C8AA-4731-A0B4-C55257E3EEAC}">
      <dgm:prSet/>
      <dgm:spPr/>
      <dgm:t>
        <a:bodyPr/>
        <a:lstStyle/>
        <a:p>
          <a:endParaRPr lang="en-AU"/>
        </a:p>
      </dgm:t>
    </dgm:pt>
    <dgm:pt modelId="{469EE93D-CCBB-4219-B205-F0135320E231}" type="sibTrans" cxnId="{7176BAD1-C8AA-4731-A0B4-C55257E3EEAC}">
      <dgm:prSet/>
      <dgm:spPr/>
      <dgm:t>
        <a:bodyPr/>
        <a:lstStyle/>
        <a:p>
          <a:endParaRPr lang="en-AU"/>
        </a:p>
      </dgm:t>
    </dgm:pt>
    <dgm:pt modelId="{60339268-E571-4D14-9011-05A0305D47A9}">
      <dgm:prSet phldrT="[Text]"/>
      <dgm:spPr>
        <a:xfrm>
          <a:off x="3141103" y="0"/>
          <a:ext cx="2533538" cy="2472855"/>
        </a:xfrm>
        <a:solidFill>
          <a:srgbClr val="E6E7F2"/>
        </a:solidFill>
        <a:ln w="12700" cap="flat" cmpd="sng" algn="ctr">
          <a:noFill/>
          <a:prstDash val="solid"/>
          <a:miter lim="800000"/>
        </a:ln>
        <a:effectLst/>
      </dgm:spPr>
      <dgm:t>
        <a:bodyPr/>
        <a:lstStyle/>
        <a:p>
          <a:endParaRPr lang="en-AU">
            <a:solidFill>
              <a:sysClr val="window" lastClr="FFFFFF"/>
            </a:solidFill>
            <a:latin typeface="Calibri" panose="020F0502020204030204"/>
            <a:ea typeface="+mn-ea"/>
            <a:cs typeface="+mn-cs"/>
          </a:endParaRPr>
        </a:p>
      </dgm:t>
    </dgm:pt>
    <dgm:pt modelId="{3F35929E-0D1A-49A6-B830-98BA70460034}" type="parTrans" cxnId="{1F9B48E3-8280-489F-B6FC-0E3243521985}">
      <dgm:prSet/>
      <dgm:spPr/>
      <dgm:t>
        <a:bodyPr/>
        <a:lstStyle/>
        <a:p>
          <a:endParaRPr lang="en-AU"/>
        </a:p>
      </dgm:t>
    </dgm:pt>
    <dgm:pt modelId="{8351FD1E-E9D3-463F-9EDF-F0828D6072D4}" type="sibTrans" cxnId="{1F9B48E3-8280-489F-B6FC-0E3243521985}">
      <dgm:prSet/>
      <dgm:spPr/>
      <dgm:t>
        <a:bodyPr/>
        <a:lstStyle/>
        <a:p>
          <a:endParaRPr lang="en-AU"/>
        </a:p>
      </dgm:t>
    </dgm:pt>
    <dgm:pt modelId="{1961C0D7-DFF6-44CD-8E79-D1F3440BA45E}">
      <dgm:prSet phldrT="[Text]" custT="1"/>
      <dgm:spPr>
        <a:xfrm>
          <a:off x="3647811" y="0"/>
          <a:ext cx="1887486" cy="2472855"/>
        </a:xfrm>
        <a:noFill/>
        <a:ln w="12700" cap="flat" cmpd="sng" algn="ctr">
          <a:noFill/>
          <a:prstDash val="solid"/>
          <a:miter lim="800000"/>
        </a:ln>
        <a:effectLst/>
        <a:sp3d/>
      </dgm:spPr>
      <dgm:t>
        <a:bodyPr/>
        <a:lstStyle/>
        <a:p>
          <a:pPr algn="l">
            <a:spcAft>
              <a:spcPct val="35000"/>
            </a:spcAft>
          </a:pPr>
          <a:endParaRPr lang="en-AU" sz="1100">
            <a:solidFill>
              <a:sysClr val="windowText" lastClr="000000"/>
            </a:solidFill>
            <a:latin typeface="Calibri" panose="020F0502020204030204"/>
            <a:ea typeface="+mn-ea"/>
            <a:cs typeface="+mn-cs"/>
          </a:endParaRPr>
        </a:p>
        <a:p>
          <a:pPr algn="l">
            <a:spcAft>
              <a:spcPts val="600"/>
            </a:spcAft>
          </a:pPr>
          <a:r>
            <a:rPr lang="en-AU" sz="1100">
              <a:solidFill>
                <a:sysClr val="windowText" lastClr="000000"/>
              </a:solidFill>
              <a:latin typeface="Calibri" panose="020F0502020204030204"/>
              <a:ea typeface="+mn-ea"/>
              <a:cs typeface="+mn-cs"/>
            </a:rPr>
            <a:t>Present undeniable statistical evidence (see the gender statistics in Section 3 of this Toolkit).</a:t>
          </a:r>
        </a:p>
        <a:p>
          <a:pPr algn="l">
            <a:spcAft>
              <a:spcPts val="600"/>
            </a:spcAft>
          </a:pPr>
          <a:r>
            <a:rPr lang="en-AU" sz="1100">
              <a:solidFill>
                <a:sysClr val="windowText" lastClr="000000"/>
              </a:solidFill>
              <a:latin typeface="Calibri" panose="020F0502020204030204"/>
              <a:ea typeface="+mn-ea"/>
              <a:cs typeface="+mn-cs"/>
            </a:rPr>
            <a:t>Present actual examples, including personal accounts of discrimination and the consequences.</a:t>
          </a:r>
        </a:p>
        <a:p>
          <a:pPr algn="l">
            <a:spcAft>
              <a:spcPct val="35000"/>
            </a:spcAft>
          </a:pPr>
          <a:endParaRPr lang="en-AU" sz="1100">
            <a:solidFill>
              <a:sysClr val="windowText" lastClr="000000"/>
            </a:solidFill>
            <a:latin typeface="Calibri" panose="020F0502020204030204"/>
            <a:ea typeface="+mn-ea"/>
            <a:cs typeface="+mn-cs"/>
          </a:endParaRPr>
        </a:p>
      </dgm:t>
    </dgm:pt>
    <dgm:pt modelId="{EC20F96D-E469-4C50-A48D-88F04D1D4A73}" type="parTrans" cxnId="{002BEF68-F311-4FF4-913B-55E51DFB612B}">
      <dgm:prSet/>
      <dgm:spPr/>
      <dgm:t>
        <a:bodyPr/>
        <a:lstStyle/>
        <a:p>
          <a:endParaRPr lang="en-AU"/>
        </a:p>
      </dgm:t>
    </dgm:pt>
    <dgm:pt modelId="{50C04975-8400-4FC2-9B9E-43F4659524C7}" type="sibTrans" cxnId="{002BEF68-F311-4FF4-913B-55E51DFB612B}">
      <dgm:prSet/>
      <dgm:spPr/>
      <dgm:t>
        <a:bodyPr/>
        <a:lstStyle/>
        <a:p>
          <a:endParaRPr lang="en-AU"/>
        </a:p>
      </dgm:t>
    </dgm:pt>
    <dgm:pt modelId="{B78C4C10-4C32-41F4-B571-5CC018614B52}">
      <dgm:prSet phldrT="[Text]" custT="1"/>
      <dgm:spPr>
        <a:xfrm>
          <a:off x="508965" y="0"/>
          <a:ext cx="1887486" cy="2472855"/>
        </a:xfrm>
        <a:noFill/>
        <a:ln w="12700" cap="flat" cmpd="sng" algn="ctr">
          <a:noFill/>
          <a:prstDash val="solid"/>
          <a:miter lim="800000"/>
        </a:ln>
        <a:effectLst/>
        <a:sp3d/>
      </dgm:spPr>
      <dgm:t>
        <a:bodyPr/>
        <a:lstStyle/>
        <a:p>
          <a:pPr algn="l">
            <a:spcAft>
              <a:spcPct val="35000"/>
            </a:spcAft>
          </a:pPr>
          <a:endParaRPr lang="en-AU" sz="1100" b="1">
            <a:solidFill>
              <a:sysClr val="windowText" lastClr="000000"/>
            </a:solidFill>
            <a:latin typeface="Calibri" panose="020F0502020204030204"/>
            <a:ea typeface="+mn-ea"/>
            <a:cs typeface="+mn-cs"/>
          </a:endParaRPr>
        </a:p>
        <a:p>
          <a:pPr algn="l">
            <a:spcAft>
              <a:spcPts val="600"/>
            </a:spcAft>
          </a:pPr>
          <a:r>
            <a:rPr lang="en-AU" sz="1100" b="1">
              <a:solidFill>
                <a:sysClr val="windowText" lastClr="000000"/>
              </a:solidFill>
              <a:latin typeface="Calibri" panose="020F0502020204030204"/>
              <a:ea typeface="+mn-ea"/>
              <a:cs typeface="+mn-cs"/>
            </a:rPr>
            <a:t>Denial and inversion</a:t>
          </a:r>
        </a:p>
      </dgm:t>
    </dgm:pt>
    <dgm:pt modelId="{110A0213-F899-4701-9210-D6CFF7DD2E45}" type="sibTrans" cxnId="{25FDB214-0CA9-423F-AC73-495EB21E799E}">
      <dgm:prSet/>
      <dgm:spPr/>
      <dgm:t>
        <a:bodyPr/>
        <a:lstStyle/>
        <a:p>
          <a:endParaRPr lang="en-AU"/>
        </a:p>
      </dgm:t>
    </dgm:pt>
    <dgm:pt modelId="{188FADF3-856C-4E96-92B7-7D67CD18BF7F}" type="parTrans" cxnId="{25FDB214-0CA9-423F-AC73-495EB21E799E}">
      <dgm:prSet/>
      <dgm:spPr/>
      <dgm:t>
        <a:bodyPr/>
        <a:lstStyle/>
        <a:p>
          <a:endParaRPr lang="en-AU"/>
        </a:p>
      </dgm:t>
    </dgm:pt>
    <dgm:pt modelId="{88D55513-7191-4A61-AA43-5DDF752E8056}">
      <dgm:prSet custT="1"/>
      <dgm:spPr>
        <a:xfrm>
          <a:off x="508965" y="0"/>
          <a:ext cx="1887486" cy="2472855"/>
        </a:xfrm>
        <a:noFill/>
        <a:ln w="12700" cap="flat" cmpd="sng" algn="ctr">
          <a:noFill/>
          <a:prstDash val="solid"/>
          <a:miter lim="800000"/>
        </a:ln>
        <a:effectLst/>
        <a:sp3d/>
      </dgm:spPr>
      <dgm:t>
        <a:bodyPr/>
        <a:lstStyle/>
        <a:p>
          <a:pPr algn="l">
            <a:spcAft>
              <a:spcPts val="600"/>
            </a:spcAft>
          </a:pPr>
          <a:r>
            <a:rPr lang="en-AU" sz="1100">
              <a:solidFill>
                <a:sysClr val="windowText" lastClr="000000"/>
              </a:solidFill>
              <a:latin typeface="Calibri" panose="020F0502020204030204"/>
              <a:ea typeface="+mn-ea"/>
              <a:cs typeface="+mn-cs"/>
            </a:rPr>
            <a:t>Individuals in power completely deny the existence of gender gaps or discrimination against women.</a:t>
          </a:r>
        </a:p>
        <a:p>
          <a:pPr algn="l">
            <a:spcAft>
              <a:spcPts val="600"/>
            </a:spcAft>
          </a:pPr>
          <a:r>
            <a:rPr lang="en-AU" sz="1100">
              <a:solidFill>
                <a:sysClr val="windowText" lastClr="000000"/>
              </a:solidFill>
              <a:latin typeface="Calibri" panose="020F0502020204030204"/>
              <a:ea typeface="+mn-ea"/>
              <a:cs typeface="+mn-cs"/>
            </a:rPr>
            <a:t>'Women already have equality', 'it is their own fault if they don’t take advantage of these opportunities’ and 'gender analysis is not relevant to this topic/issue/program' are common arguments.	 </a:t>
          </a:r>
        </a:p>
        <a:p>
          <a:pPr algn="ctr">
            <a:spcAft>
              <a:spcPct val="35000"/>
            </a:spcAft>
          </a:pPr>
          <a:endParaRPr lang="en-AU" sz="1100">
            <a:solidFill>
              <a:sysClr val="windowText" lastClr="000000"/>
            </a:solidFill>
            <a:latin typeface="Calibri" panose="020F0502020204030204"/>
            <a:ea typeface="+mn-ea"/>
            <a:cs typeface="+mn-cs"/>
          </a:endParaRPr>
        </a:p>
      </dgm:t>
    </dgm:pt>
    <dgm:pt modelId="{0F25075B-3885-42AA-8BC5-0FD6735A9D52}" type="parTrans" cxnId="{78076A18-9294-40EC-BFEA-11B60AF024BD}">
      <dgm:prSet/>
      <dgm:spPr/>
      <dgm:t>
        <a:bodyPr/>
        <a:lstStyle/>
        <a:p>
          <a:endParaRPr lang="en-AU"/>
        </a:p>
      </dgm:t>
    </dgm:pt>
    <dgm:pt modelId="{2773C684-BE59-4E42-B516-ED8D9E77CAEA}" type="sibTrans" cxnId="{78076A18-9294-40EC-BFEA-11B60AF024BD}">
      <dgm:prSet/>
      <dgm:spPr/>
      <dgm:t>
        <a:bodyPr/>
        <a:lstStyle/>
        <a:p>
          <a:endParaRPr lang="en-AU"/>
        </a:p>
      </dgm:t>
    </dgm:pt>
    <dgm:pt modelId="{B9E1F392-EFDD-43B2-8A54-6361C8208DFC}" type="pres">
      <dgm:prSet presAssocID="{11F7DAE7-5BFA-4E17-A346-BAA8376A2E16}" presName="Name0" presStyleCnt="0">
        <dgm:presLayoutVars>
          <dgm:dir/>
          <dgm:animLvl val="lvl"/>
          <dgm:resizeHandles val="exact"/>
        </dgm:presLayoutVars>
      </dgm:prSet>
      <dgm:spPr/>
      <dgm:t>
        <a:bodyPr/>
        <a:lstStyle/>
        <a:p>
          <a:endParaRPr lang="en-AU"/>
        </a:p>
      </dgm:t>
    </dgm:pt>
    <dgm:pt modelId="{BEB6B4CE-B25E-44EF-93C5-A64633034108}" type="pres">
      <dgm:prSet presAssocID="{73B2AEAF-1C98-483C-8FE9-1EB760D23765}" presName="compositeNode" presStyleCnt="0">
        <dgm:presLayoutVars>
          <dgm:bulletEnabled val="1"/>
        </dgm:presLayoutVars>
      </dgm:prSet>
      <dgm:spPr/>
    </dgm:pt>
    <dgm:pt modelId="{60DAE95B-9499-4A56-A9EF-EA99B454DBB5}" type="pres">
      <dgm:prSet presAssocID="{73B2AEAF-1C98-483C-8FE9-1EB760D23765}" presName="bgRect" presStyleLbl="node1" presStyleIdx="0" presStyleCnt="2"/>
      <dgm:spPr>
        <a:prstGeom prst="roundRect">
          <a:avLst>
            <a:gd name="adj" fmla="val 5000"/>
          </a:avLst>
        </a:prstGeom>
      </dgm:spPr>
      <dgm:t>
        <a:bodyPr/>
        <a:lstStyle/>
        <a:p>
          <a:endParaRPr lang="en-AU"/>
        </a:p>
      </dgm:t>
    </dgm:pt>
    <dgm:pt modelId="{910D0492-DC0D-44AD-8A86-D3910D698604}" type="pres">
      <dgm:prSet presAssocID="{73B2AEAF-1C98-483C-8FE9-1EB760D23765}" presName="parentNode" presStyleLbl="node1" presStyleIdx="0" presStyleCnt="2">
        <dgm:presLayoutVars>
          <dgm:chMax val="0"/>
          <dgm:bulletEnabled val="1"/>
        </dgm:presLayoutVars>
      </dgm:prSet>
      <dgm:spPr/>
      <dgm:t>
        <a:bodyPr/>
        <a:lstStyle/>
        <a:p>
          <a:endParaRPr lang="en-AU"/>
        </a:p>
      </dgm:t>
    </dgm:pt>
    <dgm:pt modelId="{5BA70862-8CD4-4754-8340-F1AA6F2B6D33}" type="pres">
      <dgm:prSet presAssocID="{73B2AEAF-1C98-483C-8FE9-1EB760D23765}" presName="childNode" presStyleLbl="node1" presStyleIdx="0" presStyleCnt="2">
        <dgm:presLayoutVars>
          <dgm:bulletEnabled val="1"/>
        </dgm:presLayoutVars>
      </dgm:prSet>
      <dgm:spPr>
        <a:prstGeom prst="rect">
          <a:avLst/>
        </a:prstGeom>
      </dgm:spPr>
      <dgm:t>
        <a:bodyPr/>
        <a:lstStyle/>
        <a:p>
          <a:endParaRPr lang="en-AU"/>
        </a:p>
      </dgm:t>
    </dgm:pt>
    <dgm:pt modelId="{C41541EA-4FA4-4AFB-8632-79E7EDBECF3F}" type="pres">
      <dgm:prSet presAssocID="{469EE93D-CCBB-4219-B205-F0135320E231}" presName="hSp" presStyleCnt="0"/>
      <dgm:spPr/>
    </dgm:pt>
    <dgm:pt modelId="{82D18F60-6258-43F9-80AA-C3A6B460CACF}" type="pres">
      <dgm:prSet presAssocID="{469EE93D-CCBB-4219-B205-F0135320E231}" presName="vProcSp" presStyleCnt="0"/>
      <dgm:spPr/>
    </dgm:pt>
    <dgm:pt modelId="{7BBFB510-0ED1-4AF1-8ABF-3E55CC3378B9}" type="pres">
      <dgm:prSet presAssocID="{469EE93D-CCBB-4219-B205-F0135320E231}" presName="vSp1" presStyleCnt="0"/>
      <dgm:spPr/>
    </dgm:pt>
    <dgm:pt modelId="{B69A4D15-46DA-4831-A682-3B9C690822D2}" type="pres">
      <dgm:prSet presAssocID="{469EE93D-CCBB-4219-B205-F0135320E231}" presName="simulatedConn" presStyleLbl="solidFgAcc1" presStyleIdx="0" presStyleCnt="1" custScaleX="235945" custScaleY="155163"/>
      <dgm:spPr>
        <a:xfrm rot="5400000">
          <a:off x="2634814" y="1604080"/>
          <a:ext cx="521281" cy="896663"/>
        </a:xfrm>
        <a:prstGeom prst="flowChartExtract">
          <a:avLst/>
        </a:prstGeom>
        <a:solidFill>
          <a:srgbClr val="5A5098"/>
        </a:solidFill>
        <a:ln w="12700" cap="flat" cmpd="sng" algn="ctr">
          <a:noFill/>
          <a:prstDash val="solid"/>
          <a:miter lim="800000"/>
        </a:ln>
        <a:effectLst>
          <a:outerShdw blurRad="50800" dist="38100" dir="2700000" algn="tl" rotWithShape="0">
            <a:prstClr val="black">
              <a:alpha val="40000"/>
            </a:prstClr>
          </a:outerShdw>
        </a:effectLst>
      </dgm:spPr>
      <dgm:t>
        <a:bodyPr/>
        <a:lstStyle/>
        <a:p>
          <a:endParaRPr lang="en-AU"/>
        </a:p>
      </dgm:t>
    </dgm:pt>
    <dgm:pt modelId="{D6E86BB3-BD8D-46EE-AAB0-35D29DC239CD}" type="pres">
      <dgm:prSet presAssocID="{469EE93D-CCBB-4219-B205-F0135320E231}" presName="vSp2" presStyleCnt="0"/>
      <dgm:spPr/>
    </dgm:pt>
    <dgm:pt modelId="{BF049829-0F2A-4F39-89CE-A36CA62B70DC}" type="pres">
      <dgm:prSet presAssocID="{469EE93D-CCBB-4219-B205-F0135320E231}" presName="sibTrans" presStyleCnt="0"/>
      <dgm:spPr/>
    </dgm:pt>
    <dgm:pt modelId="{9787F337-6D00-4495-AAC4-50F671DE0368}" type="pres">
      <dgm:prSet presAssocID="{60339268-E571-4D14-9011-05A0305D47A9}" presName="compositeNode" presStyleCnt="0">
        <dgm:presLayoutVars>
          <dgm:bulletEnabled val="1"/>
        </dgm:presLayoutVars>
      </dgm:prSet>
      <dgm:spPr/>
    </dgm:pt>
    <dgm:pt modelId="{7DE8C76F-2853-4609-A8E6-63E37988E462}" type="pres">
      <dgm:prSet presAssocID="{60339268-E571-4D14-9011-05A0305D47A9}" presName="bgRect" presStyleLbl="node1" presStyleIdx="1" presStyleCnt="2"/>
      <dgm:spPr>
        <a:prstGeom prst="roundRect">
          <a:avLst>
            <a:gd name="adj" fmla="val 5000"/>
          </a:avLst>
        </a:prstGeom>
      </dgm:spPr>
      <dgm:t>
        <a:bodyPr/>
        <a:lstStyle/>
        <a:p>
          <a:endParaRPr lang="en-AU"/>
        </a:p>
      </dgm:t>
    </dgm:pt>
    <dgm:pt modelId="{553FDD65-06AB-47F2-9C73-71C426335076}" type="pres">
      <dgm:prSet presAssocID="{60339268-E571-4D14-9011-05A0305D47A9}" presName="parentNode" presStyleLbl="node1" presStyleIdx="1" presStyleCnt="2">
        <dgm:presLayoutVars>
          <dgm:chMax val="0"/>
          <dgm:bulletEnabled val="1"/>
        </dgm:presLayoutVars>
      </dgm:prSet>
      <dgm:spPr/>
      <dgm:t>
        <a:bodyPr/>
        <a:lstStyle/>
        <a:p>
          <a:endParaRPr lang="en-AU"/>
        </a:p>
      </dgm:t>
    </dgm:pt>
    <dgm:pt modelId="{56FFBF0D-2F11-4D8D-B89B-2B527555263D}" type="pres">
      <dgm:prSet presAssocID="{60339268-E571-4D14-9011-05A0305D47A9}" presName="childNode" presStyleLbl="node1" presStyleIdx="1" presStyleCnt="2">
        <dgm:presLayoutVars>
          <dgm:bulletEnabled val="1"/>
        </dgm:presLayoutVars>
      </dgm:prSet>
      <dgm:spPr>
        <a:prstGeom prst="rect">
          <a:avLst/>
        </a:prstGeom>
      </dgm:spPr>
      <dgm:t>
        <a:bodyPr/>
        <a:lstStyle/>
        <a:p>
          <a:endParaRPr lang="en-AU"/>
        </a:p>
      </dgm:t>
    </dgm:pt>
  </dgm:ptLst>
  <dgm:cxnLst>
    <dgm:cxn modelId="{7176BAD1-C8AA-4731-A0B4-C55257E3EEAC}" srcId="{11F7DAE7-5BFA-4E17-A346-BAA8376A2E16}" destId="{73B2AEAF-1C98-483C-8FE9-1EB760D23765}" srcOrd="0" destOrd="0" parTransId="{7888CA8F-DCE1-4043-8615-24658B2E96D1}" sibTransId="{469EE93D-CCBB-4219-B205-F0135320E231}"/>
    <dgm:cxn modelId="{9E79FA2A-05F7-40DF-9EFF-2B52D5D7368C}" type="presOf" srcId="{73B2AEAF-1C98-483C-8FE9-1EB760D23765}" destId="{60DAE95B-9499-4A56-A9EF-EA99B454DBB5}" srcOrd="0" destOrd="0" presId="urn:microsoft.com/office/officeart/2005/8/layout/hProcess7"/>
    <dgm:cxn modelId="{002BEF68-F311-4FF4-913B-55E51DFB612B}" srcId="{60339268-E571-4D14-9011-05A0305D47A9}" destId="{1961C0D7-DFF6-44CD-8E79-D1F3440BA45E}" srcOrd="0" destOrd="0" parTransId="{EC20F96D-E469-4C50-A48D-88F04D1D4A73}" sibTransId="{50C04975-8400-4FC2-9B9E-43F4659524C7}"/>
    <dgm:cxn modelId="{E0323070-6620-452D-9255-BC3D57522303}" type="presOf" srcId="{60339268-E571-4D14-9011-05A0305D47A9}" destId="{7DE8C76F-2853-4609-A8E6-63E37988E462}" srcOrd="0" destOrd="0" presId="urn:microsoft.com/office/officeart/2005/8/layout/hProcess7"/>
    <dgm:cxn modelId="{3206DDE9-8BF3-43EA-8696-BCAA4CB0553A}" type="presOf" srcId="{11F7DAE7-5BFA-4E17-A346-BAA8376A2E16}" destId="{B9E1F392-EFDD-43B2-8A54-6361C8208DFC}" srcOrd="0" destOrd="0" presId="urn:microsoft.com/office/officeart/2005/8/layout/hProcess7"/>
    <dgm:cxn modelId="{430D7689-22E7-471F-8556-26D3CB8851A4}" type="presOf" srcId="{73B2AEAF-1C98-483C-8FE9-1EB760D23765}" destId="{910D0492-DC0D-44AD-8A86-D3910D698604}" srcOrd="1" destOrd="0" presId="urn:microsoft.com/office/officeart/2005/8/layout/hProcess7"/>
    <dgm:cxn modelId="{C7C51838-7859-4232-8B76-E5EF25678E15}" type="presOf" srcId="{1961C0D7-DFF6-44CD-8E79-D1F3440BA45E}" destId="{56FFBF0D-2F11-4D8D-B89B-2B527555263D}" srcOrd="0" destOrd="0" presId="urn:microsoft.com/office/officeart/2005/8/layout/hProcess7"/>
    <dgm:cxn modelId="{1F9B48E3-8280-489F-B6FC-0E3243521985}" srcId="{11F7DAE7-5BFA-4E17-A346-BAA8376A2E16}" destId="{60339268-E571-4D14-9011-05A0305D47A9}" srcOrd="1" destOrd="0" parTransId="{3F35929E-0D1A-49A6-B830-98BA70460034}" sibTransId="{8351FD1E-E9D3-463F-9EDF-F0828D6072D4}"/>
    <dgm:cxn modelId="{EF8BB772-2FA7-4C98-BDE6-F5CDB3428810}" type="presOf" srcId="{60339268-E571-4D14-9011-05A0305D47A9}" destId="{553FDD65-06AB-47F2-9C73-71C426335076}" srcOrd="1" destOrd="0" presId="urn:microsoft.com/office/officeart/2005/8/layout/hProcess7"/>
    <dgm:cxn modelId="{BEBCA2AE-77F2-4840-B380-FFA654A19561}" type="presOf" srcId="{88D55513-7191-4A61-AA43-5DDF752E8056}" destId="{5BA70862-8CD4-4754-8340-F1AA6F2B6D33}" srcOrd="0" destOrd="1" presId="urn:microsoft.com/office/officeart/2005/8/layout/hProcess7"/>
    <dgm:cxn modelId="{93E38E46-C334-47B1-A765-CE097476A280}" type="presOf" srcId="{B78C4C10-4C32-41F4-B571-5CC018614B52}" destId="{5BA70862-8CD4-4754-8340-F1AA6F2B6D33}" srcOrd="0" destOrd="0" presId="urn:microsoft.com/office/officeart/2005/8/layout/hProcess7"/>
    <dgm:cxn modelId="{25FDB214-0CA9-423F-AC73-495EB21E799E}" srcId="{73B2AEAF-1C98-483C-8FE9-1EB760D23765}" destId="{B78C4C10-4C32-41F4-B571-5CC018614B52}" srcOrd="0" destOrd="0" parTransId="{188FADF3-856C-4E96-92B7-7D67CD18BF7F}" sibTransId="{110A0213-F899-4701-9210-D6CFF7DD2E45}"/>
    <dgm:cxn modelId="{78076A18-9294-40EC-BFEA-11B60AF024BD}" srcId="{73B2AEAF-1C98-483C-8FE9-1EB760D23765}" destId="{88D55513-7191-4A61-AA43-5DDF752E8056}" srcOrd="1" destOrd="0" parTransId="{0F25075B-3885-42AA-8BC5-0FD6735A9D52}" sibTransId="{2773C684-BE59-4E42-B516-ED8D9E77CAEA}"/>
    <dgm:cxn modelId="{FDF9CCF5-FC59-4A42-B3BD-2A3E37CF8C2E}" type="presParOf" srcId="{B9E1F392-EFDD-43B2-8A54-6361C8208DFC}" destId="{BEB6B4CE-B25E-44EF-93C5-A64633034108}" srcOrd="0" destOrd="0" presId="urn:microsoft.com/office/officeart/2005/8/layout/hProcess7"/>
    <dgm:cxn modelId="{14FA9691-2829-4AD0-B850-C96B4B4841BE}" type="presParOf" srcId="{BEB6B4CE-B25E-44EF-93C5-A64633034108}" destId="{60DAE95B-9499-4A56-A9EF-EA99B454DBB5}" srcOrd="0" destOrd="0" presId="urn:microsoft.com/office/officeart/2005/8/layout/hProcess7"/>
    <dgm:cxn modelId="{EA704EC0-531C-4DFF-8CD8-D52B4C489E83}" type="presParOf" srcId="{BEB6B4CE-B25E-44EF-93C5-A64633034108}" destId="{910D0492-DC0D-44AD-8A86-D3910D698604}" srcOrd="1" destOrd="0" presId="urn:microsoft.com/office/officeart/2005/8/layout/hProcess7"/>
    <dgm:cxn modelId="{5ECFAAE7-6453-470E-84E6-8542AC4B30F5}" type="presParOf" srcId="{BEB6B4CE-B25E-44EF-93C5-A64633034108}" destId="{5BA70862-8CD4-4754-8340-F1AA6F2B6D33}" srcOrd="2" destOrd="0" presId="urn:microsoft.com/office/officeart/2005/8/layout/hProcess7"/>
    <dgm:cxn modelId="{5750EA2E-7151-42BC-B8E8-841FAC1DCFF8}" type="presParOf" srcId="{B9E1F392-EFDD-43B2-8A54-6361C8208DFC}" destId="{C41541EA-4FA4-4AFB-8632-79E7EDBECF3F}" srcOrd="1" destOrd="0" presId="urn:microsoft.com/office/officeart/2005/8/layout/hProcess7"/>
    <dgm:cxn modelId="{013BF00C-3ECE-4607-9055-85237EC3CA5C}" type="presParOf" srcId="{B9E1F392-EFDD-43B2-8A54-6361C8208DFC}" destId="{82D18F60-6258-43F9-80AA-C3A6B460CACF}" srcOrd="2" destOrd="0" presId="urn:microsoft.com/office/officeart/2005/8/layout/hProcess7"/>
    <dgm:cxn modelId="{CED6CBCB-738B-4AF3-8160-88FD2190AA6B}" type="presParOf" srcId="{82D18F60-6258-43F9-80AA-C3A6B460CACF}" destId="{7BBFB510-0ED1-4AF1-8ABF-3E55CC3378B9}" srcOrd="0" destOrd="0" presId="urn:microsoft.com/office/officeart/2005/8/layout/hProcess7"/>
    <dgm:cxn modelId="{F8736BBD-0915-4CA3-A7A9-6B6AC927F7C4}" type="presParOf" srcId="{82D18F60-6258-43F9-80AA-C3A6B460CACF}" destId="{B69A4D15-46DA-4831-A682-3B9C690822D2}" srcOrd="1" destOrd="0" presId="urn:microsoft.com/office/officeart/2005/8/layout/hProcess7"/>
    <dgm:cxn modelId="{5FA6840B-EEF0-4DBF-A753-65EF512FA9F5}" type="presParOf" srcId="{82D18F60-6258-43F9-80AA-C3A6B460CACF}" destId="{D6E86BB3-BD8D-46EE-AAB0-35D29DC239CD}" srcOrd="2" destOrd="0" presId="urn:microsoft.com/office/officeart/2005/8/layout/hProcess7"/>
    <dgm:cxn modelId="{50BCF468-4EE8-4A36-84F8-3DE096C43DFA}" type="presParOf" srcId="{B9E1F392-EFDD-43B2-8A54-6361C8208DFC}" destId="{BF049829-0F2A-4F39-89CE-A36CA62B70DC}" srcOrd="3" destOrd="0" presId="urn:microsoft.com/office/officeart/2005/8/layout/hProcess7"/>
    <dgm:cxn modelId="{015E2935-F2CC-49C3-A327-036917C1E09F}" type="presParOf" srcId="{B9E1F392-EFDD-43B2-8A54-6361C8208DFC}" destId="{9787F337-6D00-4495-AAC4-50F671DE0368}" srcOrd="4" destOrd="0" presId="urn:microsoft.com/office/officeart/2005/8/layout/hProcess7"/>
    <dgm:cxn modelId="{D0C4FB46-2585-4800-AF7B-F8798D9D757F}" type="presParOf" srcId="{9787F337-6D00-4495-AAC4-50F671DE0368}" destId="{7DE8C76F-2853-4609-A8E6-63E37988E462}" srcOrd="0" destOrd="0" presId="urn:microsoft.com/office/officeart/2005/8/layout/hProcess7"/>
    <dgm:cxn modelId="{3BE26F61-77A6-4556-BCCD-BE1EF85F3D1C}" type="presParOf" srcId="{9787F337-6D00-4495-AAC4-50F671DE0368}" destId="{553FDD65-06AB-47F2-9C73-71C426335076}" srcOrd="1" destOrd="0" presId="urn:microsoft.com/office/officeart/2005/8/layout/hProcess7"/>
    <dgm:cxn modelId="{3CDD50E1-7D66-46AE-9DA1-AC131BDC8E80}" type="presParOf" srcId="{9787F337-6D00-4495-AAC4-50F671DE0368}" destId="{56FFBF0D-2F11-4D8D-B89B-2B527555263D}" srcOrd="2" destOrd="0" presId="urn:microsoft.com/office/officeart/2005/8/layout/hProcess7"/>
  </dgm:cxnLst>
  <dgm:bg>
    <a:effectLst>
      <a:softEdge rad="12700"/>
    </a:effectLst>
  </dgm:bg>
  <dgm:whole>
    <a:ln>
      <a:noFill/>
    </a:ln>
  </dgm:whole>
  <dgm:extLst>
    <a:ext uri="http://schemas.microsoft.com/office/drawing/2008/diagram">
      <dsp:dataModelExt xmlns:dsp="http://schemas.microsoft.com/office/drawing/2008/diagram" relId="rId6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1F7DAE7-5BFA-4E17-A346-BAA8376A2E16}" type="doc">
      <dgm:prSet loTypeId="urn:microsoft.com/office/officeart/2005/8/layout/hProcess7" loCatId="process" qsTypeId="urn:microsoft.com/office/officeart/2005/8/quickstyle/simple1" qsCatId="simple" csTypeId="urn:microsoft.com/office/officeart/2005/8/colors/accent1_2" csCatId="accent1" phldr="1"/>
      <dgm:spPr/>
      <dgm:t>
        <a:bodyPr/>
        <a:lstStyle/>
        <a:p>
          <a:endParaRPr lang="en-AU"/>
        </a:p>
      </dgm:t>
    </dgm:pt>
    <dgm:pt modelId="{73B2AEAF-1C98-483C-8FE9-1EB760D23765}">
      <dgm:prSet phldrT="[Text]"/>
      <dgm:spPr>
        <a:xfrm>
          <a:off x="2258" y="0"/>
          <a:ext cx="2533538" cy="2671639"/>
        </a:xfrm>
        <a:noFill/>
        <a:ln w="12700" cap="flat" cmpd="sng" algn="ctr">
          <a:solidFill>
            <a:srgbClr val="70AD47">
              <a:lumMod val="20000"/>
              <a:lumOff val="80000"/>
            </a:srgbClr>
          </a:solidFill>
          <a:prstDash val="solid"/>
          <a:miter lim="800000"/>
        </a:ln>
        <a:effectLst/>
      </dgm:spPr>
      <dgm:t>
        <a:bodyPr/>
        <a:lstStyle/>
        <a:p>
          <a:endParaRPr lang="en-AU">
            <a:solidFill>
              <a:sysClr val="window" lastClr="FFFFFF"/>
            </a:solidFill>
            <a:latin typeface="Calibri" panose="020F0502020204030204"/>
            <a:ea typeface="+mn-ea"/>
            <a:cs typeface="+mn-cs"/>
          </a:endParaRPr>
        </a:p>
      </dgm:t>
    </dgm:pt>
    <dgm:pt modelId="{7888CA8F-DCE1-4043-8615-24658B2E96D1}" type="parTrans" cxnId="{7176BAD1-C8AA-4731-A0B4-C55257E3EEAC}">
      <dgm:prSet/>
      <dgm:spPr/>
      <dgm:t>
        <a:bodyPr/>
        <a:lstStyle/>
        <a:p>
          <a:endParaRPr lang="en-AU"/>
        </a:p>
      </dgm:t>
    </dgm:pt>
    <dgm:pt modelId="{469EE93D-CCBB-4219-B205-F0135320E231}" type="sibTrans" cxnId="{7176BAD1-C8AA-4731-A0B4-C55257E3EEAC}">
      <dgm:prSet/>
      <dgm:spPr/>
      <dgm:t>
        <a:bodyPr/>
        <a:lstStyle/>
        <a:p>
          <a:endParaRPr lang="en-AU"/>
        </a:p>
      </dgm:t>
    </dgm:pt>
    <dgm:pt modelId="{60339268-E571-4D14-9011-05A0305D47A9}">
      <dgm:prSet phldrT="[Text]"/>
      <dgm:spPr>
        <a:xfrm>
          <a:off x="3141103" y="0"/>
          <a:ext cx="2533538" cy="2671639"/>
        </a:xfrm>
        <a:solidFill>
          <a:srgbClr val="EEF7E9"/>
        </a:solidFill>
        <a:ln w="12700" cap="flat" cmpd="sng" algn="ctr">
          <a:noFill/>
          <a:prstDash val="solid"/>
          <a:miter lim="800000"/>
        </a:ln>
        <a:effectLst/>
      </dgm:spPr>
      <dgm:t>
        <a:bodyPr/>
        <a:lstStyle/>
        <a:p>
          <a:endParaRPr lang="en-AU">
            <a:solidFill>
              <a:sysClr val="window" lastClr="FFFFFF"/>
            </a:solidFill>
            <a:latin typeface="Calibri" panose="020F0502020204030204"/>
            <a:ea typeface="+mn-ea"/>
            <a:cs typeface="+mn-cs"/>
          </a:endParaRPr>
        </a:p>
      </dgm:t>
    </dgm:pt>
    <dgm:pt modelId="{3F35929E-0D1A-49A6-B830-98BA70460034}" type="parTrans" cxnId="{1F9B48E3-8280-489F-B6FC-0E3243521985}">
      <dgm:prSet/>
      <dgm:spPr/>
      <dgm:t>
        <a:bodyPr/>
        <a:lstStyle/>
        <a:p>
          <a:endParaRPr lang="en-AU"/>
        </a:p>
      </dgm:t>
    </dgm:pt>
    <dgm:pt modelId="{8351FD1E-E9D3-463F-9EDF-F0828D6072D4}" type="sibTrans" cxnId="{1F9B48E3-8280-489F-B6FC-0E3243521985}">
      <dgm:prSet/>
      <dgm:spPr/>
      <dgm:t>
        <a:bodyPr/>
        <a:lstStyle/>
        <a:p>
          <a:endParaRPr lang="en-AU"/>
        </a:p>
      </dgm:t>
    </dgm:pt>
    <dgm:pt modelId="{1961C0D7-DFF6-44CD-8E79-D1F3440BA45E}">
      <dgm:prSet phldrT="[Text]" custT="1"/>
      <dgm:spPr>
        <a:xfrm>
          <a:off x="3647811" y="0"/>
          <a:ext cx="1887486" cy="2671639"/>
        </a:xfrm>
        <a:noFill/>
        <a:ln w="12700" cap="flat" cmpd="sng" algn="ctr">
          <a:noFill/>
          <a:prstDash val="solid"/>
          <a:miter lim="800000"/>
        </a:ln>
        <a:effectLst/>
        <a:sp3d/>
      </dgm:spPr>
      <dgm:t>
        <a:bodyPr/>
        <a:lstStyle/>
        <a:p>
          <a:pPr algn="l">
            <a:spcAft>
              <a:spcPct val="35000"/>
            </a:spcAft>
          </a:pPr>
          <a:endParaRPr lang="en-AU" sz="1100">
            <a:solidFill>
              <a:sysClr val="windowText" lastClr="000000"/>
            </a:solidFill>
            <a:latin typeface="Calibri" panose="020F0502020204030204"/>
            <a:ea typeface="+mn-ea"/>
            <a:cs typeface="+mn-cs"/>
          </a:endParaRPr>
        </a:p>
        <a:p>
          <a:pPr algn="l">
            <a:spcAft>
              <a:spcPts val="600"/>
            </a:spcAft>
          </a:pPr>
          <a:r>
            <a:rPr lang="en-AU" sz="1100">
              <a:solidFill>
                <a:sysClr val="windowText" lastClr="000000"/>
              </a:solidFill>
              <a:latin typeface="Calibri" panose="020F0502020204030204"/>
              <a:ea typeface="+mn-ea"/>
              <a:cs typeface="+mn-cs"/>
            </a:rPr>
            <a:t>Do not be content with the identification of women's issues at the level of defining the problem.</a:t>
          </a:r>
        </a:p>
        <a:p>
          <a:pPr algn="l">
            <a:spcAft>
              <a:spcPts val="600"/>
            </a:spcAft>
          </a:pPr>
          <a:r>
            <a:rPr lang="en-AU" sz="1100">
              <a:solidFill>
                <a:sysClr val="windowText" lastClr="000000"/>
              </a:solidFill>
              <a:latin typeface="Calibri" panose="020F0502020204030204"/>
              <a:ea typeface="+mn-ea"/>
              <a:cs typeface="+mn-cs"/>
            </a:rPr>
            <a:t>Insist that the program or project's design must feature women’s participation throughout. Also insist on objectives that promote social and economic engagement by women.</a:t>
          </a:r>
        </a:p>
      </dgm:t>
    </dgm:pt>
    <dgm:pt modelId="{EC20F96D-E469-4C50-A48D-88F04D1D4A73}" type="parTrans" cxnId="{002BEF68-F311-4FF4-913B-55E51DFB612B}">
      <dgm:prSet/>
      <dgm:spPr/>
      <dgm:t>
        <a:bodyPr/>
        <a:lstStyle/>
        <a:p>
          <a:endParaRPr lang="en-AU"/>
        </a:p>
      </dgm:t>
    </dgm:pt>
    <dgm:pt modelId="{50C04975-8400-4FC2-9B9E-43F4659524C7}" type="sibTrans" cxnId="{002BEF68-F311-4FF4-913B-55E51DFB612B}">
      <dgm:prSet/>
      <dgm:spPr/>
      <dgm:t>
        <a:bodyPr/>
        <a:lstStyle/>
        <a:p>
          <a:endParaRPr lang="en-AU"/>
        </a:p>
      </dgm:t>
    </dgm:pt>
    <dgm:pt modelId="{B78C4C10-4C32-41F4-B571-5CC018614B52}">
      <dgm:prSet phldrT="[Text]" custT="1"/>
      <dgm:spPr>
        <a:xfrm>
          <a:off x="508965" y="0"/>
          <a:ext cx="1887486" cy="2671639"/>
        </a:xfrm>
        <a:noFill/>
        <a:ln w="12700" cap="flat" cmpd="sng" algn="ctr">
          <a:noFill/>
          <a:prstDash val="solid"/>
          <a:miter lim="800000"/>
        </a:ln>
        <a:effectLst/>
        <a:sp3d/>
      </dgm:spPr>
      <dgm:t>
        <a:bodyPr/>
        <a:lstStyle/>
        <a:p>
          <a:pPr algn="l">
            <a:spcAft>
              <a:spcPct val="35000"/>
            </a:spcAft>
          </a:pPr>
          <a:endParaRPr lang="en-AU" sz="1100" b="1">
            <a:solidFill>
              <a:sysClr val="windowText" lastClr="000000"/>
            </a:solidFill>
            <a:latin typeface="Calibri" panose="020F0502020204030204"/>
            <a:ea typeface="+mn-ea"/>
            <a:cs typeface="+mn-cs"/>
          </a:endParaRPr>
        </a:p>
        <a:p>
          <a:pPr algn="l">
            <a:spcAft>
              <a:spcPts val="600"/>
            </a:spcAft>
          </a:pPr>
          <a:r>
            <a:rPr lang="en-AU" sz="1100" b="1">
              <a:solidFill>
                <a:sysClr val="windowText" lastClr="000000"/>
              </a:solidFill>
              <a:latin typeface="Calibri" panose="020F0502020204030204"/>
              <a:ea typeface="+mn-ea"/>
              <a:cs typeface="+mn-cs"/>
            </a:rPr>
            <a:t>Dilution and selection</a:t>
          </a:r>
        </a:p>
      </dgm:t>
    </dgm:pt>
    <dgm:pt modelId="{110A0213-F899-4701-9210-D6CFF7DD2E45}" type="sibTrans" cxnId="{25FDB214-0CA9-423F-AC73-495EB21E799E}">
      <dgm:prSet/>
      <dgm:spPr/>
      <dgm:t>
        <a:bodyPr/>
        <a:lstStyle/>
        <a:p>
          <a:endParaRPr lang="en-AU"/>
        </a:p>
      </dgm:t>
    </dgm:pt>
    <dgm:pt modelId="{188FADF3-856C-4E96-92B7-7D67CD18BF7F}" type="parTrans" cxnId="{25FDB214-0CA9-423F-AC73-495EB21E799E}">
      <dgm:prSet/>
      <dgm:spPr/>
      <dgm:t>
        <a:bodyPr/>
        <a:lstStyle/>
        <a:p>
          <a:endParaRPr lang="en-AU"/>
        </a:p>
      </dgm:t>
    </dgm:pt>
    <dgm:pt modelId="{F77AA57C-D339-47B9-ABA4-68955E95689F}">
      <dgm:prSet custT="1"/>
      <dgm:spPr>
        <a:xfrm>
          <a:off x="508965" y="0"/>
          <a:ext cx="1887486" cy="2671639"/>
        </a:xfrm>
        <a:noFill/>
        <a:ln w="12700" cap="flat" cmpd="sng" algn="ctr">
          <a:noFill/>
          <a:prstDash val="solid"/>
          <a:miter lim="800000"/>
        </a:ln>
        <a:effectLst/>
        <a:sp3d/>
      </dgm:spPr>
      <dgm:t>
        <a:bodyPr/>
        <a:lstStyle/>
        <a:p>
          <a:pPr algn="l">
            <a:spcAft>
              <a:spcPts val="600"/>
            </a:spcAft>
          </a:pPr>
          <a:r>
            <a:rPr lang="en-AU" sz="1100">
              <a:solidFill>
                <a:sysClr val="windowText" lastClr="000000"/>
              </a:solidFill>
              <a:latin typeface="Calibri" panose="020F0502020204030204"/>
              <a:ea typeface="+mn-ea"/>
              <a:cs typeface="+mn-cs"/>
            </a:rPr>
            <a:t>Power structures and individuals acknowledge women’s issues but only in ways that will not threaten the control of resources or engagement.</a:t>
          </a:r>
        </a:p>
        <a:p>
          <a:pPr algn="l">
            <a:spcAft>
              <a:spcPts val="600"/>
            </a:spcAft>
          </a:pPr>
          <a:r>
            <a:rPr lang="en-AU" sz="1100">
              <a:solidFill>
                <a:sysClr val="windowText" lastClr="000000"/>
              </a:solidFill>
              <a:latin typeface="Calibri" panose="020F0502020204030204"/>
              <a:ea typeface="+mn-ea"/>
              <a:cs typeface="+mn-cs"/>
            </a:rPr>
            <a:t>For example, they may acknowledge gender gaps but deny discrimination against women or any structural problem caused by resources and decision-making processes being controlled by men.</a:t>
          </a:r>
        </a:p>
      </dgm:t>
    </dgm:pt>
    <dgm:pt modelId="{123CFE74-F735-4D85-8D4F-DC80B8B72B3D}" type="parTrans" cxnId="{E2D44851-7306-413A-845C-F54A69B246BC}">
      <dgm:prSet/>
      <dgm:spPr/>
      <dgm:t>
        <a:bodyPr/>
        <a:lstStyle/>
        <a:p>
          <a:endParaRPr lang="en-AU"/>
        </a:p>
      </dgm:t>
    </dgm:pt>
    <dgm:pt modelId="{B06F7AAE-8BB5-477E-A155-CFF1E8D6ABA7}" type="sibTrans" cxnId="{E2D44851-7306-413A-845C-F54A69B246BC}">
      <dgm:prSet/>
      <dgm:spPr/>
      <dgm:t>
        <a:bodyPr/>
        <a:lstStyle/>
        <a:p>
          <a:endParaRPr lang="en-AU"/>
        </a:p>
      </dgm:t>
    </dgm:pt>
    <dgm:pt modelId="{B9E1F392-EFDD-43B2-8A54-6361C8208DFC}" type="pres">
      <dgm:prSet presAssocID="{11F7DAE7-5BFA-4E17-A346-BAA8376A2E16}" presName="Name0" presStyleCnt="0">
        <dgm:presLayoutVars>
          <dgm:dir/>
          <dgm:animLvl val="lvl"/>
          <dgm:resizeHandles val="exact"/>
        </dgm:presLayoutVars>
      </dgm:prSet>
      <dgm:spPr/>
      <dgm:t>
        <a:bodyPr/>
        <a:lstStyle/>
        <a:p>
          <a:endParaRPr lang="en-AU"/>
        </a:p>
      </dgm:t>
    </dgm:pt>
    <dgm:pt modelId="{BEB6B4CE-B25E-44EF-93C5-A64633034108}" type="pres">
      <dgm:prSet presAssocID="{73B2AEAF-1C98-483C-8FE9-1EB760D23765}" presName="compositeNode" presStyleCnt="0">
        <dgm:presLayoutVars>
          <dgm:bulletEnabled val="1"/>
        </dgm:presLayoutVars>
      </dgm:prSet>
      <dgm:spPr/>
    </dgm:pt>
    <dgm:pt modelId="{60DAE95B-9499-4A56-A9EF-EA99B454DBB5}" type="pres">
      <dgm:prSet presAssocID="{73B2AEAF-1C98-483C-8FE9-1EB760D23765}" presName="bgRect" presStyleLbl="node1" presStyleIdx="0" presStyleCnt="2"/>
      <dgm:spPr>
        <a:prstGeom prst="roundRect">
          <a:avLst>
            <a:gd name="adj" fmla="val 5000"/>
          </a:avLst>
        </a:prstGeom>
      </dgm:spPr>
      <dgm:t>
        <a:bodyPr/>
        <a:lstStyle/>
        <a:p>
          <a:endParaRPr lang="en-AU"/>
        </a:p>
      </dgm:t>
    </dgm:pt>
    <dgm:pt modelId="{910D0492-DC0D-44AD-8A86-D3910D698604}" type="pres">
      <dgm:prSet presAssocID="{73B2AEAF-1C98-483C-8FE9-1EB760D23765}" presName="parentNode" presStyleLbl="node1" presStyleIdx="0" presStyleCnt="2">
        <dgm:presLayoutVars>
          <dgm:chMax val="0"/>
          <dgm:bulletEnabled val="1"/>
        </dgm:presLayoutVars>
      </dgm:prSet>
      <dgm:spPr/>
      <dgm:t>
        <a:bodyPr/>
        <a:lstStyle/>
        <a:p>
          <a:endParaRPr lang="en-AU"/>
        </a:p>
      </dgm:t>
    </dgm:pt>
    <dgm:pt modelId="{5BA70862-8CD4-4754-8340-F1AA6F2B6D33}" type="pres">
      <dgm:prSet presAssocID="{73B2AEAF-1C98-483C-8FE9-1EB760D23765}" presName="childNode" presStyleLbl="node1" presStyleIdx="0" presStyleCnt="2">
        <dgm:presLayoutVars>
          <dgm:bulletEnabled val="1"/>
        </dgm:presLayoutVars>
      </dgm:prSet>
      <dgm:spPr>
        <a:prstGeom prst="rect">
          <a:avLst/>
        </a:prstGeom>
      </dgm:spPr>
      <dgm:t>
        <a:bodyPr/>
        <a:lstStyle/>
        <a:p>
          <a:endParaRPr lang="en-AU"/>
        </a:p>
      </dgm:t>
    </dgm:pt>
    <dgm:pt modelId="{C41541EA-4FA4-4AFB-8632-79E7EDBECF3F}" type="pres">
      <dgm:prSet presAssocID="{469EE93D-CCBB-4219-B205-F0135320E231}" presName="hSp" presStyleCnt="0"/>
      <dgm:spPr/>
    </dgm:pt>
    <dgm:pt modelId="{82D18F60-6258-43F9-80AA-C3A6B460CACF}" type="pres">
      <dgm:prSet presAssocID="{469EE93D-CCBB-4219-B205-F0135320E231}" presName="vProcSp" presStyleCnt="0"/>
      <dgm:spPr/>
    </dgm:pt>
    <dgm:pt modelId="{7BBFB510-0ED1-4AF1-8ABF-3E55CC3378B9}" type="pres">
      <dgm:prSet presAssocID="{469EE93D-CCBB-4219-B205-F0135320E231}" presName="vSp1" presStyleCnt="0"/>
      <dgm:spPr/>
    </dgm:pt>
    <dgm:pt modelId="{B69A4D15-46DA-4831-A682-3B9C690822D2}" type="pres">
      <dgm:prSet presAssocID="{469EE93D-CCBB-4219-B205-F0135320E231}" presName="simulatedConn" presStyleLbl="solidFgAcc1" presStyleIdx="0" presStyleCnt="1" custScaleX="235945" custScaleY="145450"/>
      <dgm:spPr>
        <a:xfrm rot="5400000">
          <a:off x="2627846" y="1781798"/>
          <a:ext cx="535216" cy="896663"/>
        </a:xfrm>
        <a:prstGeom prst="flowChartExtract">
          <a:avLst/>
        </a:prstGeom>
        <a:solidFill>
          <a:srgbClr val="70AD47">
            <a:lumMod val="50000"/>
          </a:srgbClr>
        </a:solidFill>
        <a:ln w="12700" cap="flat" cmpd="sng" algn="ctr">
          <a:noFill/>
          <a:prstDash val="solid"/>
          <a:miter lim="800000"/>
        </a:ln>
        <a:effectLst>
          <a:outerShdw blurRad="50800" dist="38100" dir="2700000" algn="tl" rotWithShape="0">
            <a:prstClr val="black">
              <a:alpha val="40000"/>
            </a:prstClr>
          </a:outerShdw>
        </a:effectLst>
      </dgm:spPr>
      <dgm:t>
        <a:bodyPr/>
        <a:lstStyle/>
        <a:p>
          <a:endParaRPr lang="en-AU"/>
        </a:p>
      </dgm:t>
    </dgm:pt>
    <dgm:pt modelId="{D6E86BB3-BD8D-46EE-AAB0-35D29DC239CD}" type="pres">
      <dgm:prSet presAssocID="{469EE93D-CCBB-4219-B205-F0135320E231}" presName="vSp2" presStyleCnt="0"/>
      <dgm:spPr/>
    </dgm:pt>
    <dgm:pt modelId="{BF049829-0F2A-4F39-89CE-A36CA62B70DC}" type="pres">
      <dgm:prSet presAssocID="{469EE93D-CCBB-4219-B205-F0135320E231}" presName="sibTrans" presStyleCnt="0"/>
      <dgm:spPr/>
    </dgm:pt>
    <dgm:pt modelId="{9787F337-6D00-4495-AAC4-50F671DE0368}" type="pres">
      <dgm:prSet presAssocID="{60339268-E571-4D14-9011-05A0305D47A9}" presName="compositeNode" presStyleCnt="0">
        <dgm:presLayoutVars>
          <dgm:bulletEnabled val="1"/>
        </dgm:presLayoutVars>
      </dgm:prSet>
      <dgm:spPr/>
    </dgm:pt>
    <dgm:pt modelId="{7DE8C76F-2853-4609-A8E6-63E37988E462}" type="pres">
      <dgm:prSet presAssocID="{60339268-E571-4D14-9011-05A0305D47A9}" presName="bgRect" presStyleLbl="node1" presStyleIdx="1" presStyleCnt="2"/>
      <dgm:spPr>
        <a:prstGeom prst="roundRect">
          <a:avLst>
            <a:gd name="adj" fmla="val 5000"/>
          </a:avLst>
        </a:prstGeom>
      </dgm:spPr>
      <dgm:t>
        <a:bodyPr/>
        <a:lstStyle/>
        <a:p>
          <a:endParaRPr lang="en-AU"/>
        </a:p>
      </dgm:t>
    </dgm:pt>
    <dgm:pt modelId="{553FDD65-06AB-47F2-9C73-71C426335076}" type="pres">
      <dgm:prSet presAssocID="{60339268-E571-4D14-9011-05A0305D47A9}" presName="parentNode" presStyleLbl="node1" presStyleIdx="1" presStyleCnt="2">
        <dgm:presLayoutVars>
          <dgm:chMax val="0"/>
          <dgm:bulletEnabled val="1"/>
        </dgm:presLayoutVars>
      </dgm:prSet>
      <dgm:spPr/>
      <dgm:t>
        <a:bodyPr/>
        <a:lstStyle/>
        <a:p>
          <a:endParaRPr lang="en-AU"/>
        </a:p>
      </dgm:t>
    </dgm:pt>
    <dgm:pt modelId="{56FFBF0D-2F11-4D8D-B89B-2B527555263D}" type="pres">
      <dgm:prSet presAssocID="{60339268-E571-4D14-9011-05A0305D47A9}" presName="childNode" presStyleLbl="node1" presStyleIdx="1" presStyleCnt="2">
        <dgm:presLayoutVars>
          <dgm:bulletEnabled val="1"/>
        </dgm:presLayoutVars>
      </dgm:prSet>
      <dgm:spPr>
        <a:prstGeom prst="rect">
          <a:avLst/>
        </a:prstGeom>
      </dgm:spPr>
      <dgm:t>
        <a:bodyPr/>
        <a:lstStyle/>
        <a:p>
          <a:endParaRPr lang="en-AU"/>
        </a:p>
      </dgm:t>
    </dgm:pt>
  </dgm:ptLst>
  <dgm:cxnLst>
    <dgm:cxn modelId="{002BEF68-F311-4FF4-913B-55E51DFB612B}" srcId="{60339268-E571-4D14-9011-05A0305D47A9}" destId="{1961C0D7-DFF6-44CD-8E79-D1F3440BA45E}" srcOrd="0" destOrd="0" parTransId="{EC20F96D-E469-4C50-A48D-88F04D1D4A73}" sibTransId="{50C04975-8400-4FC2-9B9E-43F4659524C7}"/>
    <dgm:cxn modelId="{64F71734-2CCB-492F-9CF3-E93F43E7913E}" type="presOf" srcId="{73B2AEAF-1C98-483C-8FE9-1EB760D23765}" destId="{910D0492-DC0D-44AD-8A86-D3910D698604}" srcOrd="1" destOrd="0" presId="urn:microsoft.com/office/officeart/2005/8/layout/hProcess7"/>
    <dgm:cxn modelId="{BB45AC6A-7522-4EEA-87A4-5947BFA6CC34}" type="presOf" srcId="{11F7DAE7-5BFA-4E17-A346-BAA8376A2E16}" destId="{B9E1F392-EFDD-43B2-8A54-6361C8208DFC}" srcOrd="0" destOrd="0" presId="urn:microsoft.com/office/officeart/2005/8/layout/hProcess7"/>
    <dgm:cxn modelId="{401E7AEA-B8B1-451E-8D60-0F3C27AE917C}" type="presOf" srcId="{F77AA57C-D339-47B9-ABA4-68955E95689F}" destId="{5BA70862-8CD4-4754-8340-F1AA6F2B6D33}" srcOrd="0" destOrd="1" presId="urn:microsoft.com/office/officeart/2005/8/layout/hProcess7"/>
    <dgm:cxn modelId="{16CCFBF9-2678-404B-ADE5-208BC3DD22C1}" type="presOf" srcId="{B78C4C10-4C32-41F4-B571-5CC018614B52}" destId="{5BA70862-8CD4-4754-8340-F1AA6F2B6D33}" srcOrd="0" destOrd="0" presId="urn:microsoft.com/office/officeart/2005/8/layout/hProcess7"/>
    <dgm:cxn modelId="{998753F7-0EFD-4A53-9662-7948BA6A0E92}" type="presOf" srcId="{73B2AEAF-1C98-483C-8FE9-1EB760D23765}" destId="{60DAE95B-9499-4A56-A9EF-EA99B454DBB5}" srcOrd="0" destOrd="0" presId="urn:microsoft.com/office/officeart/2005/8/layout/hProcess7"/>
    <dgm:cxn modelId="{7176BAD1-C8AA-4731-A0B4-C55257E3EEAC}" srcId="{11F7DAE7-5BFA-4E17-A346-BAA8376A2E16}" destId="{73B2AEAF-1C98-483C-8FE9-1EB760D23765}" srcOrd="0" destOrd="0" parTransId="{7888CA8F-DCE1-4043-8615-24658B2E96D1}" sibTransId="{469EE93D-CCBB-4219-B205-F0135320E231}"/>
    <dgm:cxn modelId="{373EBCA4-E54C-4F60-A085-3AE57B50EEAE}" type="presOf" srcId="{60339268-E571-4D14-9011-05A0305D47A9}" destId="{7DE8C76F-2853-4609-A8E6-63E37988E462}" srcOrd="0" destOrd="0" presId="urn:microsoft.com/office/officeart/2005/8/layout/hProcess7"/>
    <dgm:cxn modelId="{1F9B48E3-8280-489F-B6FC-0E3243521985}" srcId="{11F7DAE7-5BFA-4E17-A346-BAA8376A2E16}" destId="{60339268-E571-4D14-9011-05A0305D47A9}" srcOrd="1" destOrd="0" parTransId="{3F35929E-0D1A-49A6-B830-98BA70460034}" sibTransId="{8351FD1E-E9D3-463F-9EDF-F0828D6072D4}"/>
    <dgm:cxn modelId="{E2D44851-7306-413A-845C-F54A69B246BC}" srcId="{73B2AEAF-1C98-483C-8FE9-1EB760D23765}" destId="{F77AA57C-D339-47B9-ABA4-68955E95689F}" srcOrd="1" destOrd="0" parTransId="{123CFE74-F735-4D85-8D4F-DC80B8B72B3D}" sibTransId="{B06F7AAE-8BB5-477E-A155-CFF1E8D6ABA7}"/>
    <dgm:cxn modelId="{07D8D258-954F-4F74-9203-3D6AA66F6519}" type="presOf" srcId="{60339268-E571-4D14-9011-05A0305D47A9}" destId="{553FDD65-06AB-47F2-9C73-71C426335076}" srcOrd="1" destOrd="0" presId="urn:microsoft.com/office/officeart/2005/8/layout/hProcess7"/>
    <dgm:cxn modelId="{25FDB214-0CA9-423F-AC73-495EB21E799E}" srcId="{73B2AEAF-1C98-483C-8FE9-1EB760D23765}" destId="{B78C4C10-4C32-41F4-B571-5CC018614B52}" srcOrd="0" destOrd="0" parTransId="{188FADF3-856C-4E96-92B7-7D67CD18BF7F}" sibTransId="{110A0213-F899-4701-9210-D6CFF7DD2E45}"/>
    <dgm:cxn modelId="{8E0FD9D5-AE92-44B5-9F9F-D673D50CC3AE}" type="presOf" srcId="{1961C0D7-DFF6-44CD-8E79-D1F3440BA45E}" destId="{56FFBF0D-2F11-4D8D-B89B-2B527555263D}" srcOrd="0" destOrd="0" presId="urn:microsoft.com/office/officeart/2005/8/layout/hProcess7"/>
    <dgm:cxn modelId="{3553C5B8-F76E-46B2-951F-BE2C83EB1020}" type="presParOf" srcId="{B9E1F392-EFDD-43B2-8A54-6361C8208DFC}" destId="{BEB6B4CE-B25E-44EF-93C5-A64633034108}" srcOrd="0" destOrd="0" presId="urn:microsoft.com/office/officeart/2005/8/layout/hProcess7"/>
    <dgm:cxn modelId="{8CF8ED8F-35B6-4423-A127-56D55FAA4172}" type="presParOf" srcId="{BEB6B4CE-B25E-44EF-93C5-A64633034108}" destId="{60DAE95B-9499-4A56-A9EF-EA99B454DBB5}" srcOrd="0" destOrd="0" presId="urn:microsoft.com/office/officeart/2005/8/layout/hProcess7"/>
    <dgm:cxn modelId="{42B4948B-0208-41CA-B5FE-C694831CE725}" type="presParOf" srcId="{BEB6B4CE-B25E-44EF-93C5-A64633034108}" destId="{910D0492-DC0D-44AD-8A86-D3910D698604}" srcOrd="1" destOrd="0" presId="urn:microsoft.com/office/officeart/2005/8/layout/hProcess7"/>
    <dgm:cxn modelId="{0A5E96D2-0BF9-41EA-B78E-34797B96BDF0}" type="presParOf" srcId="{BEB6B4CE-B25E-44EF-93C5-A64633034108}" destId="{5BA70862-8CD4-4754-8340-F1AA6F2B6D33}" srcOrd="2" destOrd="0" presId="urn:microsoft.com/office/officeart/2005/8/layout/hProcess7"/>
    <dgm:cxn modelId="{85A701DF-86CE-4789-9FF7-1BDC7A9884FA}" type="presParOf" srcId="{B9E1F392-EFDD-43B2-8A54-6361C8208DFC}" destId="{C41541EA-4FA4-4AFB-8632-79E7EDBECF3F}" srcOrd="1" destOrd="0" presId="urn:microsoft.com/office/officeart/2005/8/layout/hProcess7"/>
    <dgm:cxn modelId="{39351D43-6898-434F-B49A-25BFF072462F}" type="presParOf" srcId="{B9E1F392-EFDD-43B2-8A54-6361C8208DFC}" destId="{82D18F60-6258-43F9-80AA-C3A6B460CACF}" srcOrd="2" destOrd="0" presId="urn:microsoft.com/office/officeart/2005/8/layout/hProcess7"/>
    <dgm:cxn modelId="{6452BD3C-FD7B-403D-8CA8-FAA70D9621D9}" type="presParOf" srcId="{82D18F60-6258-43F9-80AA-C3A6B460CACF}" destId="{7BBFB510-0ED1-4AF1-8ABF-3E55CC3378B9}" srcOrd="0" destOrd="0" presId="urn:microsoft.com/office/officeart/2005/8/layout/hProcess7"/>
    <dgm:cxn modelId="{238DCDE4-0A39-43E9-AF26-0895D68F3F47}" type="presParOf" srcId="{82D18F60-6258-43F9-80AA-C3A6B460CACF}" destId="{B69A4D15-46DA-4831-A682-3B9C690822D2}" srcOrd="1" destOrd="0" presId="urn:microsoft.com/office/officeart/2005/8/layout/hProcess7"/>
    <dgm:cxn modelId="{FB43C366-C49D-461F-841C-9DFF71BE295A}" type="presParOf" srcId="{82D18F60-6258-43F9-80AA-C3A6B460CACF}" destId="{D6E86BB3-BD8D-46EE-AAB0-35D29DC239CD}" srcOrd="2" destOrd="0" presId="urn:microsoft.com/office/officeart/2005/8/layout/hProcess7"/>
    <dgm:cxn modelId="{652768ED-5B4B-4D53-81EA-70EF06F2F3E0}" type="presParOf" srcId="{B9E1F392-EFDD-43B2-8A54-6361C8208DFC}" destId="{BF049829-0F2A-4F39-89CE-A36CA62B70DC}" srcOrd="3" destOrd="0" presId="urn:microsoft.com/office/officeart/2005/8/layout/hProcess7"/>
    <dgm:cxn modelId="{2BD5575C-4DE4-44F2-9A6E-9711E1E064D8}" type="presParOf" srcId="{B9E1F392-EFDD-43B2-8A54-6361C8208DFC}" destId="{9787F337-6D00-4495-AAC4-50F671DE0368}" srcOrd="4" destOrd="0" presId="urn:microsoft.com/office/officeart/2005/8/layout/hProcess7"/>
    <dgm:cxn modelId="{79D41802-19D8-4E59-A423-52F232B8289F}" type="presParOf" srcId="{9787F337-6D00-4495-AAC4-50F671DE0368}" destId="{7DE8C76F-2853-4609-A8E6-63E37988E462}" srcOrd="0" destOrd="0" presId="urn:microsoft.com/office/officeart/2005/8/layout/hProcess7"/>
    <dgm:cxn modelId="{AEE9A528-74B7-4933-B900-CE2320759C2C}" type="presParOf" srcId="{9787F337-6D00-4495-AAC4-50F671DE0368}" destId="{553FDD65-06AB-47F2-9C73-71C426335076}" srcOrd="1" destOrd="0" presId="urn:microsoft.com/office/officeart/2005/8/layout/hProcess7"/>
    <dgm:cxn modelId="{0BDBC9B4-970A-43DD-BFD4-66A219FA40D8}" type="presParOf" srcId="{9787F337-6D00-4495-AAC4-50F671DE0368}" destId="{56FFBF0D-2F11-4D8D-B89B-2B527555263D}" srcOrd="2" destOrd="0" presId="urn:microsoft.com/office/officeart/2005/8/layout/hProcess7"/>
  </dgm:cxnLst>
  <dgm:bg/>
  <dgm:whole>
    <a:ln>
      <a:noFill/>
    </a:ln>
  </dgm:whole>
  <dgm:extLst>
    <a:ext uri="http://schemas.microsoft.com/office/drawing/2008/diagram">
      <dsp:dataModelExt xmlns:dsp="http://schemas.microsoft.com/office/drawing/2008/diagram" relId="rId6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1F7DAE7-5BFA-4E17-A346-BAA8376A2E16}" type="doc">
      <dgm:prSet loTypeId="urn:microsoft.com/office/officeart/2005/8/layout/hProcess7" loCatId="process" qsTypeId="urn:microsoft.com/office/officeart/2005/8/quickstyle/simple1" qsCatId="simple" csTypeId="urn:microsoft.com/office/officeart/2005/8/colors/accent1_2" csCatId="accent1" phldr="1"/>
      <dgm:spPr/>
      <dgm:t>
        <a:bodyPr/>
        <a:lstStyle/>
        <a:p>
          <a:endParaRPr lang="en-AU"/>
        </a:p>
      </dgm:t>
    </dgm:pt>
    <dgm:pt modelId="{73B2AEAF-1C98-483C-8FE9-1EB760D23765}">
      <dgm:prSet phldrT="[Text]"/>
      <dgm:spPr>
        <a:xfrm>
          <a:off x="2258" y="0"/>
          <a:ext cx="2533538" cy="2001328"/>
        </a:xfrm>
        <a:noFill/>
        <a:ln w="12700" cap="flat" cmpd="sng" algn="ctr">
          <a:solidFill>
            <a:srgbClr val="E6E7F2"/>
          </a:solidFill>
          <a:prstDash val="solid"/>
          <a:miter lim="800000"/>
        </a:ln>
        <a:effectLst/>
      </dgm:spPr>
      <dgm:t>
        <a:bodyPr/>
        <a:lstStyle/>
        <a:p>
          <a:endParaRPr lang="en-AU">
            <a:solidFill>
              <a:sysClr val="window" lastClr="FFFFFF"/>
            </a:solidFill>
            <a:latin typeface="Calibri" panose="020F0502020204030204"/>
            <a:ea typeface="+mn-ea"/>
            <a:cs typeface="+mn-cs"/>
          </a:endParaRPr>
        </a:p>
      </dgm:t>
    </dgm:pt>
    <dgm:pt modelId="{7888CA8F-DCE1-4043-8615-24658B2E96D1}" type="parTrans" cxnId="{7176BAD1-C8AA-4731-A0B4-C55257E3EEAC}">
      <dgm:prSet/>
      <dgm:spPr/>
      <dgm:t>
        <a:bodyPr/>
        <a:lstStyle/>
        <a:p>
          <a:endParaRPr lang="en-AU"/>
        </a:p>
      </dgm:t>
    </dgm:pt>
    <dgm:pt modelId="{469EE93D-CCBB-4219-B205-F0135320E231}" type="sibTrans" cxnId="{7176BAD1-C8AA-4731-A0B4-C55257E3EEAC}">
      <dgm:prSet/>
      <dgm:spPr/>
      <dgm:t>
        <a:bodyPr/>
        <a:lstStyle/>
        <a:p>
          <a:endParaRPr lang="en-AU"/>
        </a:p>
      </dgm:t>
    </dgm:pt>
    <dgm:pt modelId="{60339268-E571-4D14-9011-05A0305D47A9}">
      <dgm:prSet phldrT="[Text]"/>
      <dgm:spPr>
        <a:xfrm>
          <a:off x="3141103" y="0"/>
          <a:ext cx="2533538" cy="2001328"/>
        </a:xfrm>
        <a:solidFill>
          <a:srgbClr val="E6E7F2"/>
        </a:solidFill>
        <a:ln w="12700" cap="flat" cmpd="sng" algn="ctr">
          <a:noFill/>
          <a:prstDash val="solid"/>
          <a:miter lim="800000"/>
        </a:ln>
        <a:effectLst/>
      </dgm:spPr>
      <dgm:t>
        <a:bodyPr/>
        <a:lstStyle/>
        <a:p>
          <a:endParaRPr lang="en-AU">
            <a:solidFill>
              <a:sysClr val="window" lastClr="FFFFFF"/>
            </a:solidFill>
            <a:latin typeface="Calibri" panose="020F0502020204030204"/>
            <a:ea typeface="+mn-ea"/>
            <a:cs typeface="+mn-cs"/>
          </a:endParaRPr>
        </a:p>
      </dgm:t>
    </dgm:pt>
    <dgm:pt modelId="{3F35929E-0D1A-49A6-B830-98BA70460034}" type="parTrans" cxnId="{1F9B48E3-8280-489F-B6FC-0E3243521985}">
      <dgm:prSet/>
      <dgm:spPr/>
      <dgm:t>
        <a:bodyPr/>
        <a:lstStyle/>
        <a:p>
          <a:endParaRPr lang="en-AU"/>
        </a:p>
      </dgm:t>
    </dgm:pt>
    <dgm:pt modelId="{8351FD1E-E9D3-463F-9EDF-F0828D6072D4}" type="sibTrans" cxnId="{1F9B48E3-8280-489F-B6FC-0E3243521985}">
      <dgm:prSet/>
      <dgm:spPr/>
      <dgm:t>
        <a:bodyPr/>
        <a:lstStyle/>
        <a:p>
          <a:endParaRPr lang="en-AU"/>
        </a:p>
      </dgm:t>
    </dgm:pt>
    <dgm:pt modelId="{1961C0D7-DFF6-44CD-8E79-D1F3440BA45E}">
      <dgm:prSet phldrT="[Text]" custT="1"/>
      <dgm:spPr>
        <a:xfrm>
          <a:off x="3647811" y="0"/>
          <a:ext cx="1887486" cy="2001328"/>
        </a:xfrm>
        <a:noFill/>
        <a:ln w="12700" cap="flat" cmpd="sng" algn="ctr">
          <a:noFill/>
          <a:prstDash val="solid"/>
          <a:miter lim="800000"/>
        </a:ln>
        <a:effectLst/>
        <a:sp3d/>
      </dgm:spPr>
      <dgm:t>
        <a:bodyPr/>
        <a:lstStyle/>
        <a:p>
          <a:pPr algn="l">
            <a:spcAft>
              <a:spcPts val="600"/>
            </a:spcAft>
          </a:pPr>
          <a:endParaRPr lang="en-AU" sz="1100">
            <a:solidFill>
              <a:sysClr val="windowText" lastClr="000000"/>
            </a:solidFill>
            <a:latin typeface="Calibri" panose="020F0502020204030204"/>
            <a:ea typeface="+mn-ea"/>
            <a:cs typeface="+mn-cs"/>
          </a:endParaRPr>
        </a:p>
        <a:p>
          <a:pPr algn="l">
            <a:spcAft>
              <a:spcPts val="600"/>
            </a:spcAft>
          </a:pPr>
          <a:r>
            <a:rPr lang="en-AU" sz="1100">
              <a:solidFill>
                <a:sysClr val="windowText" lastClr="000000"/>
              </a:solidFill>
              <a:latin typeface="Calibri" panose="020F0502020204030204"/>
              <a:ea typeface="+mn-ea"/>
              <a:cs typeface="+mn-cs"/>
            </a:rPr>
            <a:t>Be aware of these tactics and engage 'champions' internally and/or externally from various organisations (government, non-government, profit, non-profit) to further the issues.</a:t>
          </a:r>
        </a:p>
        <a:p>
          <a:pPr algn="l">
            <a:spcAft>
              <a:spcPts val="600"/>
            </a:spcAft>
          </a:pPr>
          <a:r>
            <a:rPr lang="en-AU" sz="1100">
              <a:solidFill>
                <a:sysClr val="windowText" lastClr="000000"/>
              </a:solidFill>
              <a:latin typeface="Calibri" panose="020F0502020204030204"/>
              <a:ea typeface="+mn-ea"/>
              <a:cs typeface="+mn-cs"/>
            </a:rPr>
            <a:t>Document the processes and raise the issues regularly and often.</a:t>
          </a:r>
        </a:p>
      </dgm:t>
    </dgm:pt>
    <dgm:pt modelId="{EC20F96D-E469-4C50-A48D-88F04D1D4A73}" type="parTrans" cxnId="{002BEF68-F311-4FF4-913B-55E51DFB612B}">
      <dgm:prSet/>
      <dgm:spPr/>
      <dgm:t>
        <a:bodyPr/>
        <a:lstStyle/>
        <a:p>
          <a:endParaRPr lang="en-AU"/>
        </a:p>
      </dgm:t>
    </dgm:pt>
    <dgm:pt modelId="{50C04975-8400-4FC2-9B9E-43F4659524C7}" type="sibTrans" cxnId="{002BEF68-F311-4FF4-913B-55E51DFB612B}">
      <dgm:prSet/>
      <dgm:spPr/>
      <dgm:t>
        <a:bodyPr/>
        <a:lstStyle/>
        <a:p>
          <a:endParaRPr lang="en-AU"/>
        </a:p>
      </dgm:t>
    </dgm:pt>
    <dgm:pt modelId="{B78C4C10-4C32-41F4-B571-5CC018614B52}">
      <dgm:prSet phldrT="[Text]" custT="1"/>
      <dgm:spPr>
        <a:xfrm>
          <a:off x="508965" y="0"/>
          <a:ext cx="1887486" cy="2001328"/>
        </a:xfrm>
        <a:noFill/>
        <a:ln w="12700" cap="flat" cmpd="sng" algn="ctr">
          <a:noFill/>
          <a:prstDash val="solid"/>
          <a:miter lim="800000"/>
        </a:ln>
        <a:effectLst/>
        <a:sp3d/>
      </dgm:spPr>
      <dgm:t>
        <a:bodyPr/>
        <a:lstStyle/>
        <a:p>
          <a:pPr algn="l">
            <a:spcAft>
              <a:spcPts val="600"/>
            </a:spcAft>
          </a:pPr>
          <a:endParaRPr lang="en-AU" sz="1100" b="1">
            <a:solidFill>
              <a:sysClr val="windowText" lastClr="000000"/>
            </a:solidFill>
            <a:latin typeface="Calibri" panose="020F0502020204030204"/>
            <a:ea typeface="+mn-ea"/>
            <a:cs typeface="+mn-cs"/>
          </a:endParaRPr>
        </a:p>
        <a:p>
          <a:pPr algn="l">
            <a:spcAft>
              <a:spcPts val="600"/>
            </a:spcAft>
          </a:pPr>
          <a:r>
            <a:rPr lang="en-AU" sz="1100" b="1">
              <a:solidFill>
                <a:sysClr val="windowText" lastClr="000000"/>
              </a:solidFill>
              <a:latin typeface="Calibri" panose="020F0502020204030204"/>
              <a:ea typeface="+mn-ea"/>
              <a:cs typeface="+mn-cs"/>
            </a:rPr>
            <a:t>Subversion</a:t>
          </a:r>
        </a:p>
      </dgm:t>
    </dgm:pt>
    <dgm:pt modelId="{110A0213-F899-4701-9210-D6CFF7DD2E45}" type="sibTrans" cxnId="{25FDB214-0CA9-423F-AC73-495EB21E799E}">
      <dgm:prSet/>
      <dgm:spPr/>
      <dgm:t>
        <a:bodyPr/>
        <a:lstStyle/>
        <a:p>
          <a:endParaRPr lang="en-AU"/>
        </a:p>
      </dgm:t>
    </dgm:pt>
    <dgm:pt modelId="{188FADF3-856C-4E96-92B7-7D67CD18BF7F}" type="parTrans" cxnId="{25FDB214-0CA9-423F-AC73-495EB21E799E}">
      <dgm:prSet/>
      <dgm:spPr/>
      <dgm:t>
        <a:bodyPr/>
        <a:lstStyle/>
        <a:p>
          <a:endParaRPr lang="en-AU"/>
        </a:p>
      </dgm:t>
    </dgm:pt>
    <dgm:pt modelId="{D0B0FD86-C8A1-4DB8-A596-DACC70E2A028}">
      <dgm:prSet custT="1"/>
      <dgm:spPr>
        <a:xfrm>
          <a:off x="508965" y="0"/>
          <a:ext cx="1887486" cy="2001328"/>
        </a:xfrm>
        <a:noFill/>
        <a:ln w="12700" cap="flat" cmpd="sng" algn="ctr">
          <a:noFill/>
          <a:prstDash val="solid"/>
          <a:miter lim="800000"/>
        </a:ln>
        <a:effectLst/>
        <a:sp3d/>
      </dgm:spPr>
      <dgm:t>
        <a:bodyPr/>
        <a:lstStyle/>
        <a:p>
          <a:pPr algn="l">
            <a:spcAft>
              <a:spcPts val="600"/>
            </a:spcAft>
          </a:pPr>
          <a:r>
            <a:rPr lang="en-AU" sz="1100">
              <a:solidFill>
                <a:sysClr val="windowText" lastClr="000000"/>
              </a:solidFill>
              <a:latin typeface="Calibri" panose="020F0502020204030204"/>
              <a:ea typeface="+mn-ea"/>
              <a:cs typeface="+mn-cs"/>
            </a:rPr>
            <a:t>The leadership does not provide the resources for change.</a:t>
          </a:r>
        </a:p>
        <a:p>
          <a:pPr algn="l">
            <a:spcAft>
              <a:spcPts val="600"/>
            </a:spcAft>
          </a:pPr>
          <a:r>
            <a:rPr lang="en-AU" sz="1100">
              <a:solidFill>
                <a:sysClr val="windowText" lastClr="000000"/>
              </a:solidFill>
              <a:latin typeface="Calibri" panose="020F0502020204030204"/>
              <a:ea typeface="+mn-ea"/>
              <a:cs typeface="+mn-cs"/>
            </a:rPr>
            <a:t>For example, staff who do not support gender analysis may be appointed to the task, decisions may be constantly referred up or down the hierarchy, files may be lost and meetings not attended.</a:t>
          </a:r>
        </a:p>
      </dgm:t>
    </dgm:pt>
    <dgm:pt modelId="{24240AD6-4B88-44A9-9985-72446675E0F4}" type="parTrans" cxnId="{849F5C41-E605-4171-BA2B-274275B879FC}">
      <dgm:prSet/>
      <dgm:spPr/>
      <dgm:t>
        <a:bodyPr/>
        <a:lstStyle/>
        <a:p>
          <a:endParaRPr lang="en-AU"/>
        </a:p>
      </dgm:t>
    </dgm:pt>
    <dgm:pt modelId="{0BB9A8D6-8E4A-4CC9-BA52-C6BD662F6019}" type="sibTrans" cxnId="{849F5C41-E605-4171-BA2B-274275B879FC}">
      <dgm:prSet/>
      <dgm:spPr/>
      <dgm:t>
        <a:bodyPr/>
        <a:lstStyle/>
        <a:p>
          <a:endParaRPr lang="en-AU"/>
        </a:p>
      </dgm:t>
    </dgm:pt>
    <dgm:pt modelId="{88D55513-7191-4A61-AA43-5DDF752E8056}">
      <dgm:prSet custT="1"/>
      <dgm:spPr>
        <a:xfrm>
          <a:off x="508965" y="0"/>
          <a:ext cx="1887486" cy="2001328"/>
        </a:xfrm>
        <a:noFill/>
        <a:ln w="12700" cap="flat" cmpd="sng" algn="ctr">
          <a:noFill/>
          <a:prstDash val="solid"/>
          <a:miter lim="800000"/>
        </a:ln>
        <a:effectLst/>
        <a:sp3d/>
      </dgm:spPr>
      <dgm:t>
        <a:bodyPr/>
        <a:lstStyle/>
        <a:p>
          <a:pPr algn="ctr">
            <a:spcAft>
              <a:spcPct val="35000"/>
            </a:spcAft>
          </a:pPr>
          <a:r>
            <a:rPr lang="en-AU" sz="1100">
              <a:solidFill>
                <a:sysClr val="windowText" lastClr="000000"/>
              </a:solidFill>
              <a:latin typeface="Calibri" panose="020F0502020204030204"/>
              <a:ea typeface="+mn-ea"/>
              <a:cs typeface="+mn-cs"/>
            </a:rPr>
            <a:t> </a:t>
          </a:r>
        </a:p>
        <a:p>
          <a:pPr algn="ctr">
            <a:spcAft>
              <a:spcPct val="35000"/>
            </a:spcAft>
          </a:pPr>
          <a:endParaRPr lang="en-AU" sz="1100">
            <a:solidFill>
              <a:sysClr val="windowText" lastClr="000000"/>
            </a:solidFill>
            <a:latin typeface="Calibri" panose="020F0502020204030204"/>
            <a:ea typeface="+mn-ea"/>
            <a:cs typeface="+mn-cs"/>
          </a:endParaRPr>
        </a:p>
      </dgm:t>
    </dgm:pt>
    <dgm:pt modelId="{2773C684-BE59-4E42-B516-ED8D9E77CAEA}" type="sibTrans" cxnId="{78076A18-9294-40EC-BFEA-11B60AF024BD}">
      <dgm:prSet/>
      <dgm:spPr/>
      <dgm:t>
        <a:bodyPr/>
        <a:lstStyle/>
        <a:p>
          <a:endParaRPr lang="en-AU"/>
        </a:p>
      </dgm:t>
    </dgm:pt>
    <dgm:pt modelId="{0F25075B-3885-42AA-8BC5-0FD6735A9D52}" type="parTrans" cxnId="{78076A18-9294-40EC-BFEA-11B60AF024BD}">
      <dgm:prSet/>
      <dgm:spPr/>
      <dgm:t>
        <a:bodyPr/>
        <a:lstStyle/>
        <a:p>
          <a:endParaRPr lang="en-AU"/>
        </a:p>
      </dgm:t>
    </dgm:pt>
    <dgm:pt modelId="{B9E1F392-EFDD-43B2-8A54-6361C8208DFC}" type="pres">
      <dgm:prSet presAssocID="{11F7DAE7-5BFA-4E17-A346-BAA8376A2E16}" presName="Name0" presStyleCnt="0">
        <dgm:presLayoutVars>
          <dgm:dir/>
          <dgm:animLvl val="lvl"/>
          <dgm:resizeHandles val="exact"/>
        </dgm:presLayoutVars>
      </dgm:prSet>
      <dgm:spPr/>
      <dgm:t>
        <a:bodyPr/>
        <a:lstStyle/>
        <a:p>
          <a:endParaRPr lang="en-AU"/>
        </a:p>
      </dgm:t>
    </dgm:pt>
    <dgm:pt modelId="{BEB6B4CE-B25E-44EF-93C5-A64633034108}" type="pres">
      <dgm:prSet presAssocID="{73B2AEAF-1C98-483C-8FE9-1EB760D23765}" presName="compositeNode" presStyleCnt="0">
        <dgm:presLayoutVars>
          <dgm:bulletEnabled val="1"/>
        </dgm:presLayoutVars>
      </dgm:prSet>
      <dgm:spPr/>
    </dgm:pt>
    <dgm:pt modelId="{60DAE95B-9499-4A56-A9EF-EA99B454DBB5}" type="pres">
      <dgm:prSet presAssocID="{73B2AEAF-1C98-483C-8FE9-1EB760D23765}" presName="bgRect" presStyleLbl="node1" presStyleIdx="0" presStyleCnt="2"/>
      <dgm:spPr>
        <a:prstGeom prst="roundRect">
          <a:avLst>
            <a:gd name="adj" fmla="val 5000"/>
          </a:avLst>
        </a:prstGeom>
      </dgm:spPr>
      <dgm:t>
        <a:bodyPr/>
        <a:lstStyle/>
        <a:p>
          <a:endParaRPr lang="en-AU"/>
        </a:p>
      </dgm:t>
    </dgm:pt>
    <dgm:pt modelId="{910D0492-DC0D-44AD-8A86-D3910D698604}" type="pres">
      <dgm:prSet presAssocID="{73B2AEAF-1C98-483C-8FE9-1EB760D23765}" presName="parentNode" presStyleLbl="node1" presStyleIdx="0" presStyleCnt="2">
        <dgm:presLayoutVars>
          <dgm:chMax val="0"/>
          <dgm:bulletEnabled val="1"/>
        </dgm:presLayoutVars>
      </dgm:prSet>
      <dgm:spPr/>
      <dgm:t>
        <a:bodyPr/>
        <a:lstStyle/>
        <a:p>
          <a:endParaRPr lang="en-AU"/>
        </a:p>
      </dgm:t>
    </dgm:pt>
    <dgm:pt modelId="{5BA70862-8CD4-4754-8340-F1AA6F2B6D33}" type="pres">
      <dgm:prSet presAssocID="{73B2AEAF-1C98-483C-8FE9-1EB760D23765}" presName="childNode" presStyleLbl="node1" presStyleIdx="0" presStyleCnt="2">
        <dgm:presLayoutVars>
          <dgm:bulletEnabled val="1"/>
        </dgm:presLayoutVars>
      </dgm:prSet>
      <dgm:spPr>
        <a:prstGeom prst="rect">
          <a:avLst/>
        </a:prstGeom>
      </dgm:spPr>
      <dgm:t>
        <a:bodyPr/>
        <a:lstStyle/>
        <a:p>
          <a:endParaRPr lang="en-AU"/>
        </a:p>
      </dgm:t>
    </dgm:pt>
    <dgm:pt modelId="{C41541EA-4FA4-4AFB-8632-79E7EDBECF3F}" type="pres">
      <dgm:prSet presAssocID="{469EE93D-CCBB-4219-B205-F0135320E231}" presName="hSp" presStyleCnt="0"/>
      <dgm:spPr/>
    </dgm:pt>
    <dgm:pt modelId="{82D18F60-6258-43F9-80AA-C3A6B460CACF}" type="pres">
      <dgm:prSet presAssocID="{469EE93D-CCBB-4219-B205-F0135320E231}" presName="vProcSp" presStyleCnt="0"/>
      <dgm:spPr/>
    </dgm:pt>
    <dgm:pt modelId="{7BBFB510-0ED1-4AF1-8ABF-3E55CC3378B9}" type="pres">
      <dgm:prSet presAssocID="{469EE93D-CCBB-4219-B205-F0135320E231}" presName="vSp1" presStyleCnt="0"/>
      <dgm:spPr/>
    </dgm:pt>
    <dgm:pt modelId="{B69A4D15-46DA-4831-A682-3B9C690822D2}" type="pres">
      <dgm:prSet presAssocID="{469EE93D-CCBB-4219-B205-F0135320E231}" presName="simulatedConn" presStyleLbl="solidFgAcc1" presStyleIdx="0" presStyleCnt="1" custScaleX="235945" custScaleY="194384"/>
      <dgm:spPr>
        <a:xfrm rot="5400000">
          <a:off x="2644500" y="1179714"/>
          <a:ext cx="501908" cy="896663"/>
        </a:xfrm>
        <a:prstGeom prst="flowChartExtract">
          <a:avLst/>
        </a:prstGeom>
        <a:solidFill>
          <a:srgbClr val="5A5098"/>
        </a:solidFill>
        <a:ln w="12700" cap="flat" cmpd="sng" algn="ctr">
          <a:noFill/>
          <a:prstDash val="solid"/>
          <a:miter lim="800000"/>
        </a:ln>
        <a:effectLst>
          <a:outerShdw blurRad="50800" dist="38100" dir="2700000" algn="tl" rotWithShape="0">
            <a:prstClr val="black">
              <a:alpha val="40000"/>
            </a:prstClr>
          </a:outerShdw>
        </a:effectLst>
      </dgm:spPr>
      <dgm:t>
        <a:bodyPr/>
        <a:lstStyle/>
        <a:p>
          <a:endParaRPr lang="en-AU"/>
        </a:p>
      </dgm:t>
    </dgm:pt>
    <dgm:pt modelId="{D6E86BB3-BD8D-46EE-AAB0-35D29DC239CD}" type="pres">
      <dgm:prSet presAssocID="{469EE93D-CCBB-4219-B205-F0135320E231}" presName="vSp2" presStyleCnt="0"/>
      <dgm:spPr/>
    </dgm:pt>
    <dgm:pt modelId="{BF049829-0F2A-4F39-89CE-A36CA62B70DC}" type="pres">
      <dgm:prSet presAssocID="{469EE93D-CCBB-4219-B205-F0135320E231}" presName="sibTrans" presStyleCnt="0"/>
      <dgm:spPr/>
    </dgm:pt>
    <dgm:pt modelId="{9787F337-6D00-4495-AAC4-50F671DE0368}" type="pres">
      <dgm:prSet presAssocID="{60339268-E571-4D14-9011-05A0305D47A9}" presName="compositeNode" presStyleCnt="0">
        <dgm:presLayoutVars>
          <dgm:bulletEnabled val="1"/>
        </dgm:presLayoutVars>
      </dgm:prSet>
      <dgm:spPr/>
    </dgm:pt>
    <dgm:pt modelId="{7DE8C76F-2853-4609-A8E6-63E37988E462}" type="pres">
      <dgm:prSet presAssocID="{60339268-E571-4D14-9011-05A0305D47A9}" presName="bgRect" presStyleLbl="node1" presStyleIdx="1" presStyleCnt="2"/>
      <dgm:spPr>
        <a:prstGeom prst="roundRect">
          <a:avLst>
            <a:gd name="adj" fmla="val 5000"/>
          </a:avLst>
        </a:prstGeom>
      </dgm:spPr>
      <dgm:t>
        <a:bodyPr/>
        <a:lstStyle/>
        <a:p>
          <a:endParaRPr lang="en-AU"/>
        </a:p>
      </dgm:t>
    </dgm:pt>
    <dgm:pt modelId="{553FDD65-06AB-47F2-9C73-71C426335076}" type="pres">
      <dgm:prSet presAssocID="{60339268-E571-4D14-9011-05A0305D47A9}" presName="parentNode" presStyleLbl="node1" presStyleIdx="1" presStyleCnt="2">
        <dgm:presLayoutVars>
          <dgm:chMax val="0"/>
          <dgm:bulletEnabled val="1"/>
        </dgm:presLayoutVars>
      </dgm:prSet>
      <dgm:spPr/>
      <dgm:t>
        <a:bodyPr/>
        <a:lstStyle/>
        <a:p>
          <a:endParaRPr lang="en-AU"/>
        </a:p>
      </dgm:t>
    </dgm:pt>
    <dgm:pt modelId="{56FFBF0D-2F11-4D8D-B89B-2B527555263D}" type="pres">
      <dgm:prSet presAssocID="{60339268-E571-4D14-9011-05A0305D47A9}" presName="childNode" presStyleLbl="node1" presStyleIdx="1" presStyleCnt="2">
        <dgm:presLayoutVars>
          <dgm:bulletEnabled val="1"/>
        </dgm:presLayoutVars>
      </dgm:prSet>
      <dgm:spPr>
        <a:prstGeom prst="rect">
          <a:avLst/>
        </a:prstGeom>
      </dgm:spPr>
      <dgm:t>
        <a:bodyPr/>
        <a:lstStyle/>
        <a:p>
          <a:endParaRPr lang="en-AU"/>
        </a:p>
      </dgm:t>
    </dgm:pt>
  </dgm:ptLst>
  <dgm:cxnLst>
    <dgm:cxn modelId="{C61DC627-07FC-4BEE-8129-20241078B01E}" type="presOf" srcId="{73B2AEAF-1C98-483C-8FE9-1EB760D23765}" destId="{60DAE95B-9499-4A56-A9EF-EA99B454DBB5}" srcOrd="0" destOrd="0" presId="urn:microsoft.com/office/officeart/2005/8/layout/hProcess7"/>
    <dgm:cxn modelId="{002BEF68-F311-4FF4-913B-55E51DFB612B}" srcId="{60339268-E571-4D14-9011-05A0305D47A9}" destId="{1961C0D7-DFF6-44CD-8E79-D1F3440BA45E}" srcOrd="0" destOrd="0" parTransId="{EC20F96D-E469-4C50-A48D-88F04D1D4A73}" sibTransId="{50C04975-8400-4FC2-9B9E-43F4659524C7}"/>
    <dgm:cxn modelId="{330C57AB-5604-42A1-A4A8-D38A39294EA6}" type="presOf" srcId="{D0B0FD86-C8A1-4DB8-A596-DACC70E2A028}" destId="{5BA70862-8CD4-4754-8340-F1AA6F2B6D33}" srcOrd="0" destOrd="1" presId="urn:microsoft.com/office/officeart/2005/8/layout/hProcess7"/>
    <dgm:cxn modelId="{D2588532-F9C2-467E-AFBA-7F03DAAC7F74}" type="presOf" srcId="{88D55513-7191-4A61-AA43-5DDF752E8056}" destId="{5BA70862-8CD4-4754-8340-F1AA6F2B6D33}" srcOrd="0" destOrd="2" presId="urn:microsoft.com/office/officeart/2005/8/layout/hProcess7"/>
    <dgm:cxn modelId="{F9DB8CB4-5F0C-464F-BE5B-D66337F4B8E3}" type="presOf" srcId="{60339268-E571-4D14-9011-05A0305D47A9}" destId="{7DE8C76F-2853-4609-A8E6-63E37988E462}" srcOrd="0" destOrd="0" presId="urn:microsoft.com/office/officeart/2005/8/layout/hProcess7"/>
    <dgm:cxn modelId="{7176BAD1-C8AA-4731-A0B4-C55257E3EEAC}" srcId="{11F7DAE7-5BFA-4E17-A346-BAA8376A2E16}" destId="{73B2AEAF-1C98-483C-8FE9-1EB760D23765}" srcOrd="0" destOrd="0" parTransId="{7888CA8F-DCE1-4043-8615-24658B2E96D1}" sibTransId="{469EE93D-CCBB-4219-B205-F0135320E231}"/>
    <dgm:cxn modelId="{3C07BB2A-5F21-4064-8E3E-7AE6C2CCD4B9}" type="presOf" srcId="{60339268-E571-4D14-9011-05A0305D47A9}" destId="{553FDD65-06AB-47F2-9C73-71C426335076}" srcOrd="1" destOrd="0" presId="urn:microsoft.com/office/officeart/2005/8/layout/hProcess7"/>
    <dgm:cxn modelId="{264234A6-10CC-4779-9A24-FF715708F2B8}" type="presOf" srcId="{B78C4C10-4C32-41F4-B571-5CC018614B52}" destId="{5BA70862-8CD4-4754-8340-F1AA6F2B6D33}" srcOrd="0" destOrd="0" presId="urn:microsoft.com/office/officeart/2005/8/layout/hProcess7"/>
    <dgm:cxn modelId="{2D378BD5-7C6A-46F5-818B-2F9F67151F51}" type="presOf" srcId="{11F7DAE7-5BFA-4E17-A346-BAA8376A2E16}" destId="{B9E1F392-EFDD-43B2-8A54-6361C8208DFC}" srcOrd="0" destOrd="0" presId="urn:microsoft.com/office/officeart/2005/8/layout/hProcess7"/>
    <dgm:cxn modelId="{1F9B48E3-8280-489F-B6FC-0E3243521985}" srcId="{11F7DAE7-5BFA-4E17-A346-BAA8376A2E16}" destId="{60339268-E571-4D14-9011-05A0305D47A9}" srcOrd="1" destOrd="0" parTransId="{3F35929E-0D1A-49A6-B830-98BA70460034}" sibTransId="{8351FD1E-E9D3-463F-9EDF-F0828D6072D4}"/>
    <dgm:cxn modelId="{78076A18-9294-40EC-BFEA-11B60AF024BD}" srcId="{73B2AEAF-1C98-483C-8FE9-1EB760D23765}" destId="{88D55513-7191-4A61-AA43-5DDF752E8056}" srcOrd="2" destOrd="0" parTransId="{0F25075B-3885-42AA-8BC5-0FD6735A9D52}" sibTransId="{2773C684-BE59-4E42-B516-ED8D9E77CAEA}"/>
    <dgm:cxn modelId="{EBAC5C9B-1FD2-4695-B075-61EB40669E78}" type="presOf" srcId="{1961C0D7-DFF6-44CD-8E79-D1F3440BA45E}" destId="{56FFBF0D-2F11-4D8D-B89B-2B527555263D}" srcOrd="0" destOrd="0" presId="urn:microsoft.com/office/officeart/2005/8/layout/hProcess7"/>
    <dgm:cxn modelId="{25FDB214-0CA9-423F-AC73-495EB21E799E}" srcId="{73B2AEAF-1C98-483C-8FE9-1EB760D23765}" destId="{B78C4C10-4C32-41F4-B571-5CC018614B52}" srcOrd="0" destOrd="0" parTransId="{188FADF3-856C-4E96-92B7-7D67CD18BF7F}" sibTransId="{110A0213-F899-4701-9210-D6CFF7DD2E45}"/>
    <dgm:cxn modelId="{849F5C41-E605-4171-BA2B-274275B879FC}" srcId="{73B2AEAF-1C98-483C-8FE9-1EB760D23765}" destId="{D0B0FD86-C8A1-4DB8-A596-DACC70E2A028}" srcOrd="1" destOrd="0" parTransId="{24240AD6-4B88-44A9-9985-72446675E0F4}" sibTransId="{0BB9A8D6-8E4A-4CC9-BA52-C6BD662F6019}"/>
    <dgm:cxn modelId="{5EE9A06A-2D6A-4738-AEFE-E80AE22C2CF5}" type="presOf" srcId="{73B2AEAF-1C98-483C-8FE9-1EB760D23765}" destId="{910D0492-DC0D-44AD-8A86-D3910D698604}" srcOrd="1" destOrd="0" presId="urn:microsoft.com/office/officeart/2005/8/layout/hProcess7"/>
    <dgm:cxn modelId="{2067C1B6-17FC-42BF-8905-0B00F24E574F}" type="presParOf" srcId="{B9E1F392-EFDD-43B2-8A54-6361C8208DFC}" destId="{BEB6B4CE-B25E-44EF-93C5-A64633034108}" srcOrd="0" destOrd="0" presId="urn:microsoft.com/office/officeart/2005/8/layout/hProcess7"/>
    <dgm:cxn modelId="{61CECA9C-A884-44D2-85AE-56D56393D0D0}" type="presParOf" srcId="{BEB6B4CE-B25E-44EF-93C5-A64633034108}" destId="{60DAE95B-9499-4A56-A9EF-EA99B454DBB5}" srcOrd="0" destOrd="0" presId="urn:microsoft.com/office/officeart/2005/8/layout/hProcess7"/>
    <dgm:cxn modelId="{D5889A61-AED3-43C4-AB8B-D41FC09C1AC2}" type="presParOf" srcId="{BEB6B4CE-B25E-44EF-93C5-A64633034108}" destId="{910D0492-DC0D-44AD-8A86-D3910D698604}" srcOrd="1" destOrd="0" presId="urn:microsoft.com/office/officeart/2005/8/layout/hProcess7"/>
    <dgm:cxn modelId="{FC4917FE-0AEE-4A87-B0FC-3054E465B4A7}" type="presParOf" srcId="{BEB6B4CE-B25E-44EF-93C5-A64633034108}" destId="{5BA70862-8CD4-4754-8340-F1AA6F2B6D33}" srcOrd="2" destOrd="0" presId="urn:microsoft.com/office/officeart/2005/8/layout/hProcess7"/>
    <dgm:cxn modelId="{FB1B33BD-1DE4-4AA5-9A02-CC7176414E6F}" type="presParOf" srcId="{B9E1F392-EFDD-43B2-8A54-6361C8208DFC}" destId="{C41541EA-4FA4-4AFB-8632-79E7EDBECF3F}" srcOrd="1" destOrd="0" presId="urn:microsoft.com/office/officeart/2005/8/layout/hProcess7"/>
    <dgm:cxn modelId="{6A01EAF3-FC5C-44BC-9330-47BE1622E0AA}" type="presParOf" srcId="{B9E1F392-EFDD-43B2-8A54-6361C8208DFC}" destId="{82D18F60-6258-43F9-80AA-C3A6B460CACF}" srcOrd="2" destOrd="0" presId="urn:microsoft.com/office/officeart/2005/8/layout/hProcess7"/>
    <dgm:cxn modelId="{665B1C42-4F7C-44F9-81A6-078C1A3A8229}" type="presParOf" srcId="{82D18F60-6258-43F9-80AA-C3A6B460CACF}" destId="{7BBFB510-0ED1-4AF1-8ABF-3E55CC3378B9}" srcOrd="0" destOrd="0" presId="urn:microsoft.com/office/officeart/2005/8/layout/hProcess7"/>
    <dgm:cxn modelId="{95AEA023-75FA-4A8E-9110-D53D54474C8C}" type="presParOf" srcId="{82D18F60-6258-43F9-80AA-C3A6B460CACF}" destId="{B69A4D15-46DA-4831-A682-3B9C690822D2}" srcOrd="1" destOrd="0" presId="urn:microsoft.com/office/officeart/2005/8/layout/hProcess7"/>
    <dgm:cxn modelId="{1FF51DEA-BE87-49CB-A805-19D506D1F885}" type="presParOf" srcId="{82D18F60-6258-43F9-80AA-C3A6B460CACF}" destId="{D6E86BB3-BD8D-46EE-AAB0-35D29DC239CD}" srcOrd="2" destOrd="0" presId="urn:microsoft.com/office/officeart/2005/8/layout/hProcess7"/>
    <dgm:cxn modelId="{F052610F-75C7-4965-850E-A13AE603B755}" type="presParOf" srcId="{B9E1F392-EFDD-43B2-8A54-6361C8208DFC}" destId="{BF049829-0F2A-4F39-89CE-A36CA62B70DC}" srcOrd="3" destOrd="0" presId="urn:microsoft.com/office/officeart/2005/8/layout/hProcess7"/>
    <dgm:cxn modelId="{7A44F628-D65F-41EE-97E8-922223FD2E5D}" type="presParOf" srcId="{B9E1F392-EFDD-43B2-8A54-6361C8208DFC}" destId="{9787F337-6D00-4495-AAC4-50F671DE0368}" srcOrd="4" destOrd="0" presId="urn:microsoft.com/office/officeart/2005/8/layout/hProcess7"/>
    <dgm:cxn modelId="{3A004B8D-7DF6-4590-AC0F-CFDC870E399F}" type="presParOf" srcId="{9787F337-6D00-4495-AAC4-50F671DE0368}" destId="{7DE8C76F-2853-4609-A8E6-63E37988E462}" srcOrd="0" destOrd="0" presId="urn:microsoft.com/office/officeart/2005/8/layout/hProcess7"/>
    <dgm:cxn modelId="{1016127B-8A08-4D21-A16A-A425F6FFF415}" type="presParOf" srcId="{9787F337-6D00-4495-AAC4-50F671DE0368}" destId="{553FDD65-06AB-47F2-9C73-71C426335076}" srcOrd="1" destOrd="0" presId="urn:microsoft.com/office/officeart/2005/8/layout/hProcess7"/>
    <dgm:cxn modelId="{CECFC8F0-C90B-4D06-B77C-119F13BC95D6}" type="presParOf" srcId="{9787F337-6D00-4495-AAC4-50F671DE0368}" destId="{56FFBF0D-2F11-4D8D-B89B-2B527555263D}" srcOrd="2" destOrd="0" presId="urn:microsoft.com/office/officeart/2005/8/layout/hProcess7"/>
  </dgm:cxnLst>
  <dgm:bg/>
  <dgm:whole>
    <a:ln>
      <a:noFill/>
    </a:ln>
  </dgm:whole>
  <dgm:extLst>
    <a:ext uri="http://schemas.microsoft.com/office/drawing/2008/diagram">
      <dsp:dataModelExt xmlns:dsp="http://schemas.microsoft.com/office/drawing/2008/diagram" relId="rId7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1F7DAE7-5BFA-4E17-A346-BAA8376A2E16}" type="doc">
      <dgm:prSet loTypeId="urn:microsoft.com/office/officeart/2005/8/layout/hProcess7" loCatId="process" qsTypeId="urn:microsoft.com/office/officeart/2005/8/quickstyle/simple1" qsCatId="simple" csTypeId="urn:microsoft.com/office/officeart/2005/8/colors/accent1_2" csCatId="accent1" phldr="1"/>
      <dgm:spPr/>
      <dgm:t>
        <a:bodyPr/>
        <a:lstStyle/>
        <a:p>
          <a:endParaRPr lang="en-AU"/>
        </a:p>
      </dgm:t>
    </dgm:pt>
    <dgm:pt modelId="{73B2AEAF-1C98-483C-8FE9-1EB760D23765}">
      <dgm:prSet phldrT="[Text]"/>
      <dgm:spPr>
        <a:xfrm>
          <a:off x="2258" y="0"/>
          <a:ext cx="2533538" cy="2346385"/>
        </a:xfrm>
        <a:noFill/>
        <a:ln w="12700" cap="flat" cmpd="sng" algn="ctr">
          <a:solidFill>
            <a:srgbClr val="70AD47">
              <a:lumMod val="20000"/>
              <a:lumOff val="80000"/>
            </a:srgbClr>
          </a:solidFill>
          <a:prstDash val="solid"/>
          <a:miter lim="800000"/>
        </a:ln>
        <a:effectLst/>
      </dgm:spPr>
      <dgm:t>
        <a:bodyPr/>
        <a:lstStyle/>
        <a:p>
          <a:endParaRPr lang="en-AU">
            <a:solidFill>
              <a:sysClr val="window" lastClr="FFFFFF"/>
            </a:solidFill>
            <a:latin typeface="Calibri" panose="020F0502020204030204"/>
            <a:ea typeface="+mn-ea"/>
            <a:cs typeface="+mn-cs"/>
          </a:endParaRPr>
        </a:p>
      </dgm:t>
    </dgm:pt>
    <dgm:pt modelId="{7888CA8F-DCE1-4043-8615-24658B2E96D1}" type="parTrans" cxnId="{7176BAD1-C8AA-4731-A0B4-C55257E3EEAC}">
      <dgm:prSet/>
      <dgm:spPr/>
      <dgm:t>
        <a:bodyPr/>
        <a:lstStyle/>
        <a:p>
          <a:endParaRPr lang="en-AU"/>
        </a:p>
      </dgm:t>
    </dgm:pt>
    <dgm:pt modelId="{469EE93D-CCBB-4219-B205-F0135320E231}" type="sibTrans" cxnId="{7176BAD1-C8AA-4731-A0B4-C55257E3EEAC}">
      <dgm:prSet/>
      <dgm:spPr/>
      <dgm:t>
        <a:bodyPr/>
        <a:lstStyle/>
        <a:p>
          <a:endParaRPr lang="en-AU"/>
        </a:p>
      </dgm:t>
    </dgm:pt>
    <dgm:pt modelId="{60339268-E571-4D14-9011-05A0305D47A9}">
      <dgm:prSet phldrT="[Text]"/>
      <dgm:spPr>
        <a:xfrm>
          <a:off x="3141103" y="0"/>
          <a:ext cx="2533538" cy="2346385"/>
        </a:xfrm>
        <a:solidFill>
          <a:srgbClr val="EEF7E9"/>
        </a:solidFill>
        <a:ln w="12700" cap="flat" cmpd="sng" algn="ctr">
          <a:noFill/>
          <a:prstDash val="solid"/>
          <a:miter lim="800000"/>
        </a:ln>
        <a:effectLst/>
      </dgm:spPr>
      <dgm:t>
        <a:bodyPr/>
        <a:lstStyle/>
        <a:p>
          <a:endParaRPr lang="en-AU">
            <a:solidFill>
              <a:sysClr val="window" lastClr="FFFFFF"/>
            </a:solidFill>
            <a:latin typeface="Calibri" panose="020F0502020204030204"/>
            <a:ea typeface="+mn-ea"/>
            <a:cs typeface="+mn-cs"/>
          </a:endParaRPr>
        </a:p>
      </dgm:t>
    </dgm:pt>
    <dgm:pt modelId="{3F35929E-0D1A-49A6-B830-98BA70460034}" type="parTrans" cxnId="{1F9B48E3-8280-489F-B6FC-0E3243521985}">
      <dgm:prSet/>
      <dgm:spPr/>
      <dgm:t>
        <a:bodyPr/>
        <a:lstStyle/>
        <a:p>
          <a:endParaRPr lang="en-AU"/>
        </a:p>
      </dgm:t>
    </dgm:pt>
    <dgm:pt modelId="{8351FD1E-E9D3-463F-9EDF-F0828D6072D4}" type="sibTrans" cxnId="{1F9B48E3-8280-489F-B6FC-0E3243521985}">
      <dgm:prSet/>
      <dgm:spPr/>
      <dgm:t>
        <a:bodyPr/>
        <a:lstStyle/>
        <a:p>
          <a:endParaRPr lang="en-AU"/>
        </a:p>
      </dgm:t>
    </dgm:pt>
    <dgm:pt modelId="{1961C0D7-DFF6-44CD-8E79-D1F3440BA45E}">
      <dgm:prSet phldrT="[Text]" custT="1"/>
      <dgm:spPr>
        <a:xfrm>
          <a:off x="3647811" y="0"/>
          <a:ext cx="1887486" cy="2346385"/>
        </a:xfrm>
        <a:noFill/>
        <a:ln w="12700" cap="flat" cmpd="sng" algn="ctr">
          <a:noFill/>
          <a:prstDash val="solid"/>
          <a:miter lim="800000"/>
        </a:ln>
        <a:effectLst/>
        <a:sp3d/>
      </dgm:spPr>
      <dgm:t>
        <a:bodyPr/>
        <a:lstStyle/>
        <a:p>
          <a:pPr algn="l">
            <a:spcAft>
              <a:spcPct val="35000"/>
            </a:spcAft>
          </a:pPr>
          <a:endParaRPr lang="en-AU" sz="1100">
            <a:solidFill>
              <a:sysClr val="windowText" lastClr="000000"/>
            </a:solidFill>
            <a:latin typeface="Calibri" panose="020F0502020204030204"/>
            <a:ea typeface="+mn-ea"/>
            <a:cs typeface="+mn-cs"/>
          </a:endParaRPr>
        </a:p>
        <a:p>
          <a:pPr algn="l">
            <a:spcAft>
              <a:spcPts val="600"/>
            </a:spcAft>
          </a:pPr>
          <a:r>
            <a:rPr lang="en-AU" sz="1100">
              <a:solidFill>
                <a:sysClr val="windowText" lastClr="000000"/>
              </a:solidFill>
              <a:latin typeface="Calibri" panose="020F0502020204030204"/>
              <a:ea typeface="+mn-ea"/>
              <a:cs typeface="+mn-cs"/>
            </a:rPr>
            <a:t>Engage champions at a high level within an organisaion to promote the issues and embed gender perspectives in strategic policies as an integral part of organisational activities, not as an 'add-on'.</a:t>
          </a:r>
        </a:p>
        <a:p>
          <a:pPr algn="l">
            <a:spcAft>
              <a:spcPct val="35000"/>
            </a:spcAft>
          </a:pPr>
          <a:r>
            <a:rPr lang="en-AU" sz="1100">
              <a:solidFill>
                <a:sysClr val="windowText" lastClr="000000"/>
              </a:solidFill>
              <a:latin typeface="Calibri" panose="020F0502020204030204"/>
              <a:ea typeface="+mn-ea"/>
              <a:cs typeface="+mn-cs"/>
            </a:rPr>
            <a:t>Ensure a monitoring and evaluation system is in place formally or informally.</a:t>
          </a:r>
        </a:p>
        <a:p>
          <a:pPr algn="l">
            <a:spcAft>
              <a:spcPct val="35000"/>
            </a:spcAft>
          </a:pPr>
          <a:r>
            <a:rPr lang="en-AU" sz="1100">
              <a:solidFill>
                <a:sysClr val="windowText" lastClr="000000"/>
              </a:solidFill>
              <a:latin typeface="Calibri" panose="020F0502020204030204"/>
              <a:ea typeface="+mn-ea"/>
              <a:cs typeface="+mn-cs"/>
            </a:rPr>
            <a:t>Set up a reference group around the project.</a:t>
          </a:r>
        </a:p>
      </dgm:t>
    </dgm:pt>
    <dgm:pt modelId="{EC20F96D-E469-4C50-A48D-88F04D1D4A73}" type="parTrans" cxnId="{002BEF68-F311-4FF4-913B-55E51DFB612B}">
      <dgm:prSet/>
      <dgm:spPr/>
      <dgm:t>
        <a:bodyPr/>
        <a:lstStyle/>
        <a:p>
          <a:endParaRPr lang="en-AU"/>
        </a:p>
      </dgm:t>
    </dgm:pt>
    <dgm:pt modelId="{50C04975-8400-4FC2-9B9E-43F4659524C7}" type="sibTrans" cxnId="{002BEF68-F311-4FF4-913B-55E51DFB612B}">
      <dgm:prSet/>
      <dgm:spPr/>
      <dgm:t>
        <a:bodyPr/>
        <a:lstStyle/>
        <a:p>
          <a:endParaRPr lang="en-AU"/>
        </a:p>
      </dgm:t>
    </dgm:pt>
    <dgm:pt modelId="{B78C4C10-4C32-41F4-B571-5CC018614B52}">
      <dgm:prSet phldrT="[Text]" custT="1"/>
      <dgm:spPr>
        <a:xfrm>
          <a:off x="508965" y="0"/>
          <a:ext cx="1887486" cy="2346385"/>
        </a:xfrm>
        <a:noFill/>
        <a:ln w="12700" cap="flat" cmpd="sng" algn="ctr">
          <a:noFill/>
          <a:prstDash val="solid"/>
          <a:miter lim="800000"/>
        </a:ln>
        <a:effectLst/>
        <a:sp3d/>
      </dgm:spPr>
      <dgm:t>
        <a:bodyPr/>
        <a:lstStyle/>
        <a:p>
          <a:pPr algn="l">
            <a:spcAft>
              <a:spcPts val="600"/>
            </a:spcAft>
          </a:pPr>
          <a:endParaRPr lang="en-AU" sz="1100" b="1">
            <a:solidFill>
              <a:sysClr val="windowText" lastClr="000000"/>
            </a:solidFill>
            <a:latin typeface="Calibri" panose="020F0502020204030204"/>
            <a:ea typeface="+mn-ea"/>
            <a:cs typeface="+mn-cs"/>
          </a:endParaRPr>
        </a:p>
        <a:p>
          <a:pPr algn="l">
            <a:spcAft>
              <a:spcPct val="35000"/>
            </a:spcAft>
          </a:pPr>
          <a:r>
            <a:rPr lang="en-AU" sz="1100" b="1">
              <a:solidFill>
                <a:sysClr val="windowText" lastClr="000000"/>
              </a:solidFill>
              <a:latin typeface="Calibri" panose="020F0502020204030204"/>
              <a:ea typeface="+mn-ea"/>
              <a:cs typeface="+mn-cs"/>
            </a:rPr>
            <a:t>Shelving and lip service</a:t>
          </a:r>
        </a:p>
      </dgm:t>
    </dgm:pt>
    <dgm:pt modelId="{110A0213-F899-4701-9210-D6CFF7DD2E45}" type="sibTrans" cxnId="{25FDB214-0CA9-423F-AC73-495EB21E799E}">
      <dgm:prSet/>
      <dgm:spPr/>
      <dgm:t>
        <a:bodyPr/>
        <a:lstStyle/>
        <a:p>
          <a:endParaRPr lang="en-AU"/>
        </a:p>
      </dgm:t>
    </dgm:pt>
    <dgm:pt modelId="{188FADF3-856C-4E96-92B7-7D67CD18BF7F}" type="parTrans" cxnId="{25FDB214-0CA9-423F-AC73-495EB21E799E}">
      <dgm:prSet/>
      <dgm:spPr/>
      <dgm:t>
        <a:bodyPr/>
        <a:lstStyle/>
        <a:p>
          <a:endParaRPr lang="en-AU"/>
        </a:p>
      </dgm:t>
    </dgm:pt>
    <dgm:pt modelId="{004FF178-F52B-46B8-90F9-1CDF7A810E74}">
      <dgm:prSet custT="1"/>
      <dgm:spPr>
        <a:xfrm>
          <a:off x="508965" y="0"/>
          <a:ext cx="1887486" cy="2346385"/>
        </a:xfrm>
        <a:noFill/>
        <a:ln w="12700" cap="flat" cmpd="sng" algn="ctr">
          <a:noFill/>
          <a:prstDash val="solid"/>
          <a:miter lim="800000"/>
        </a:ln>
        <a:effectLst/>
        <a:sp3d/>
      </dgm:spPr>
      <dgm:t>
        <a:bodyPr/>
        <a:lstStyle/>
        <a:p>
          <a:pPr algn="l">
            <a:spcAft>
              <a:spcPct val="35000"/>
            </a:spcAft>
          </a:pPr>
          <a:r>
            <a:rPr lang="en-AU" sz="1100">
              <a:solidFill>
                <a:sysClr val="windowText" lastClr="000000"/>
              </a:solidFill>
              <a:latin typeface="Calibri" panose="020F0502020204030204"/>
              <a:ea typeface="+mn-ea"/>
              <a:cs typeface="+mn-cs"/>
            </a:rPr>
            <a:t>Leaders praise attention to gender issues but question the timing for action ('now is not the right time' or 'we've already done that'), or the actions of leaders do not match the enthusiastic words.</a:t>
          </a:r>
        </a:p>
        <a:p>
          <a:pPr algn="l">
            <a:spcAft>
              <a:spcPct val="35000"/>
            </a:spcAft>
          </a:pPr>
          <a:endParaRPr lang="en-AU" sz="1100">
            <a:solidFill>
              <a:sysClr val="windowText" lastClr="000000"/>
            </a:solidFill>
            <a:latin typeface="Calibri" panose="020F0502020204030204"/>
            <a:ea typeface="+mn-ea"/>
            <a:cs typeface="+mn-cs"/>
          </a:endParaRPr>
        </a:p>
      </dgm:t>
    </dgm:pt>
    <dgm:pt modelId="{FAE41EDE-351A-4BCB-83F2-6C7F2E6D77F2}" type="parTrans" cxnId="{3A0F30E6-C69C-418A-BF62-612C2DBF1135}">
      <dgm:prSet/>
      <dgm:spPr/>
      <dgm:t>
        <a:bodyPr/>
        <a:lstStyle/>
        <a:p>
          <a:endParaRPr lang="en-AU"/>
        </a:p>
      </dgm:t>
    </dgm:pt>
    <dgm:pt modelId="{B8083A99-B77E-4730-B31A-109BB3A38D73}" type="sibTrans" cxnId="{3A0F30E6-C69C-418A-BF62-612C2DBF1135}">
      <dgm:prSet/>
      <dgm:spPr/>
      <dgm:t>
        <a:bodyPr/>
        <a:lstStyle/>
        <a:p>
          <a:endParaRPr lang="en-AU"/>
        </a:p>
      </dgm:t>
    </dgm:pt>
    <dgm:pt modelId="{B9E1F392-EFDD-43B2-8A54-6361C8208DFC}" type="pres">
      <dgm:prSet presAssocID="{11F7DAE7-5BFA-4E17-A346-BAA8376A2E16}" presName="Name0" presStyleCnt="0">
        <dgm:presLayoutVars>
          <dgm:dir/>
          <dgm:animLvl val="lvl"/>
          <dgm:resizeHandles val="exact"/>
        </dgm:presLayoutVars>
      </dgm:prSet>
      <dgm:spPr/>
      <dgm:t>
        <a:bodyPr/>
        <a:lstStyle/>
        <a:p>
          <a:endParaRPr lang="en-AU"/>
        </a:p>
      </dgm:t>
    </dgm:pt>
    <dgm:pt modelId="{BEB6B4CE-B25E-44EF-93C5-A64633034108}" type="pres">
      <dgm:prSet presAssocID="{73B2AEAF-1C98-483C-8FE9-1EB760D23765}" presName="compositeNode" presStyleCnt="0">
        <dgm:presLayoutVars>
          <dgm:bulletEnabled val="1"/>
        </dgm:presLayoutVars>
      </dgm:prSet>
      <dgm:spPr/>
    </dgm:pt>
    <dgm:pt modelId="{60DAE95B-9499-4A56-A9EF-EA99B454DBB5}" type="pres">
      <dgm:prSet presAssocID="{73B2AEAF-1C98-483C-8FE9-1EB760D23765}" presName="bgRect" presStyleLbl="node1" presStyleIdx="0" presStyleCnt="2"/>
      <dgm:spPr>
        <a:prstGeom prst="roundRect">
          <a:avLst>
            <a:gd name="adj" fmla="val 5000"/>
          </a:avLst>
        </a:prstGeom>
      </dgm:spPr>
      <dgm:t>
        <a:bodyPr/>
        <a:lstStyle/>
        <a:p>
          <a:endParaRPr lang="en-AU"/>
        </a:p>
      </dgm:t>
    </dgm:pt>
    <dgm:pt modelId="{910D0492-DC0D-44AD-8A86-D3910D698604}" type="pres">
      <dgm:prSet presAssocID="{73B2AEAF-1C98-483C-8FE9-1EB760D23765}" presName="parentNode" presStyleLbl="node1" presStyleIdx="0" presStyleCnt="2">
        <dgm:presLayoutVars>
          <dgm:chMax val="0"/>
          <dgm:bulletEnabled val="1"/>
        </dgm:presLayoutVars>
      </dgm:prSet>
      <dgm:spPr/>
      <dgm:t>
        <a:bodyPr/>
        <a:lstStyle/>
        <a:p>
          <a:endParaRPr lang="en-AU"/>
        </a:p>
      </dgm:t>
    </dgm:pt>
    <dgm:pt modelId="{5BA70862-8CD4-4754-8340-F1AA6F2B6D33}" type="pres">
      <dgm:prSet presAssocID="{73B2AEAF-1C98-483C-8FE9-1EB760D23765}" presName="childNode" presStyleLbl="node1" presStyleIdx="0" presStyleCnt="2">
        <dgm:presLayoutVars>
          <dgm:bulletEnabled val="1"/>
        </dgm:presLayoutVars>
      </dgm:prSet>
      <dgm:spPr>
        <a:prstGeom prst="rect">
          <a:avLst/>
        </a:prstGeom>
      </dgm:spPr>
      <dgm:t>
        <a:bodyPr/>
        <a:lstStyle/>
        <a:p>
          <a:endParaRPr lang="en-AU"/>
        </a:p>
      </dgm:t>
    </dgm:pt>
    <dgm:pt modelId="{C41541EA-4FA4-4AFB-8632-79E7EDBECF3F}" type="pres">
      <dgm:prSet presAssocID="{469EE93D-CCBB-4219-B205-F0135320E231}" presName="hSp" presStyleCnt="0"/>
      <dgm:spPr/>
    </dgm:pt>
    <dgm:pt modelId="{82D18F60-6258-43F9-80AA-C3A6B460CACF}" type="pres">
      <dgm:prSet presAssocID="{469EE93D-CCBB-4219-B205-F0135320E231}" presName="vProcSp" presStyleCnt="0"/>
      <dgm:spPr/>
    </dgm:pt>
    <dgm:pt modelId="{7BBFB510-0ED1-4AF1-8ABF-3E55CC3378B9}" type="pres">
      <dgm:prSet presAssocID="{469EE93D-CCBB-4219-B205-F0135320E231}" presName="vSp1" presStyleCnt="0"/>
      <dgm:spPr/>
    </dgm:pt>
    <dgm:pt modelId="{B69A4D15-46DA-4831-A682-3B9C690822D2}" type="pres">
      <dgm:prSet presAssocID="{469EE93D-CCBB-4219-B205-F0135320E231}" presName="simulatedConn" presStyleLbl="solidFgAcc1" presStyleIdx="0" presStyleCnt="1" custScaleX="235945" custScaleY="152134"/>
      <dgm:spPr>
        <a:xfrm rot="5400000">
          <a:off x="2651920" y="1502707"/>
          <a:ext cx="487067" cy="896663"/>
        </a:xfrm>
        <a:prstGeom prst="flowChartExtract">
          <a:avLst/>
        </a:prstGeom>
        <a:solidFill>
          <a:srgbClr val="70AD47">
            <a:lumMod val="50000"/>
          </a:srgbClr>
        </a:solidFill>
        <a:ln w="12700" cap="flat" cmpd="sng" algn="ctr">
          <a:noFill/>
          <a:prstDash val="solid"/>
          <a:miter lim="800000"/>
        </a:ln>
        <a:effectLst>
          <a:outerShdw blurRad="50800" dist="38100" dir="2700000" algn="tl" rotWithShape="0">
            <a:prstClr val="black">
              <a:alpha val="40000"/>
            </a:prstClr>
          </a:outerShdw>
        </a:effectLst>
      </dgm:spPr>
      <dgm:t>
        <a:bodyPr/>
        <a:lstStyle/>
        <a:p>
          <a:endParaRPr lang="en-AU"/>
        </a:p>
      </dgm:t>
    </dgm:pt>
    <dgm:pt modelId="{D6E86BB3-BD8D-46EE-AAB0-35D29DC239CD}" type="pres">
      <dgm:prSet presAssocID="{469EE93D-CCBB-4219-B205-F0135320E231}" presName="vSp2" presStyleCnt="0"/>
      <dgm:spPr/>
    </dgm:pt>
    <dgm:pt modelId="{BF049829-0F2A-4F39-89CE-A36CA62B70DC}" type="pres">
      <dgm:prSet presAssocID="{469EE93D-CCBB-4219-B205-F0135320E231}" presName="sibTrans" presStyleCnt="0"/>
      <dgm:spPr/>
    </dgm:pt>
    <dgm:pt modelId="{9787F337-6D00-4495-AAC4-50F671DE0368}" type="pres">
      <dgm:prSet presAssocID="{60339268-E571-4D14-9011-05A0305D47A9}" presName="compositeNode" presStyleCnt="0">
        <dgm:presLayoutVars>
          <dgm:bulletEnabled val="1"/>
        </dgm:presLayoutVars>
      </dgm:prSet>
      <dgm:spPr/>
    </dgm:pt>
    <dgm:pt modelId="{7DE8C76F-2853-4609-A8E6-63E37988E462}" type="pres">
      <dgm:prSet presAssocID="{60339268-E571-4D14-9011-05A0305D47A9}" presName="bgRect" presStyleLbl="node1" presStyleIdx="1" presStyleCnt="2"/>
      <dgm:spPr>
        <a:prstGeom prst="roundRect">
          <a:avLst>
            <a:gd name="adj" fmla="val 5000"/>
          </a:avLst>
        </a:prstGeom>
      </dgm:spPr>
      <dgm:t>
        <a:bodyPr/>
        <a:lstStyle/>
        <a:p>
          <a:endParaRPr lang="en-AU"/>
        </a:p>
      </dgm:t>
    </dgm:pt>
    <dgm:pt modelId="{553FDD65-06AB-47F2-9C73-71C426335076}" type="pres">
      <dgm:prSet presAssocID="{60339268-E571-4D14-9011-05A0305D47A9}" presName="parentNode" presStyleLbl="node1" presStyleIdx="1" presStyleCnt="2">
        <dgm:presLayoutVars>
          <dgm:chMax val="0"/>
          <dgm:bulletEnabled val="1"/>
        </dgm:presLayoutVars>
      </dgm:prSet>
      <dgm:spPr/>
      <dgm:t>
        <a:bodyPr/>
        <a:lstStyle/>
        <a:p>
          <a:endParaRPr lang="en-AU"/>
        </a:p>
      </dgm:t>
    </dgm:pt>
    <dgm:pt modelId="{56FFBF0D-2F11-4D8D-B89B-2B527555263D}" type="pres">
      <dgm:prSet presAssocID="{60339268-E571-4D14-9011-05A0305D47A9}" presName="childNode" presStyleLbl="node1" presStyleIdx="1" presStyleCnt="2">
        <dgm:presLayoutVars>
          <dgm:bulletEnabled val="1"/>
        </dgm:presLayoutVars>
      </dgm:prSet>
      <dgm:spPr>
        <a:prstGeom prst="rect">
          <a:avLst/>
        </a:prstGeom>
      </dgm:spPr>
      <dgm:t>
        <a:bodyPr/>
        <a:lstStyle/>
        <a:p>
          <a:endParaRPr lang="en-AU"/>
        </a:p>
      </dgm:t>
    </dgm:pt>
  </dgm:ptLst>
  <dgm:cxnLst>
    <dgm:cxn modelId="{46D15F58-C1E1-457B-A29B-7AFA263505F3}" type="presOf" srcId="{73B2AEAF-1C98-483C-8FE9-1EB760D23765}" destId="{60DAE95B-9499-4A56-A9EF-EA99B454DBB5}" srcOrd="0" destOrd="0" presId="urn:microsoft.com/office/officeart/2005/8/layout/hProcess7"/>
    <dgm:cxn modelId="{7176BAD1-C8AA-4731-A0B4-C55257E3EEAC}" srcId="{11F7DAE7-5BFA-4E17-A346-BAA8376A2E16}" destId="{73B2AEAF-1C98-483C-8FE9-1EB760D23765}" srcOrd="0" destOrd="0" parTransId="{7888CA8F-DCE1-4043-8615-24658B2E96D1}" sibTransId="{469EE93D-CCBB-4219-B205-F0135320E231}"/>
    <dgm:cxn modelId="{787D7942-EC51-4E5F-8145-46AA1D079FD9}" type="presOf" srcId="{004FF178-F52B-46B8-90F9-1CDF7A810E74}" destId="{5BA70862-8CD4-4754-8340-F1AA6F2B6D33}" srcOrd="0" destOrd="1" presId="urn:microsoft.com/office/officeart/2005/8/layout/hProcess7"/>
    <dgm:cxn modelId="{FF1FFE9D-FC41-44A9-BFD6-68D4161FBF91}" type="presOf" srcId="{11F7DAE7-5BFA-4E17-A346-BAA8376A2E16}" destId="{B9E1F392-EFDD-43B2-8A54-6361C8208DFC}" srcOrd="0" destOrd="0" presId="urn:microsoft.com/office/officeart/2005/8/layout/hProcess7"/>
    <dgm:cxn modelId="{002BEF68-F311-4FF4-913B-55E51DFB612B}" srcId="{60339268-E571-4D14-9011-05A0305D47A9}" destId="{1961C0D7-DFF6-44CD-8E79-D1F3440BA45E}" srcOrd="0" destOrd="0" parTransId="{EC20F96D-E469-4C50-A48D-88F04D1D4A73}" sibTransId="{50C04975-8400-4FC2-9B9E-43F4659524C7}"/>
    <dgm:cxn modelId="{E7D94F4F-6942-4535-9975-29A1DC6A556D}" type="presOf" srcId="{60339268-E571-4D14-9011-05A0305D47A9}" destId="{553FDD65-06AB-47F2-9C73-71C426335076}" srcOrd="1" destOrd="0" presId="urn:microsoft.com/office/officeart/2005/8/layout/hProcess7"/>
    <dgm:cxn modelId="{65CB570F-8C8E-469A-809D-A757274E0076}" type="presOf" srcId="{73B2AEAF-1C98-483C-8FE9-1EB760D23765}" destId="{910D0492-DC0D-44AD-8A86-D3910D698604}" srcOrd="1" destOrd="0" presId="urn:microsoft.com/office/officeart/2005/8/layout/hProcess7"/>
    <dgm:cxn modelId="{782FD76A-A2BA-4C6D-8BE5-BDA5CC74989A}" type="presOf" srcId="{60339268-E571-4D14-9011-05A0305D47A9}" destId="{7DE8C76F-2853-4609-A8E6-63E37988E462}" srcOrd="0" destOrd="0" presId="urn:microsoft.com/office/officeart/2005/8/layout/hProcess7"/>
    <dgm:cxn modelId="{449B6E52-7642-41DF-83E3-DE31278B2749}" type="presOf" srcId="{B78C4C10-4C32-41F4-B571-5CC018614B52}" destId="{5BA70862-8CD4-4754-8340-F1AA6F2B6D33}" srcOrd="0" destOrd="0" presId="urn:microsoft.com/office/officeart/2005/8/layout/hProcess7"/>
    <dgm:cxn modelId="{1F9B48E3-8280-489F-B6FC-0E3243521985}" srcId="{11F7DAE7-5BFA-4E17-A346-BAA8376A2E16}" destId="{60339268-E571-4D14-9011-05A0305D47A9}" srcOrd="1" destOrd="0" parTransId="{3F35929E-0D1A-49A6-B830-98BA70460034}" sibTransId="{8351FD1E-E9D3-463F-9EDF-F0828D6072D4}"/>
    <dgm:cxn modelId="{3A0F30E6-C69C-418A-BF62-612C2DBF1135}" srcId="{73B2AEAF-1C98-483C-8FE9-1EB760D23765}" destId="{004FF178-F52B-46B8-90F9-1CDF7A810E74}" srcOrd="1" destOrd="0" parTransId="{FAE41EDE-351A-4BCB-83F2-6C7F2E6D77F2}" sibTransId="{B8083A99-B77E-4730-B31A-109BB3A38D73}"/>
    <dgm:cxn modelId="{25FDB214-0CA9-423F-AC73-495EB21E799E}" srcId="{73B2AEAF-1C98-483C-8FE9-1EB760D23765}" destId="{B78C4C10-4C32-41F4-B571-5CC018614B52}" srcOrd="0" destOrd="0" parTransId="{188FADF3-856C-4E96-92B7-7D67CD18BF7F}" sibTransId="{110A0213-F899-4701-9210-D6CFF7DD2E45}"/>
    <dgm:cxn modelId="{EFE75551-5554-4466-97E6-3595BE318EA9}" type="presOf" srcId="{1961C0D7-DFF6-44CD-8E79-D1F3440BA45E}" destId="{56FFBF0D-2F11-4D8D-B89B-2B527555263D}" srcOrd="0" destOrd="0" presId="urn:microsoft.com/office/officeart/2005/8/layout/hProcess7"/>
    <dgm:cxn modelId="{3CA723DA-7456-4A6B-ACE4-ACC3F4C61269}" type="presParOf" srcId="{B9E1F392-EFDD-43B2-8A54-6361C8208DFC}" destId="{BEB6B4CE-B25E-44EF-93C5-A64633034108}" srcOrd="0" destOrd="0" presId="urn:microsoft.com/office/officeart/2005/8/layout/hProcess7"/>
    <dgm:cxn modelId="{4C04B5D5-B14E-4618-83ED-281A86D77BB8}" type="presParOf" srcId="{BEB6B4CE-B25E-44EF-93C5-A64633034108}" destId="{60DAE95B-9499-4A56-A9EF-EA99B454DBB5}" srcOrd="0" destOrd="0" presId="urn:microsoft.com/office/officeart/2005/8/layout/hProcess7"/>
    <dgm:cxn modelId="{6B2BC49F-80FB-436D-87EE-78548174E5FB}" type="presParOf" srcId="{BEB6B4CE-B25E-44EF-93C5-A64633034108}" destId="{910D0492-DC0D-44AD-8A86-D3910D698604}" srcOrd="1" destOrd="0" presId="urn:microsoft.com/office/officeart/2005/8/layout/hProcess7"/>
    <dgm:cxn modelId="{791CD18E-4C90-4AB2-9462-76C4F9E19898}" type="presParOf" srcId="{BEB6B4CE-B25E-44EF-93C5-A64633034108}" destId="{5BA70862-8CD4-4754-8340-F1AA6F2B6D33}" srcOrd="2" destOrd="0" presId="urn:microsoft.com/office/officeart/2005/8/layout/hProcess7"/>
    <dgm:cxn modelId="{2DFA9F3E-2898-41A7-B673-53B18BB77327}" type="presParOf" srcId="{B9E1F392-EFDD-43B2-8A54-6361C8208DFC}" destId="{C41541EA-4FA4-4AFB-8632-79E7EDBECF3F}" srcOrd="1" destOrd="0" presId="urn:microsoft.com/office/officeart/2005/8/layout/hProcess7"/>
    <dgm:cxn modelId="{4AE84310-E246-4F2E-AE4D-9384BAE80D93}" type="presParOf" srcId="{B9E1F392-EFDD-43B2-8A54-6361C8208DFC}" destId="{82D18F60-6258-43F9-80AA-C3A6B460CACF}" srcOrd="2" destOrd="0" presId="urn:microsoft.com/office/officeart/2005/8/layout/hProcess7"/>
    <dgm:cxn modelId="{459D9DA5-CF74-463F-BB12-997A19CC9F80}" type="presParOf" srcId="{82D18F60-6258-43F9-80AA-C3A6B460CACF}" destId="{7BBFB510-0ED1-4AF1-8ABF-3E55CC3378B9}" srcOrd="0" destOrd="0" presId="urn:microsoft.com/office/officeart/2005/8/layout/hProcess7"/>
    <dgm:cxn modelId="{43872920-B600-44BC-B2F9-7C325A14D685}" type="presParOf" srcId="{82D18F60-6258-43F9-80AA-C3A6B460CACF}" destId="{B69A4D15-46DA-4831-A682-3B9C690822D2}" srcOrd="1" destOrd="0" presId="urn:microsoft.com/office/officeart/2005/8/layout/hProcess7"/>
    <dgm:cxn modelId="{033FF7DE-B4CA-466B-8977-29E958DE8B64}" type="presParOf" srcId="{82D18F60-6258-43F9-80AA-C3A6B460CACF}" destId="{D6E86BB3-BD8D-46EE-AAB0-35D29DC239CD}" srcOrd="2" destOrd="0" presId="urn:microsoft.com/office/officeart/2005/8/layout/hProcess7"/>
    <dgm:cxn modelId="{37DF5DFA-1760-4209-85C5-44BE920BDBA7}" type="presParOf" srcId="{B9E1F392-EFDD-43B2-8A54-6361C8208DFC}" destId="{BF049829-0F2A-4F39-89CE-A36CA62B70DC}" srcOrd="3" destOrd="0" presId="urn:microsoft.com/office/officeart/2005/8/layout/hProcess7"/>
    <dgm:cxn modelId="{E4F0E330-2F3E-438E-9146-D506695CDC76}" type="presParOf" srcId="{B9E1F392-EFDD-43B2-8A54-6361C8208DFC}" destId="{9787F337-6D00-4495-AAC4-50F671DE0368}" srcOrd="4" destOrd="0" presId="urn:microsoft.com/office/officeart/2005/8/layout/hProcess7"/>
    <dgm:cxn modelId="{FE3A5623-CD7F-4F4A-B0F5-57642D511391}" type="presParOf" srcId="{9787F337-6D00-4495-AAC4-50F671DE0368}" destId="{7DE8C76F-2853-4609-A8E6-63E37988E462}" srcOrd="0" destOrd="0" presId="urn:microsoft.com/office/officeart/2005/8/layout/hProcess7"/>
    <dgm:cxn modelId="{E656FCC3-72F5-4D9C-AD93-408FBCE8A66A}" type="presParOf" srcId="{9787F337-6D00-4495-AAC4-50F671DE0368}" destId="{553FDD65-06AB-47F2-9C73-71C426335076}" srcOrd="1" destOrd="0" presId="urn:microsoft.com/office/officeart/2005/8/layout/hProcess7"/>
    <dgm:cxn modelId="{B8131412-A94A-45DF-9884-693AD2468D01}" type="presParOf" srcId="{9787F337-6D00-4495-AAC4-50F671DE0368}" destId="{56FFBF0D-2F11-4D8D-B89B-2B527555263D}" srcOrd="2" destOrd="0" presId="urn:microsoft.com/office/officeart/2005/8/layout/hProcess7"/>
  </dgm:cxnLst>
  <dgm:bg/>
  <dgm:whole>
    <a:ln>
      <a:noFill/>
    </a:ln>
  </dgm:whole>
  <dgm:extLst>
    <a:ext uri="http://schemas.microsoft.com/office/drawing/2008/diagram">
      <dsp:dataModelExt xmlns:dsp="http://schemas.microsoft.com/office/drawing/2008/diagram" relId="rId7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1F7DAE7-5BFA-4E17-A346-BAA8376A2E16}" type="doc">
      <dgm:prSet loTypeId="urn:microsoft.com/office/officeart/2005/8/layout/hProcess7" loCatId="process" qsTypeId="urn:microsoft.com/office/officeart/2005/8/quickstyle/simple1" qsCatId="simple" csTypeId="urn:microsoft.com/office/officeart/2005/8/colors/accent1_2" csCatId="accent1" phldr="1"/>
      <dgm:spPr/>
      <dgm:t>
        <a:bodyPr/>
        <a:lstStyle/>
        <a:p>
          <a:endParaRPr lang="en-AU"/>
        </a:p>
      </dgm:t>
    </dgm:pt>
    <dgm:pt modelId="{73B2AEAF-1C98-483C-8FE9-1EB760D23765}">
      <dgm:prSet phldrT="[Text]"/>
      <dgm:spPr>
        <a:xfrm>
          <a:off x="2258" y="0"/>
          <a:ext cx="2533538" cy="2218414"/>
        </a:xfrm>
        <a:noFill/>
        <a:ln w="12700" cap="flat" cmpd="sng" algn="ctr">
          <a:solidFill>
            <a:srgbClr val="E6E7F2"/>
          </a:solidFill>
          <a:prstDash val="solid"/>
          <a:miter lim="800000"/>
        </a:ln>
        <a:effectLst/>
      </dgm:spPr>
      <dgm:t>
        <a:bodyPr/>
        <a:lstStyle/>
        <a:p>
          <a:endParaRPr lang="en-AU">
            <a:solidFill>
              <a:sysClr val="window" lastClr="FFFFFF"/>
            </a:solidFill>
            <a:latin typeface="Calibri" panose="020F0502020204030204"/>
            <a:ea typeface="+mn-ea"/>
            <a:cs typeface="+mn-cs"/>
          </a:endParaRPr>
        </a:p>
      </dgm:t>
    </dgm:pt>
    <dgm:pt modelId="{7888CA8F-DCE1-4043-8615-24658B2E96D1}" type="parTrans" cxnId="{7176BAD1-C8AA-4731-A0B4-C55257E3EEAC}">
      <dgm:prSet/>
      <dgm:spPr/>
      <dgm:t>
        <a:bodyPr/>
        <a:lstStyle/>
        <a:p>
          <a:endParaRPr lang="en-AU"/>
        </a:p>
      </dgm:t>
    </dgm:pt>
    <dgm:pt modelId="{469EE93D-CCBB-4219-B205-F0135320E231}" type="sibTrans" cxnId="{7176BAD1-C8AA-4731-A0B4-C55257E3EEAC}">
      <dgm:prSet/>
      <dgm:spPr/>
      <dgm:t>
        <a:bodyPr/>
        <a:lstStyle/>
        <a:p>
          <a:endParaRPr lang="en-AU"/>
        </a:p>
      </dgm:t>
    </dgm:pt>
    <dgm:pt modelId="{60339268-E571-4D14-9011-05A0305D47A9}">
      <dgm:prSet phldrT="[Text]"/>
      <dgm:spPr>
        <a:xfrm>
          <a:off x="3141103" y="0"/>
          <a:ext cx="2533538" cy="2218414"/>
        </a:xfrm>
        <a:solidFill>
          <a:srgbClr val="E6E7F2"/>
        </a:solidFill>
        <a:ln w="12700" cap="flat" cmpd="sng" algn="ctr">
          <a:noFill/>
          <a:prstDash val="solid"/>
          <a:miter lim="800000"/>
        </a:ln>
        <a:effectLst/>
      </dgm:spPr>
      <dgm:t>
        <a:bodyPr/>
        <a:lstStyle/>
        <a:p>
          <a:endParaRPr lang="en-AU">
            <a:solidFill>
              <a:sysClr val="window" lastClr="FFFFFF"/>
            </a:solidFill>
            <a:latin typeface="Calibri" panose="020F0502020204030204"/>
            <a:ea typeface="+mn-ea"/>
            <a:cs typeface="+mn-cs"/>
          </a:endParaRPr>
        </a:p>
      </dgm:t>
    </dgm:pt>
    <dgm:pt modelId="{3F35929E-0D1A-49A6-B830-98BA70460034}" type="parTrans" cxnId="{1F9B48E3-8280-489F-B6FC-0E3243521985}">
      <dgm:prSet/>
      <dgm:spPr/>
      <dgm:t>
        <a:bodyPr/>
        <a:lstStyle/>
        <a:p>
          <a:endParaRPr lang="en-AU"/>
        </a:p>
      </dgm:t>
    </dgm:pt>
    <dgm:pt modelId="{8351FD1E-E9D3-463F-9EDF-F0828D6072D4}" type="sibTrans" cxnId="{1F9B48E3-8280-489F-B6FC-0E3243521985}">
      <dgm:prSet/>
      <dgm:spPr/>
      <dgm:t>
        <a:bodyPr/>
        <a:lstStyle/>
        <a:p>
          <a:endParaRPr lang="en-AU"/>
        </a:p>
      </dgm:t>
    </dgm:pt>
    <dgm:pt modelId="{1961C0D7-DFF6-44CD-8E79-D1F3440BA45E}">
      <dgm:prSet phldrT="[Text]" custT="1"/>
      <dgm:spPr>
        <a:xfrm>
          <a:off x="3647811" y="0"/>
          <a:ext cx="1887486" cy="2218414"/>
        </a:xfrm>
        <a:noFill/>
        <a:ln w="12700" cap="flat" cmpd="sng" algn="ctr">
          <a:noFill/>
          <a:prstDash val="solid"/>
          <a:miter lim="800000"/>
        </a:ln>
        <a:effectLst/>
        <a:sp3d/>
      </dgm:spPr>
      <dgm:t>
        <a:bodyPr/>
        <a:lstStyle/>
        <a:p>
          <a:pPr algn="l">
            <a:spcAft>
              <a:spcPct val="35000"/>
            </a:spcAft>
          </a:pPr>
          <a:endParaRPr lang="en-AU" sz="1100">
            <a:solidFill>
              <a:sysClr val="windowText" lastClr="000000"/>
            </a:solidFill>
            <a:latin typeface="Calibri" panose="020F0502020204030204"/>
            <a:ea typeface="+mn-ea"/>
            <a:cs typeface="+mn-cs"/>
          </a:endParaRPr>
        </a:p>
        <a:p>
          <a:pPr algn="l">
            <a:spcAft>
              <a:spcPts val="600"/>
            </a:spcAft>
          </a:pPr>
          <a:r>
            <a:rPr lang="en-AU" sz="1100">
              <a:solidFill>
                <a:sysClr val="windowText" lastClr="000000"/>
              </a:solidFill>
              <a:latin typeface="Calibri" panose="020F0502020204030204"/>
              <a:ea typeface="+mn-ea"/>
              <a:cs typeface="+mn-cs"/>
            </a:rPr>
            <a:t>Repeatedly raise gender issues as core to the efficiency and organisational health of an organisation. Point out that addressing gender inequities and inequalities is relevant across the Queensland community.</a:t>
          </a:r>
        </a:p>
        <a:p>
          <a:pPr algn="l">
            <a:spcAft>
              <a:spcPct val="35000"/>
            </a:spcAft>
          </a:pPr>
          <a:r>
            <a:rPr lang="en-AU" sz="1100">
              <a:solidFill>
                <a:sysClr val="windowText" lastClr="000000"/>
              </a:solidFill>
              <a:latin typeface="Calibri" panose="020F0502020204030204"/>
              <a:ea typeface="+mn-ea"/>
              <a:cs typeface="+mn-cs"/>
            </a:rPr>
            <a:t>Refer to the formal documents that support this approach ( for example, the Queensland Women's Strategy).</a:t>
          </a:r>
        </a:p>
      </dgm:t>
    </dgm:pt>
    <dgm:pt modelId="{EC20F96D-E469-4C50-A48D-88F04D1D4A73}" type="parTrans" cxnId="{002BEF68-F311-4FF4-913B-55E51DFB612B}">
      <dgm:prSet/>
      <dgm:spPr/>
      <dgm:t>
        <a:bodyPr/>
        <a:lstStyle/>
        <a:p>
          <a:endParaRPr lang="en-AU"/>
        </a:p>
      </dgm:t>
    </dgm:pt>
    <dgm:pt modelId="{50C04975-8400-4FC2-9B9E-43F4659524C7}" type="sibTrans" cxnId="{002BEF68-F311-4FF4-913B-55E51DFB612B}">
      <dgm:prSet/>
      <dgm:spPr/>
      <dgm:t>
        <a:bodyPr/>
        <a:lstStyle/>
        <a:p>
          <a:endParaRPr lang="en-AU"/>
        </a:p>
      </dgm:t>
    </dgm:pt>
    <dgm:pt modelId="{B78C4C10-4C32-41F4-B571-5CC018614B52}">
      <dgm:prSet phldrT="[Text]" custT="1"/>
      <dgm:spPr>
        <a:xfrm>
          <a:off x="508965" y="0"/>
          <a:ext cx="1887486" cy="2218414"/>
        </a:xfrm>
        <a:noFill/>
        <a:ln w="12700" cap="flat" cmpd="sng" algn="ctr">
          <a:noFill/>
          <a:prstDash val="solid"/>
          <a:miter lim="800000"/>
        </a:ln>
        <a:effectLst/>
        <a:sp3d/>
      </dgm:spPr>
      <dgm:t>
        <a:bodyPr/>
        <a:lstStyle/>
        <a:p>
          <a:pPr algn="l">
            <a:spcAft>
              <a:spcPct val="35000"/>
            </a:spcAft>
          </a:pPr>
          <a:endParaRPr lang="en-AU" sz="1100" b="1">
            <a:solidFill>
              <a:sysClr val="windowText" lastClr="000000"/>
            </a:solidFill>
            <a:latin typeface="Calibri" panose="020F0502020204030204"/>
            <a:ea typeface="+mn-ea"/>
            <a:cs typeface="+mn-cs"/>
          </a:endParaRPr>
        </a:p>
        <a:p>
          <a:pPr algn="l">
            <a:spcAft>
              <a:spcPts val="600"/>
            </a:spcAft>
          </a:pPr>
          <a:r>
            <a:rPr lang="en-AU" sz="1100" b="1">
              <a:solidFill>
                <a:sysClr val="windowText" lastClr="000000"/>
              </a:solidFill>
              <a:latin typeface="Calibri" panose="020F0502020204030204"/>
              <a:ea typeface="+mn-ea"/>
              <a:cs typeface="+mn-cs"/>
            </a:rPr>
            <a:t>Compartmentalisation</a:t>
          </a:r>
        </a:p>
      </dgm:t>
    </dgm:pt>
    <dgm:pt modelId="{110A0213-F899-4701-9210-D6CFF7DD2E45}" type="sibTrans" cxnId="{25FDB214-0CA9-423F-AC73-495EB21E799E}">
      <dgm:prSet/>
      <dgm:spPr/>
      <dgm:t>
        <a:bodyPr/>
        <a:lstStyle/>
        <a:p>
          <a:endParaRPr lang="en-AU"/>
        </a:p>
      </dgm:t>
    </dgm:pt>
    <dgm:pt modelId="{188FADF3-856C-4E96-92B7-7D67CD18BF7F}" type="parTrans" cxnId="{25FDB214-0CA9-423F-AC73-495EB21E799E}">
      <dgm:prSet/>
      <dgm:spPr/>
      <dgm:t>
        <a:bodyPr/>
        <a:lstStyle/>
        <a:p>
          <a:endParaRPr lang="en-AU"/>
        </a:p>
      </dgm:t>
    </dgm:pt>
    <dgm:pt modelId="{88D55513-7191-4A61-AA43-5DDF752E8056}">
      <dgm:prSet custT="1"/>
      <dgm:spPr>
        <a:xfrm>
          <a:off x="508965" y="0"/>
          <a:ext cx="1887486" cy="2218414"/>
        </a:xfrm>
        <a:noFill/>
        <a:ln w="12700" cap="flat" cmpd="sng" algn="ctr">
          <a:noFill/>
          <a:prstDash val="solid"/>
          <a:miter lim="800000"/>
        </a:ln>
        <a:effectLst/>
        <a:sp3d/>
      </dgm:spPr>
      <dgm:t>
        <a:bodyPr/>
        <a:lstStyle/>
        <a:p>
          <a:pPr algn="ctr">
            <a:spcAft>
              <a:spcPct val="35000"/>
            </a:spcAft>
          </a:pPr>
          <a:r>
            <a:rPr lang="en-AU" sz="1100">
              <a:solidFill>
                <a:sysClr val="windowText" lastClr="000000"/>
              </a:solidFill>
              <a:latin typeface="Calibri" panose="020F0502020204030204"/>
              <a:ea typeface="+mn-ea"/>
              <a:cs typeface="+mn-cs"/>
            </a:rPr>
            <a:t> </a:t>
          </a:r>
        </a:p>
        <a:p>
          <a:pPr algn="ctr">
            <a:spcAft>
              <a:spcPct val="35000"/>
            </a:spcAft>
          </a:pPr>
          <a:endParaRPr lang="en-AU" sz="1100">
            <a:solidFill>
              <a:sysClr val="windowText" lastClr="000000"/>
            </a:solidFill>
            <a:latin typeface="Calibri" panose="020F0502020204030204"/>
            <a:ea typeface="+mn-ea"/>
            <a:cs typeface="+mn-cs"/>
          </a:endParaRPr>
        </a:p>
      </dgm:t>
    </dgm:pt>
    <dgm:pt modelId="{0F25075B-3885-42AA-8BC5-0FD6735A9D52}" type="parTrans" cxnId="{78076A18-9294-40EC-BFEA-11B60AF024BD}">
      <dgm:prSet/>
      <dgm:spPr/>
      <dgm:t>
        <a:bodyPr/>
        <a:lstStyle/>
        <a:p>
          <a:endParaRPr lang="en-AU"/>
        </a:p>
      </dgm:t>
    </dgm:pt>
    <dgm:pt modelId="{2773C684-BE59-4E42-B516-ED8D9E77CAEA}" type="sibTrans" cxnId="{78076A18-9294-40EC-BFEA-11B60AF024BD}">
      <dgm:prSet/>
      <dgm:spPr/>
      <dgm:t>
        <a:bodyPr/>
        <a:lstStyle/>
        <a:p>
          <a:endParaRPr lang="en-AU"/>
        </a:p>
      </dgm:t>
    </dgm:pt>
    <dgm:pt modelId="{FAA66EB6-D68A-46C3-8591-425493104195}">
      <dgm:prSet custT="1"/>
      <dgm:spPr>
        <a:xfrm>
          <a:off x="508965" y="0"/>
          <a:ext cx="1887486" cy="2218414"/>
        </a:xfrm>
        <a:noFill/>
        <a:ln w="12700" cap="flat" cmpd="sng" algn="ctr">
          <a:noFill/>
          <a:prstDash val="solid"/>
          <a:miter lim="800000"/>
        </a:ln>
        <a:effectLst/>
        <a:sp3d/>
      </dgm:spPr>
      <dgm:t>
        <a:bodyPr/>
        <a:lstStyle/>
        <a:p>
          <a:pPr algn="l">
            <a:spcAft>
              <a:spcPct val="35000"/>
            </a:spcAft>
          </a:pPr>
          <a:r>
            <a:rPr lang="en-AU" sz="1100">
              <a:solidFill>
                <a:sysClr val="windowText" lastClr="000000"/>
              </a:solidFill>
              <a:latin typeface="Calibri" panose="020F0502020204030204"/>
              <a:ea typeface="+mn-ea"/>
              <a:cs typeface="+mn-cs"/>
            </a:rPr>
            <a:t>The leadership passes all responsibility for gender analysis and action on equality to a designated women’s policy officer or the Office for Women.</a:t>
          </a:r>
        </a:p>
      </dgm:t>
    </dgm:pt>
    <dgm:pt modelId="{A11797F2-11D6-42DD-BEB3-1F17E9CA1F2F}" type="parTrans" cxnId="{7C9F091B-5BC0-47A5-A6BE-D60880500B67}">
      <dgm:prSet/>
      <dgm:spPr/>
      <dgm:t>
        <a:bodyPr/>
        <a:lstStyle/>
        <a:p>
          <a:endParaRPr lang="en-AU"/>
        </a:p>
      </dgm:t>
    </dgm:pt>
    <dgm:pt modelId="{15CE3076-0CC0-43D9-B1FF-E1EA69B98E79}" type="sibTrans" cxnId="{7C9F091B-5BC0-47A5-A6BE-D60880500B67}">
      <dgm:prSet/>
      <dgm:spPr/>
      <dgm:t>
        <a:bodyPr/>
        <a:lstStyle/>
        <a:p>
          <a:endParaRPr lang="en-AU"/>
        </a:p>
      </dgm:t>
    </dgm:pt>
    <dgm:pt modelId="{17CA9519-8CA0-4F4E-BBFD-E01345DA1497}">
      <dgm:prSet custT="1"/>
      <dgm:spPr>
        <a:xfrm>
          <a:off x="508965" y="0"/>
          <a:ext cx="1887486" cy="2218414"/>
        </a:xfrm>
        <a:noFill/>
        <a:ln w="12700" cap="flat" cmpd="sng" algn="ctr">
          <a:noFill/>
          <a:prstDash val="solid"/>
          <a:miter lim="800000"/>
        </a:ln>
        <a:effectLst/>
        <a:sp3d/>
      </dgm:spPr>
      <dgm:t>
        <a:bodyPr/>
        <a:lstStyle/>
        <a:p>
          <a:pPr algn="l">
            <a:spcAft>
              <a:spcPct val="35000"/>
            </a:spcAft>
          </a:pPr>
          <a:endParaRPr lang="en-AU" sz="1100">
            <a:solidFill>
              <a:sysClr val="windowText" lastClr="000000"/>
            </a:solidFill>
            <a:latin typeface="Calibri" panose="020F0502020204030204"/>
            <a:ea typeface="+mn-ea"/>
            <a:cs typeface="+mn-cs"/>
          </a:endParaRPr>
        </a:p>
      </dgm:t>
    </dgm:pt>
    <dgm:pt modelId="{B6D34BCB-A061-4E07-A5F3-EAF3B874C830}" type="parTrans" cxnId="{AD0974F1-4FA9-446F-B01D-7CF97F3E4BD3}">
      <dgm:prSet/>
      <dgm:spPr/>
      <dgm:t>
        <a:bodyPr/>
        <a:lstStyle/>
        <a:p>
          <a:endParaRPr lang="en-AU"/>
        </a:p>
      </dgm:t>
    </dgm:pt>
    <dgm:pt modelId="{2F70CA3E-A60F-4089-B6E9-0B621E8EF50A}" type="sibTrans" cxnId="{AD0974F1-4FA9-446F-B01D-7CF97F3E4BD3}">
      <dgm:prSet/>
      <dgm:spPr/>
      <dgm:t>
        <a:bodyPr/>
        <a:lstStyle/>
        <a:p>
          <a:endParaRPr lang="en-AU"/>
        </a:p>
      </dgm:t>
    </dgm:pt>
    <dgm:pt modelId="{B9E1F392-EFDD-43B2-8A54-6361C8208DFC}" type="pres">
      <dgm:prSet presAssocID="{11F7DAE7-5BFA-4E17-A346-BAA8376A2E16}" presName="Name0" presStyleCnt="0">
        <dgm:presLayoutVars>
          <dgm:dir/>
          <dgm:animLvl val="lvl"/>
          <dgm:resizeHandles val="exact"/>
        </dgm:presLayoutVars>
      </dgm:prSet>
      <dgm:spPr/>
      <dgm:t>
        <a:bodyPr/>
        <a:lstStyle/>
        <a:p>
          <a:endParaRPr lang="en-AU"/>
        </a:p>
      </dgm:t>
    </dgm:pt>
    <dgm:pt modelId="{BEB6B4CE-B25E-44EF-93C5-A64633034108}" type="pres">
      <dgm:prSet presAssocID="{73B2AEAF-1C98-483C-8FE9-1EB760D23765}" presName="compositeNode" presStyleCnt="0">
        <dgm:presLayoutVars>
          <dgm:bulletEnabled val="1"/>
        </dgm:presLayoutVars>
      </dgm:prSet>
      <dgm:spPr/>
    </dgm:pt>
    <dgm:pt modelId="{60DAE95B-9499-4A56-A9EF-EA99B454DBB5}" type="pres">
      <dgm:prSet presAssocID="{73B2AEAF-1C98-483C-8FE9-1EB760D23765}" presName="bgRect" presStyleLbl="node1" presStyleIdx="0" presStyleCnt="2"/>
      <dgm:spPr>
        <a:prstGeom prst="roundRect">
          <a:avLst>
            <a:gd name="adj" fmla="val 5000"/>
          </a:avLst>
        </a:prstGeom>
      </dgm:spPr>
      <dgm:t>
        <a:bodyPr/>
        <a:lstStyle/>
        <a:p>
          <a:endParaRPr lang="en-AU"/>
        </a:p>
      </dgm:t>
    </dgm:pt>
    <dgm:pt modelId="{910D0492-DC0D-44AD-8A86-D3910D698604}" type="pres">
      <dgm:prSet presAssocID="{73B2AEAF-1C98-483C-8FE9-1EB760D23765}" presName="parentNode" presStyleLbl="node1" presStyleIdx="0" presStyleCnt="2">
        <dgm:presLayoutVars>
          <dgm:chMax val="0"/>
          <dgm:bulletEnabled val="1"/>
        </dgm:presLayoutVars>
      </dgm:prSet>
      <dgm:spPr/>
      <dgm:t>
        <a:bodyPr/>
        <a:lstStyle/>
        <a:p>
          <a:endParaRPr lang="en-AU"/>
        </a:p>
      </dgm:t>
    </dgm:pt>
    <dgm:pt modelId="{5BA70862-8CD4-4754-8340-F1AA6F2B6D33}" type="pres">
      <dgm:prSet presAssocID="{73B2AEAF-1C98-483C-8FE9-1EB760D23765}" presName="childNode" presStyleLbl="node1" presStyleIdx="0" presStyleCnt="2">
        <dgm:presLayoutVars>
          <dgm:bulletEnabled val="1"/>
        </dgm:presLayoutVars>
      </dgm:prSet>
      <dgm:spPr>
        <a:prstGeom prst="rect">
          <a:avLst/>
        </a:prstGeom>
      </dgm:spPr>
      <dgm:t>
        <a:bodyPr/>
        <a:lstStyle/>
        <a:p>
          <a:endParaRPr lang="en-AU"/>
        </a:p>
      </dgm:t>
    </dgm:pt>
    <dgm:pt modelId="{C41541EA-4FA4-4AFB-8632-79E7EDBECF3F}" type="pres">
      <dgm:prSet presAssocID="{469EE93D-CCBB-4219-B205-F0135320E231}" presName="hSp" presStyleCnt="0"/>
      <dgm:spPr/>
    </dgm:pt>
    <dgm:pt modelId="{82D18F60-6258-43F9-80AA-C3A6B460CACF}" type="pres">
      <dgm:prSet presAssocID="{469EE93D-CCBB-4219-B205-F0135320E231}" presName="vProcSp" presStyleCnt="0"/>
      <dgm:spPr/>
    </dgm:pt>
    <dgm:pt modelId="{7BBFB510-0ED1-4AF1-8ABF-3E55CC3378B9}" type="pres">
      <dgm:prSet presAssocID="{469EE93D-CCBB-4219-B205-F0135320E231}" presName="vSp1" presStyleCnt="0"/>
      <dgm:spPr/>
    </dgm:pt>
    <dgm:pt modelId="{B69A4D15-46DA-4831-A682-3B9C690822D2}" type="pres">
      <dgm:prSet presAssocID="{469EE93D-CCBB-4219-B205-F0135320E231}" presName="simulatedConn" presStyleLbl="solidFgAcc1" presStyleIdx="0" presStyleCnt="1" custScaleX="235945" custScaleY="194384"/>
      <dgm:spPr>
        <a:xfrm rot="5400000">
          <a:off x="2617424" y="1355364"/>
          <a:ext cx="556059" cy="896663"/>
        </a:xfrm>
        <a:prstGeom prst="flowChartExtract">
          <a:avLst/>
        </a:prstGeom>
        <a:solidFill>
          <a:srgbClr val="5A5098"/>
        </a:solidFill>
        <a:ln w="12700" cap="flat" cmpd="sng" algn="ctr">
          <a:noFill/>
          <a:prstDash val="solid"/>
          <a:miter lim="800000"/>
        </a:ln>
        <a:effectLst>
          <a:outerShdw blurRad="50800" dist="38100" dir="2700000" algn="tl" rotWithShape="0">
            <a:prstClr val="black">
              <a:alpha val="40000"/>
            </a:prstClr>
          </a:outerShdw>
        </a:effectLst>
      </dgm:spPr>
      <dgm:t>
        <a:bodyPr/>
        <a:lstStyle/>
        <a:p>
          <a:endParaRPr lang="en-AU"/>
        </a:p>
      </dgm:t>
    </dgm:pt>
    <dgm:pt modelId="{D6E86BB3-BD8D-46EE-AAB0-35D29DC239CD}" type="pres">
      <dgm:prSet presAssocID="{469EE93D-CCBB-4219-B205-F0135320E231}" presName="vSp2" presStyleCnt="0"/>
      <dgm:spPr/>
    </dgm:pt>
    <dgm:pt modelId="{BF049829-0F2A-4F39-89CE-A36CA62B70DC}" type="pres">
      <dgm:prSet presAssocID="{469EE93D-CCBB-4219-B205-F0135320E231}" presName="sibTrans" presStyleCnt="0"/>
      <dgm:spPr/>
    </dgm:pt>
    <dgm:pt modelId="{9787F337-6D00-4495-AAC4-50F671DE0368}" type="pres">
      <dgm:prSet presAssocID="{60339268-E571-4D14-9011-05A0305D47A9}" presName="compositeNode" presStyleCnt="0">
        <dgm:presLayoutVars>
          <dgm:bulletEnabled val="1"/>
        </dgm:presLayoutVars>
      </dgm:prSet>
      <dgm:spPr/>
    </dgm:pt>
    <dgm:pt modelId="{7DE8C76F-2853-4609-A8E6-63E37988E462}" type="pres">
      <dgm:prSet presAssocID="{60339268-E571-4D14-9011-05A0305D47A9}" presName="bgRect" presStyleLbl="node1" presStyleIdx="1" presStyleCnt="2"/>
      <dgm:spPr>
        <a:prstGeom prst="roundRect">
          <a:avLst>
            <a:gd name="adj" fmla="val 5000"/>
          </a:avLst>
        </a:prstGeom>
      </dgm:spPr>
      <dgm:t>
        <a:bodyPr/>
        <a:lstStyle/>
        <a:p>
          <a:endParaRPr lang="en-AU"/>
        </a:p>
      </dgm:t>
    </dgm:pt>
    <dgm:pt modelId="{553FDD65-06AB-47F2-9C73-71C426335076}" type="pres">
      <dgm:prSet presAssocID="{60339268-E571-4D14-9011-05A0305D47A9}" presName="parentNode" presStyleLbl="node1" presStyleIdx="1" presStyleCnt="2">
        <dgm:presLayoutVars>
          <dgm:chMax val="0"/>
          <dgm:bulletEnabled val="1"/>
        </dgm:presLayoutVars>
      </dgm:prSet>
      <dgm:spPr/>
      <dgm:t>
        <a:bodyPr/>
        <a:lstStyle/>
        <a:p>
          <a:endParaRPr lang="en-AU"/>
        </a:p>
      </dgm:t>
    </dgm:pt>
    <dgm:pt modelId="{56FFBF0D-2F11-4D8D-B89B-2B527555263D}" type="pres">
      <dgm:prSet presAssocID="{60339268-E571-4D14-9011-05A0305D47A9}" presName="childNode" presStyleLbl="node1" presStyleIdx="1" presStyleCnt="2">
        <dgm:presLayoutVars>
          <dgm:bulletEnabled val="1"/>
        </dgm:presLayoutVars>
      </dgm:prSet>
      <dgm:spPr>
        <a:prstGeom prst="rect">
          <a:avLst/>
        </a:prstGeom>
      </dgm:spPr>
      <dgm:t>
        <a:bodyPr/>
        <a:lstStyle/>
        <a:p>
          <a:endParaRPr lang="en-AU"/>
        </a:p>
      </dgm:t>
    </dgm:pt>
  </dgm:ptLst>
  <dgm:cxnLst>
    <dgm:cxn modelId="{8850D3CC-17FA-4D08-B5F2-9593B3A63D91}" type="presOf" srcId="{73B2AEAF-1C98-483C-8FE9-1EB760D23765}" destId="{910D0492-DC0D-44AD-8A86-D3910D698604}" srcOrd="1" destOrd="0" presId="urn:microsoft.com/office/officeart/2005/8/layout/hProcess7"/>
    <dgm:cxn modelId="{4C6E8DC5-C6BD-43C2-9D8D-A0631EB96DF0}" type="presOf" srcId="{FAA66EB6-D68A-46C3-8591-425493104195}" destId="{5BA70862-8CD4-4754-8340-F1AA6F2B6D33}" srcOrd="0" destOrd="1" presId="urn:microsoft.com/office/officeart/2005/8/layout/hProcess7"/>
    <dgm:cxn modelId="{7176BAD1-C8AA-4731-A0B4-C55257E3EEAC}" srcId="{11F7DAE7-5BFA-4E17-A346-BAA8376A2E16}" destId="{73B2AEAF-1C98-483C-8FE9-1EB760D23765}" srcOrd="0" destOrd="0" parTransId="{7888CA8F-DCE1-4043-8615-24658B2E96D1}" sibTransId="{469EE93D-CCBB-4219-B205-F0135320E231}"/>
    <dgm:cxn modelId="{002BEF68-F311-4FF4-913B-55E51DFB612B}" srcId="{60339268-E571-4D14-9011-05A0305D47A9}" destId="{1961C0D7-DFF6-44CD-8E79-D1F3440BA45E}" srcOrd="0" destOrd="0" parTransId="{EC20F96D-E469-4C50-A48D-88F04D1D4A73}" sibTransId="{50C04975-8400-4FC2-9B9E-43F4659524C7}"/>
    <dgm:cxn modelId="{EEEB75B7-175F-4AD1-8967-DCEF0C8081D4}" type="presOf" srcId="{60339268-E571-4D14-9011-05A0305D47A9}" destId="{553FDD65-06AB-47F2-9C73-71C426335076}" srcOrd="1" destOrd="0" presId="urn:microsoft.com/office/officeart/2005/8/layout/hProcess7"/>
    <dgm:cxn modelId="{35BA687C-7B98-4A84-865F-45F281010ED9}" type="presOf" srcId="{11F7DAE7-5BFA-4E17-A346-BAA8376A2E16}" destId="{B9E1F392-EFDD-43B2-8A54-6361C8208DFC}" srcOrd="0" destOrd="0" presId="urn:microsoft.com/office/officeart/2005/8/layout/hProcess7"/>
    <dgm:cxn modelId="{1F9B48E3-8280-489F-B6FC-0E3243521985}" srcId="{11F7DAE7-5BFA-4E17-A346-BAA8376A2E16}" destId="{60339268-E571-4D14-9011-05A0305D47A9}" srcOrd="1" destOrd="0" parTransId="{3F35929E-0D1A-49A6-B830-98BA70460034}" sibTransId="{8351FD1E-E9D3-463F-9EDF-F0828D6072D4}"/>
    <dgm:cxn modelId="{FB117A3B-0669-4504-961A-013C528D83FD}" type="presOf" srcId="{1961C0D7-DFF6-44CD-8E79-D1F3440BA45E}" destId="{56FFBF0D-2F11-4D8D-B89B-2B527555263D}" srcOrd="0" destOrd="0" presId="urn:microsoft.com/office/officeart/2005/8/layout/hProcess7"/>
    <dgm:cxn modelId="{15081FE0-3496-4B9A-A015-D3A6D1F5192D}" type="presOf" srcId="{60339268-E571-4D14-9011-05A0305D47A9}" destId="{7DE8C76F-2853-4609-A8E6-63E37988E462}" srcOrd="0" destOrd="0" presId="urn:microsoft.com/office/officeart/2005/8/layout/hProcess7"/>
    <dgm:cxn modelId="{AE67AFF2-EDEB-46E6-98CC-325B2B693CB3}" type="presOf" srcId="{B78C4C10-4C32-41F4-B571-5CC018614B52}" destId="{5BA70862-8CD4-4754-8340-F1AA6F2B6D33}" srcOrd="0" destOrd="0" presId="urn:microsoft.com/office/officeart/2005/8/layout/hProcess7"/>
    <dgm:cxn modelId="{6D924DAD-9395-4714-8BC6-3A73C2886E74}" type="presOf" srcId="{17CA9519-8CA0-4F4E-BBFD-E01345DA1497}" destId="{5BA70862-8CD4-4754-8340-F1AA6F2B6D33}" srcOrd="0" destOrd="2" presId="urn:microsoft.com/office/officeart/2005/8/layout/hProcess7"/>
    <dgm:cxn modelId="{2C844527-D063-4A65-A712-83E2B7D158FF}" type="presOf" srcId="{73B2AEAF-1C98-483C-8FE9-1EB760D23765}" destId="{60DAE95B-9499-4A56-A9EF-EA99B454DBB5}" srcOrd="0" destOrd="0" presId="urn:microsoft.com/office/officeart/2005/8/layout/hProcess7"/>
    <dgm:cxn modelId="{8A986808-427A-44FB-AB7E-15CAAF011148}" type="presOf" srcId="{88D55513-7191-4A61-AA43-5DDF752E8056}" destId="{5BA70862-8CD4-4754-8340-F1AA6F2B6D33}" srcOrd="0" destOrd="3" presId="urn:microsoft.com/office/officeart/2005/8/layout/hProcess7"/>
    <dgm:cxn modelId="{25FDB214-0CA9-423F-AC73-495EB21E799E}" srcId="{73B2AEAF-1C98-483C-8FE9-1EB760D23765}" destId="{B78C4C10-4C32-41F4-B571-5CC018614B52}" srcOrd="0" destOrd="0" parTransId="{188FADF3-856C-4E96-92B7-7D67CD18BF7F}" sibTransId="{110A0213-F899-4701-9210-D6CFF7DD2E45}"/>
    <dgm:cxn modelId="{AD0974F1-4FA9-446F-B01D-7CF97F3E4BD3}" srcId="{73B2AEAF-1C98-483C-8FE9-1EB760D23765}" destId="{17CA9519-8CA0-4F4E-BBFD-E01345DA1497}" srcOrd="2" destOrd="0" parTransId="{B6D34BCB-A061-4E07-A5F3-EAF3B874C830}" sibTransId="{2F70CA3E-A60F-4089-B6E9-0B621E8EF50A}"/>
    <dgm:cxn modelId="{7C9F091B-5BC0-47A5-A6BE-D60880500B67}" srcId="{73B2AEAF-1C98-483C-8FE9-1EB760D23765}" destId="{FAA66EB6-D68A-46C3-8591-425493104195}" srcOrd="1" destOrd="0" parTransId="{A11797F2-11D6-42DD-BEB3-1F17E9CA1F2F}" sibTransId="{15CE3076-0CC0-43D9-B1FF-E1EA69B98E79}"/>
    <dgm:cxn modelId="{78076A18-9294-40EC-BFEA-11B60AF024BD}" srcId="{73B2AEAF-1C98-483C-8FE9-1EB760D23765}" destId="{88D55513-7191-4A61-AA43-5DDF752E8056}" srcOrd="3" destOrd="0" parTransId="{0F25075B-3885-42AA-8BC5-0FD6735A9D52}" sibTransId="{2773C684-BE59-4E42-B516-ED8D9E77CAEA}"/>
    <dgm:cxn modelId="{3958B525-8F0B-4D84-9F7B-AEE89D41F7A2}" type="presParOf" srcId="{B9E1F392-EFDD-43B2-8A54-6361C8208DFC}" destId="{BEB6B4CE-B25E-44EF-93C5-A64633034108}" srcOrd="0" destOrd="0" presId="urn:microsoft.com/office/officeart/2005/8/layout/hProcess7"/>
    <dgm:cxn modelId="{8C021BFE-9A01-44D6-BB93-2DCD638ED330}" type="presParOf" srcId="{BEB6B4CE-B25E-44EF-93C5-A64633034108}" destId="{60DAE95B-9499-4A56-A9EF-EA99B454DBB5}" srcOrd="0" destOrd="0" presId="urn:microsoft.com/office/officeart/2005/8/layout/hProcess7"/>
    <dgm:cxn modelId="{71F84A64-1E82-46C5-BFC2-3E078091BA45}" type="presParOf" srcId="{BEB6B4CE-B25E-44EF-93C5-A64633034108}" destId="{910D0492-DC0D-44AD-8A86-D3910D698604}" srcOrd="1" destOrd="0" presId="urn:microsoft.com/office/officeart/2005/8/layout/hProcess7"/>
    <dgm:cxn modelId="{C31F3D23-D173-4D0E-A65E-DE632761450F}" type="presParOf" srcId="{BEB6B4CE-B25E-44EF-93C5-A64633034108}" destId="{5BA70862-8CD4-4754-8340-F1AA6F2B6D33}" srcOrd="2" destOrd="0" presId="urn:microsoft.com/office/officeart/2005/8/layout/hProcess7"/>
    <dgm:cxn modelId="{073F682B-7844-401B-A555-0F892640B820}" type="presParOf" srcId="{B9E1F392-EFDD-43B2-8A54-6361C8208DFC}" destId="{C41541EA-4FA4-4AFB-8632-79E7EDBECF3F}" srcOrd="1" destOrd="0" presId="urn:microsoft.com/office/officeart/2005/8/layout/hProcess7"/>
    <dgm:cxn modelId="{51F89A42-F2C1-42A3-A59D-331384455AB2}" type="presParOf" srcId="{B9E1F392-EFDD-43B2-8A54-6361C8208DFC}" destId="{82D18F60-6258-43F9-80AA-C3A6B460CACF}" srcOrd="2" destOrd="0" presId="urn:microsoft.com/office/officeart/2005/8/layout/hProcess7"/>
    <dgm:cxn modelId="{7B3A38EF-34F3-4916-A16A-37755DFF73C2}" type="presParOf" srcId="{82D18F60-6258-43F9-80AA-C3A6B460CACF}" destId="{7BBFB510-0ED1-4AF1-8ABF-3E55CC3378B9}" srcOrd="0" destOrd="0" presId="urn:microsoft.com/office/officeart/2005/8/layout/hProcess7"/>
    <dgm:cxn modelId="{A85EEC67-90C0-4866-B890-4297A9E5CCB9}" type="presParOf" srcId="{82D18F60-6258-43F9-80AA-C3A6B460CACF}" destId="{B69A4D15-46DA-4831-A682-3B9C690822D2}" srcOrd="1" destOrd="0" presId="urn:microsoft.com/office/officeart/2005/8/layout/hProcess7"/>
    <dgm:cxn modelId="{8628CB3C-6E9F-4BFF-A5D9-5C269A6D14D7}" type="presParOf" srcId="{82D18F60-6258-43F9-80AA-C3A6B460CACF}" destId="{D6E86BB3-BD8D-46EE-AAB0-35D29DC239CD}" srcOrd="2" destOrd="0" presId="urn:microsoft.com/office/officeart/2005/8/layout/hProcess7"/>
    <dgm:cxn modelId="{397727ED-6C20-48C9-9D3B-97FF7BEC5AD0}" type="presParOf" srcId="{B9E1F392-EFDD-43B2-8A54-6361C8208DFC}" destId="{BF049829-0F2A-4F39-89CE-A36CA62B70DC}" srcOrd="3" destOrd="0" presId="urn:microsoft.com/office/officeart/2005/8/layout/hProcess7"/>
    <dgm:cxn modelId="{FEDCD5AB-FBCB-4951-89CC-74916399C748}" type="presParOf" srcId="{B9E1F392-EFDD-43B2-8A54-6361C8208DFC}" destId="{9787F337-6D00-4495-AAC4-50F671DE0368}" srcOrd="4" destOrd="0" presId="urn:microsoft.com/office/officeart/2005/8/layout/hProcess7"/>
    <dgm:cxn modelId="{CD557FFF-96F2-4B30-92E4-19FAF5C5C4C0}" type="presParOf" srcId="{9787F337-6D00-4495-AAC4-50F671DE0368}" destId="{7DE8C76F-2853-4609-A8E6-63E37988E462}" srcOrd="0" destOrd="0" presId="urn:microsoft.com/office/officeart/2005/8/layout/hProcess7"/>
    <dgm:cxn modelId="{6FEB1173-E4C1-4E0C-946D-7B847FB45FCC}" type="presParOf" srcId="{9787F337-6D00-4495-AAC4-50F671DE0368}" destId="{553FDD65-06AB-47F2-9C73-71C426335076}" srcOrd="1" destOrd="0" presId="urn:microsoft.com/office/officeart/2005/8/layout/hProcess7"/>
    <dgm:cxn modelId="{9C8793CC-765E-462E-94C2-9C185D7B12FE}" type="presParOf" srcId="{9787F337-6D00-4495-AAC4-50F671DE0368}" destId="{56FFBF0D-2F11-4D8D-B89B-2B527555263D}" srcOrd="2" destOrd="0" presId="urn:microsoft.com/office/officeart/2005/8/layout/hProcess7"/>
  </dgm:cxnLst>
  <dgm:bg/>
  <dgm:whole>
    <a:ln>
      <a:noFill/>
    </a:ln>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02C0A8-D2C6-4567-BE76-AF5742DF8E88}">
      <dsp:nvSpPr>
        <dsp:cNvPr id="0" name=""/>
        <dsp:cNvSpPr/>
      </dsp:nvSpPr>
      <dsp:spPr>
        <a:xfrm>
          <a:off x="438357" y="116873"/>
          <a:ext cx="2393751" cy="2377093"/>
        </a:xfrm>
        <a:prstGeom prst="pie">
          <a:avLst>
            <a:gd name="adj1" fmla="val 16200000"/>
            <a:gd name="adj2" fmla="val 1800000"/>
          </a:avLst>
        </a:prstGeom>
        <a:solidFill>
          <a:srgbClr val="5A5098"/>
        </a:solidFill>
        <a:ln w="12700" cap="flat" cmpd="sng" algn="ctr">
          <a:solidFill>
            <a:srgbClr val="E6E7F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b="1" kern="1200">
              <a:solidFill>
                <a:sysClr val="window" lastClr="FFFFFF"/>
              </a:solidFill>
              <a:latin typeface="Calibri Light" panose="020F0302020204030204"/>
              <a:ea typeface="+mn-ea"/>
              <a:cs typeface="+mn-cs"/>
            </a:rPr>
            <a:t>Assess a given situation for gender equality issues</a:t>
          </a:r>
        </a:p>
      </dsp:txBody>
      <dsp:txXfrm>
        <a:off x="1699921" y="620590"/>
        <a:ext cx="854911" cy="707468"/>
      </dsp:txXfrm>
    </dsp:sp>
    <dsp:sp modelId="{B96D7E1C-01C7-43F3-97FB-666B1B87164F}">
      <dsp:nvSpPr>
        <dsp:cNvPr id="0" name=""/>
        <dsp:cNvSpPr/>
      </dsp:nvSpPr>
      <dsp:spPr>
        <a:xfrm>
          <a:off x="312602" y="93844"/>
          <a:ext cx="2549159" cy="2589801"/>
        </a:xfrm>
        <a:prstGeom prst="pie">
          <a:avLst>
            <a:gd name="adj1" fmla="val 1800000"/>
            <a:gd name="adj2" fmla="val 9000000"/>
          </a:avLst>
        </a:prstGeom>
        <a:solidFill>
          <a:srgbClr val="5A5098"/>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b="1" kern="1200">
              <a:solidFill>
                <a:sysClr val="window" lastClr="FFFFFF"/>
              </a:solidFill>
              <a:uFillTx/>
              <a:latin typeface="Calibri Light" panose="020F0302020204030204"/>
              <a:ea typeface="+mn-ea"/>
              <a:cs typeface="+mn-cs"/>
            </a:rPr>
            <a:t>Develop responses to close key gender gaps</a:t>
          </a:r>
          <a:endParaRPr lang="en-AU" sz="1000" b="1" kern="1200">
            <a:solidFill>
              <a:sysClr val="window" lastClr="FFFFFF"/>
            </a:solidFill>
            <a:latin typeface="Calibri Light" panose="020F0302020204030204"/>
            <a:ea typeface="+mn-ea"/>
            <a:cs typeface="+mn-cs"/>
          </a:endParaRPr>
        </a:p>
      </dsp:txBody>
      <dsp:txXfrm>
        <a:off x="919545" y="1774132"/>
        <a:ext cx="1365621" cy="678281"/>
      </dsp:txXfrm>
    </dsp:sp>
    <dsp:sp modelId="{C027334C-31E2-4F59-8FF4-50DAA5B987A8}">
      <dsp:nvSpPr>
        <dsp:cNvPr id="0" name=""/>
        <dsp:cNvSpPr/>
      </dsp:nvSpPr>
      <dsp:spPr>
        <a:xfrm>
          <a:off x="345650" y="138874"/>
          <a:ext cx="2386962" cy="2333091"/>
        </a:xfrm>
        <a:prstGeom prst="pie">
          <a:avLst>
            <a:gd name="adj1" fmla="val 9000000"/>
            <a:gd name="adj2" fmla="val 16200000"/>
          </a:avLst>
        </a:prstGeom>
        <a:solidFill>
          <a:srgbClr val="5A5098"/>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b="1" kern="1200">
              <a:solidFill>
                <a:sysClr val="window" lastClr="FFFFFF"/>
              </a:solidFill>
              <a:latin typeface="Calibri Light" panose="020F0302020204030204"/>
              <a:ea typeface="+mn-ea"/>
              <a:cs typeface="+mn-cs"/>
            </a:rPr>
            <a:t>Redress gender inequalities</a:t>
          </a:r>
        </a:p>
      </dsp:txBody>
      <dsp:txXfrm>
        <a:off x="622140" y="633267"/>
        <a:ext cx="852486" cy="694372"/>
      </dsp:txXfrm>
    </dsp:sp>
    <dsp:sp modelId="{4FB37DFB-E3EE-4A61-8B6C-B5C6AD28BB2A}">
      <dsp:nvSpPr>
        <dsp:cNvPr id="0" name=""/>
        <dsp:cNvSpPr/>
      </dsp:nvSpPr>
      <dsp:spPr>
        <a:xfrm>
          <a:off x="323982" y="-5894"/>
          <a:ext cx="2621950" cy="2621950"/>
        </a:xfrm>
        <a:prstGeom prst="circularArrow">
          <a:avLst>
            <a:gd name="adj1" fmla="val 5085"/>
            <a:gd name="adj2" fmla="val 327528"/>
            <a:gd name="adj3" fmla="val 1472472"/>
            <a:gd name="adj4" fmla="val 16199432"/>
            <a:gd name="adj5" fmla="val 5932"/>
          </a:avLst>
        </a:prstGeom>
        <a:solidFill>
          <a:srgbClr val="D1D3E7"/>
        </a:solidFill>
        <a:ln>
          <a:solidFill>
            <a:srgbClr val="5A5098"/>
          </a:solidFill>
        </a:ln>
        <a:effectLst/>
      </dsp:spPr>
      <dsp:style>
        <a:lnRef idx="0">
          <a:scrgbClr r="0" g="0" b="0"/>
        </a:lnRef>
        <a:fillRef idx="1">
          <a:scrgbClr r="0" g="0" b="0"/>
        </a:fillRef>
        <a:effectRef idx="0">
          <a:scrgbClr r="0" g="0" b="0"/>
        </a:effectRef>
        <a:fontRef idx="minor">
          <a:schemeClr val="lt1"/>
        </a:fontRef>
      </dsp:style>
    </dsp:sp>
    <dsp:sp modelId="{69C1655B-9ABE-49C9-81F6-E424C5204B36}">
      <dsp:nvSpPr>
        <dsp:cNvPr id="0" name=""/>
        <dsp:cNvSpPr/>
      </dsp:nvSpPr>
      <dsp:spPr>
        <a:xfrm>
          <a:off x="226519" y="55190"/>
          <a:ext cx="2717992" cy="2722476"/>
        </a:xfrm>
        <a:prstGeom prst="circularArrow">
          <a:avLst>
            <a:gd name="adj1" fmla="val 5085"/>
            <a:gd name="adj2" fmla="val 327528"/>
            <a:gd name="adj3" fmla="val 8671970"/>
            <a:gd name="adj4" fmla="val 1800502"/>
            <a:gd name="adj5" fmla="val 5932"/>
          </a:avLst>
        </a:prstGeom>
        <a:solidFill>
          <a:srgbClr val="D1D3E7"/>
        </a:solidFill>
        <a:ln>
          <a:solidFill>
            <a:srgbClr val="5A5098"/>
          </a:solidFill>
        </a:ln>
        <a:effectLst/>
      </dsp:spPr>
      <dsp:style>
        <a:lnRef idx="0">
          <a:scrgbClr r="0" g="0" b="0"/>
        </a:lnRef>
        <a:fillRef idx="1">
          <a:scrgbClr r="0" g="0" b="0"/>
        </a:fillRef>
        <a:effectRef idx="0">
          <a:scrgbClr r="0" g="0" b="0"/>
        </a:effectRef>
        <a:fontRef idx="minor">
          <a:schemeClr val="lt1"/>
        </a:fontRef>
      </dsp:style>
    </dsp:sp>
    <dsp:sp modelId="{314AA38F-E9D4-42E1-9634-8B622C9C4695}">
      <dsp:nvSpPr>
        <dsp:cNvPr id="0" name=""/>
        <dsp:cNvSpPr/>
      </dsp:nvSpPr>
      <dsp:spPr>
        <a:xfrm>
          <a:off x="227548" y="-5554"/>
          <a:ext cx="2621950" cy="2621950"/>
        </a:xfrm>
        <a:prstGeom prst="circularArrow">
          <a:avLst>
            <a:gd name="adj1" fmla="val 5085"/>
            <a:gd name="adj2" fmla="val 327528"/>
            <a:gd name="adj3" fmla="val 15873039"/>
            <a:gd name="adj4" fmla="val 9000000"/>
            <a:gd name="adj5" fmla="val 5932"/>
          </a:avLst>
        </a:prstGeom>
        <a:solidFill>
          <a:srgbClr val="D1D3E7"/>
        </a:solidFill>
        <a:ln>
          <a:solidFill>
            <a:srgbClr val="5A5098"/>
          </a:solidFill>
        </a:ln>
        <a:effectLst/>
      </dsp:spPr>
      <dsp:style>
        <a:lnRef idx="0">
          <a:scrgbClr r="0" g="0" b="0"/>
        </a:lnRef>
        <a:fillRef idx="1">
          <a:scrgbClr r="0" g="0" b="0"/>
        </a:fillRef>
        <a:effectRef idx="0">
          <a:scrgbClr r="0" g="0" b="0"/>
        </a:effectRef>
        <a:fontRef idx="minor">
          <a:schemeClr val="lt1"/>
        </a:fontRef>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DAE95B-9499-4A56-A9EF-EA99B454DBB5}">
      <dsp:nvSpPr>
        <dsp:cNvPr id="0" name=""/>
        <dsp:cNvSpPr/>
      </dsp:nvSpPr>
      <dsp:spPr>
        <a:xfrm>
          <a:off x="2278" y="0"/>
          <a:ext cx="2556209" cy="2735368"/>
        </a:xfrm>
        <a:prstGeom prst="roundRect">
          <a:avLst>
            <a:gd name="adj" fmla="val 5000"/>
          </a:avLst>
        </a:prstGeom>
        <a:noFill/>
        <a:ln w="12700" cap="flat" cmpd="sng" algn="ctr">
          <a:solidFill>
            <a:srgbClr val="E6E7F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99441" rIns="128905" bIns="0" numCol="1" spcCol="1270" anchor="t" anchorCtr="0">
          <a:noAutofit/>
        </a:bodyPr>
        <a:lstStyle/>
        <a:p>
          <a:pPr lvl="0" algn="r" defTabSz="1289050">
            <a:lnSpc>
              <a:spcPct val="90000"/>
            </a:lnSpc>
            <a:spcBef>
              <a:spcPct val="0"/>
            </a:spcBef>
            <a:spcAft>
              <a:spcPct val="35000"/>
            </a:spcAft>
          </a:pPr>
          <a:endParaRPr lang="en-AU" sz="2900" kern="1200">
            <a:solidFill>
              <a:sysClr val="window" lastClr="FFFFFF"/>
            </a:solidFill>
            <a:latin typeface="Calibri" panose="020F0502020204030204"/>
            <a:ea typeface="+mn-ea"/>
            <a:cs typeface="+mn-cs"/>
          </a:endParaRPr>
        </a:p>
      </dsp:txBody>
      <dsp:txXfrm rot="16200000">
        <a:off x="-863601" y="865879"/>
        <a:ext cx="2243001" cy="511241"/>
      </dsp:txXfrm>
    </dsp:sp>
    <dsp:sp modelId="{5BA70862-8CD4-4754-8340-F1AA6F2B6D33}">
      <dsp:nvSpPr>
        <dsp:cNvPr id="0" name=""/>
        <dsp:cNvSpPr/>
      </dsp:nvSpPr>
      <dsp:spPr>
        <a:xfrm>
          <a:off x="513520" y="0"/>
          <a:ext cx="1904376" cy="273536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endParaRPr lang="en-AU" sz="1100" b="1" kern="1200">
            <a:solidFill>
              <a:sysClr val="windowText" lastClr="000000"/>
            </a:solidFill>
            <a:latin typeface="Calibri" panose="020F0502020204030204"/>
            <a:ea typeface="+mn-ea"/>
            <a:cs typeface="+mn-cs"/>
          </a:endParaRPr>
        </a:p>
        <a:p>
          <a:pPr lvl="0" algn="l" defTabSz="488950">
            <a:lnSpc>
              <a:spcPct val="90000"/>
            </a:lnSpc>
            <a:spcBef>
              <a:spcPct val="0"/>
            </a:spcBef>
            <a:spcAft>
              <a:spcPct val="35000"/>
            </a:spcAft>
          </a:pPr>
          <a:r>
            <a:rPr lang="en-AU" sz="1100" b="1" kern="1200">
              <a:solidFill>
                <a:sysClr val="windowText" lastClr="000000"/>
              </a:solidFill>
              <a:latin typeface="Calibri" panose="020F0502020204030204"/>
              <a:ea typeface="+mn-ea"/>
              <a:cs typeface="+mn-cs"/>
            </a:rPr>
            <a:t>Further investigation</a:t>
          </a:r>
        </a:p>
        <a:p>
          <a:pPr lvl="0" algn="l" defTabSz="488950">
            <a:lnSpc>
              <a:spcPct val="90000"/>
            </a:lnSpc>
            <a:spcBef>
              <a:spcPct val="0"/>
            </a:spcBef>
            <a:spcAft>
              <a:spcPts val="600"/>
            </a:spcAft>
          </a:pPr>
          <a:r>
            <a:rPr lang="en-AU" sz="1100" kern="1200">
              <a:solidFill>
                <a:sysClr val="windowText" lastClr="000000"/>
              </a:solidFill>
              <a:latin typeface="Calibri" panose="020F0502020204030204"/>
              <a:ea typeface="+mn-ea"/>
              <a:cs typeface="+mn-cs"/>
            </a:rPr>
            <a:t>When compelled to show some action on a gender gap or discrimination issue, leaders suggest a research project because 'we don't know enough about this problem' – effectively postponing any action. </a:t>
          </a:r>
        </a:p>
        <a:p>
          <a:pPr lvl="0" defTabSz="488950">
            <a:lnSpc>
              <a:spcPct val="90000"/>
            </a:lnSpc>
            <a:spcBef>
              <a:spcPct val="0"/>
            </a:spcBef>
            <a:spcAft>
              <a:spcPct val="35000"/>
            </a:spcAft>
          </a:pPr>
          <a:endParaRPr lang="en-AU" sz="1100" kern="1200">
            <a:solidFill>
              <a:sysClr val="windowText" lastClr="000000"/>
            </a:solidFill>
            <a:latin typeface="Calibri" panose="020F0502020204030204"/>
            <a:ea typeface="+mn-ea"/>
            <a:cs typeface="+mn-cs"/>
          </a:endParaRPr>
        </a:p>
      </dsp:txBody>
      <dsp:txXfrm>
        <a:off x="513520" y="0"/>
        <a:ext cx="1904376" cy="2735368"/>
      </dsp:txXfrm>
    </dsp:sp>
    <dsp:sp modelId="{7DE8C76F-2853-4609-A8E6-63E37988E462}">
      <dsp:nvSpPr>
        <dsp:cNvPr id="0" name=""/>
        <dsp:cNvSpPr/>
      </dsp:nvSpPr>
      <dsp:spPr>
        <a:xfrm>
          <a:off x="3048302" y="0"/>
          <a:ext cx="2556209" cy="2735368"/>
        </a:xfrm>
        <a:prstGeom prst="roundRect">
          <a:avLst>
            <a:gd name="adj" fmla="val 5000"/>
          </a:avLst>
        </a:prstGeom>
        <a:solidFill>
          <a:srgbClr val="E6E7F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99441" rIns="128905" bIns="0" numCol="1" spcCol="1270" anchor="t" anchorCtr="0">
          <a:noAutofit/>
        </a:bodyPr>
        <a:lstStyle/>
        <a:p>
          <a:pPr lvl="0" algn="r" defTabSz="1289050">
            <a:lnSpc>
              <a:spcPct val="90000"/>
            </a:lnSpc>
            <a:spcBef>
              <a:spcPct val="0"/>
            </a:spcBef>
            <a:spcAft>
              <a:spcPct val="35000"/>
            </a:spcAft>
          </a:pPr>
          <a:endParaRPr lang="en-AU" sz="2900" kern="1200">
            <a:solidFill>
              <a:sysClr val="window" lastClr="FFFFFF"/>
            </a:solidFill>
            <a:latin typeface="Calibri" panose="020F0502020204030204"/>
            <a:ea typeface="+mn-ea"/>
            <a:cs typeface="+mn-cs"/>
          </a:endParaRPr>
        </a:p>
      </dsp:txBody>
      <dsp:txXfrm rot="16200000">
        <a:off x="2182423" y="865879"/>
        <a:ext cx="2243001" cy="511241"/>
      </dsp:txXfrm>
    </dsp:sp>
    <dsp:sp modelId="{B69A4D15-46DA-4831-A682-3B9C690822D2}">
      <dsp:nvSpPr>
        <dsp:cNvPr id="0" name=""/>
        <dsp:cNvSpPr/>
      </dsp:nvSpPr>
      <dsp:spPr>
        <a:xfrm rot="5400000">
          <a:off x="2626300" y="1980778"/>
          <a:ext cx="423888" cy="904687"/>
        </a:xfrm>
        <a:prstGeom prst="flowChartExtract">
          <a:avLst/>
        </a:prstGeom>
        <a:solidFill>
          <a:srgbClr val="5A5098"/>
        </a:solidFill>
        <a:ln w="12700" cap="flat" cmpd="sng" algn="ctr">
          <a:no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dsp:style>
    </dsp:sp>
    <dsp:sp modelId="{56FFBF0D-2F11-4D8D-B89B-2B527555263D}">
      <dsp:nvSpPr>
        <dsp:cNvPr id="0" name=""/>
        <dsp:cNvSpPr/>
      </dsp:nvSpPr>
      <dsp:spPr>
        <a:xfrm>
          <a:off x="3559544" y="0"/>
          <a:ext cx="1904376" cy="273536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endParaRPr lang="en-AU" sz="1100" kern="1200">
            <a:solidFill>
              <a:sysClr val="windowText" lastClr="000000"/>
            </a:solidFill>
            <a:latin typeface="Calibri" panose="020F0502020204030204"/>
            <a:ea typeface="+mn-ea"/>
            <a:cs typeface="+mn-cs"/>
          </a:endParaRPr>
        </a:p>
        <a:p>
          <a:pPr lvl="0" algn="l" defTabSz="488950">
            <a:lnSpc>
              <a:spcPct val="90000"/>
            </a:lnSpc>
            <a:spcBef>
              <a:spcPct val="0"/>
            </a:spcBef>
            <a:spcAft>
              <a:spcPts val="600"/>
            </a:spcAft>
          </a:pPr>
          <a:r>
            <a:rPr lang="en-AU" sz="1100" kern="1200">
              <a:solidFill>
                <a:sysClr val="windowText" lastClr="000000"/>
              </a:solidFill>
              <a:latin typeface="Calibri" panose="020F0502020204030204"/>
              <a:ea typeface="+mn-ea"/>
              <a:cs typeface="+mn-cs"/>
            </a:rPr>
            <a:t>Agree that we can always find out more about an issue, but assert that this is not a pre-condition for action. </a:t>
          </a:r>
        </a:p>
        <a:p>
          <a:pPr lvl="0" algn="l" defTabSz="488950">
            <a:lnSpc>
              <a:spcPct val="90000"/>
            </a:lnSpc>
            <a:spcBef>
              <a:spcPct val="0"/>
            </a:spcBef>
            <a:spcAft>
              <a:spcPct val="35000"/>
            </a:spcAft>
          </a:pPr>
          <a:r>
            <a:rPr lang="en-AU" sz="1100" kern="1200">
              <a:solidFill>
                <a:sysClr val="windowText" lastClr="000000"/>
              </a:solidFill>
              <a:latin typeface="Calibri" panose="020F0502020204030204"/>
              <a:ea typeface="+mn-ea"/>
              <a:cs typeface="+mn-cs"/>
            </a:rPr>
            <a:t>Give examples of other issues where more research is needed but programs are under way. </a:t>
          </a:r>
        </a:p>
        <a:p>
          <a:pPr lvl="0" algn="l" defTabSz="488950">
            <a:lnSpc>
              <a:spcPct val="90000"/>
            </a:lnSpc>
            <a:spcBef>
              <a:spcPct val="0"/>
            </a:spcBef>
            <a:spcAft>
              <a:spcPct val="35000"/>
            </a:spcAft>
          </a:pPr>
          <a:r>
            <a:rPr lang="en-AU" sz="1100" kern="1200">
              <a:solidFill>
                <a:sysClr val="windowText" lastClr="000000"/>
              </a:solidFill>
              <a:latin typeface="Calibri" panose="020F0502020204030204"/>
              <a:ea typeface="+mn-ea"/>
              <a:cs typeface="+mn-cs"/>
            </a:rPr>
            <a:t>Suggest an initial literature review to summerise the body of evidence. </a:t>
          </a:r>
        </a:p>
        <a:p>
          <a:pPr lvl="0" algn="l" defTabSz="488950">
            <a:lnSpc>
              <a:spcPct val="90000"/>
            </a:lnSpc>
            <a:spcBef>
              <a:spcPct val="0"/>
            </a:spcBef>
            <a:spcAft>
              <a:spcPct val="35000"/>
            </a:spcAft>
          </a:pPr>
          <a:r>
            <a:rPr lang="en-AU" sz="1100" kern="1200">
              <a:solidFill>
                <a:sysClr val="windowText" lastClr="000000"/>
              </a:solidFill>
              <a:latin typeface="Calibri" panose="020F0502020204030204"/>
              <a:ea typeface="+mn-ea"/>
              <a:cs typeface="+mn-cs"/>
            </a:rPr>
            <a:t>Recommend research that is action-oriented and has delivery and review built in as a pilot phase.</a:t>
          </a:r>
        </a:p>
      </dsp:txBody>
      <dsp:txXfrm>
        <a:off x="3559544" y="0"/>
        <a:ext cx="1904376" cy="273536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DAE95B-9499-4A56-A9EF-EA99B454DBB5}">
      <dsp:nvSpPr>
        <dsp:cNvPr id="0" name=""/>
        <dsp:cNvSpPr/>
      </dsp:nvSpPr>
      <dsp:spPr>
        <a:xfrm>
          <a:off x="2258" y="62186"/>
          <a:ext cx="2533538" cy="3040246"/>
        </a:xfrm>
        <a:prstGeom prst="roundRect">
          <a:avLst>
            <a:gd name="adj" fmla="val 5000"/>
          </a:avLst>
        </a:prstGeom>
        <a:noFill/>
        <a:ln w="12700" cap="flat" cmpd="sng" algn="ctr">
          <a:solidFill>
            <a:srgbClr val="70AD47">
              <a:lumMod val="20000"/>
              <a:lumOff val="8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99441" rIns="128905" bIns="0" numCol="1" spcCol="1270" anchor="t" anchorCtr="0">
          <a:noAutofit/>
        </a:bodyPr>
        <a:lstStyle/>
        <a:p>
          <a:pPr lvl="0" algn="r" defTabSz="1289050">
            <a:lnSpc>
              <a:spcPct val="90000"/>
            </a:lnSpc>
            <a:spcBef>
              <a:spcPct val="0"/>
            </a:spcBef>
            <a:spcAft>
              <a:spcPct val="35000"/>
            </a:spcAft>
          </a:pPr>
          <a:endParaRPr lang="en-AU" sz="2900" kern="1200">
            <a:solidFill>
              <a:sysClr val="window" lastClr="FFFFFF"/>
            </a:solidFill>
            <a:latin typeface="Calibri" panose="020F0502020204030204"/>
            <a:ea typeface="+mn-ea"/>
            <a:cs typeface="+mn-cs"/>
          </a:endParaRPr>
        </a:p>
      </dsp:txBody>
      <dsp:txXfrm rot="16200000">
        <a:off x="-990888" y="1055333"/>
        <a:ext cx="2493001" cy="506707"/>
      </dsp:txXfrm>
    </dsp:sp>
    <dsp:sp modelId="{5BA70862-8CD4-4754-8340-F1AA6F2B6D33}">
      <dsp:nvSpPr>
        <dsp:cNvPr id="0" name=""/>
        <dsp:cNvSpPr/>
      </dsp:nvSpPr>
      <dsp:spPr>
        <a:xfrm>
          <a:off x="508965" y="62186"/>
          <a:ext cx="1887486" cy="304024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ctr" defTabSz="488950">
            <a:lnSpc>
              <a:spcPct val="90000"/>
            </a:lnSpc>
            <a:spcBef>
              <a:spcPct val="0"/>
            </a:spcBef>
            <a:spcAft>
              <a:spcPct val="35000"/>
            </a:spcAft>
          </a:pPr>
          <a:endParaRPr lang="en-AU" sz="1100" kern="1200">
            <a:solidFill>
              <a:sysClr val="windowText" lastClr="000000"/>
            </a:solidFill>
            <a:latin typeface="Calibri" panose="020F0502020204030204"/>
            <a:ea typeface="+mn-ea"/>
            <a:cs typeface="+mn-cs"/>
          </a:endParaRPr>
        </a:p>
        <a:p>
          <a:pPr lvl="0" algn="l" defTabSz="488950">
            <a:lnSpc>
              <a:spcPct val="90000"/>
            </a:lnSpc>
            <a:spcBef>
              <a:spcPct val="0"/>
            </a:spcBef>
            <a:spcAft>
              <a:spcPts val="600"/>
            </a:spcAft>
          </a:pPr>
          <a:r>
            <a:rPr lang="en-AU" sz="1100" b="1" kern="1200">
              <a:solidFill>
                <a:sysClr val="windowText" lastClr="000000"/>
              </a:solidFill>
              <a:latin typeface="Calibri" panose="020F0502020204030204"/>
              <a:ea typeface="+mn-ea"/>
              <a:cs typeface="+mn-cs"/>
            </a:rPr>
            <a:t>Undervaluing gender statistics 1</a:t>
          </a:r>
        </a:p>
        <a:p>
          <a:pPr lvl="0" algn="l" defTabSz="488950">
            <a:lnSpc>
              <a:spcPct val="90000"/>
            </a:lnSpc>
            <a:spcBef>
              <a:spcPct val="0"/>
            </a:spcBef>
            <a:spcAft>
              <a:spcPct val="35000"/>
            </a:spcAft>
          </a:pPr>
          <a:r>
            <a:rPr lang="en-AU" sz="1100" kern="1200">
              <a:solidFill>
                <a:sysClr val="windowText" lastClr="000000"/>
              </a:solidFill>
              <a:latin typeface="Calibri" panose="020F0502020204030204"/>
              <a:ea typeface="+mn-ea"/>
              <a:cs typeface="+mn-cs"/>
            </a:rPr>
            <a:t>Leadership claims that adding a statistical breakdown by sex will cost too much.</a:t>
          </a:r>
        </a:p>
        <a:p>
          <a:pPr lvl="0" algn="l" defTabSz="488950">
            <a:lnSpc>
              <a:spcPct val="90000"/>
            </a:lnSpc>
            <a:spcBef>
              <a:spcPct val="0"/>
            </a:spcBef>
            <a:spcAft>
              <a:spcPct val="35000"/>
            </a:spcAft>
          </a:pPr>
          <a:endParaRPr lang="en-AU" sz="1100" kern="1200">
            <a:solidFill>
              <a:sysClr val="windowText" lastClr="000000"/>
            </a:solidFill>
            <a:latin typeface="Calibri" panose="020F0502020204030204"/>
            <a:ea typeface="+mn-ea"/>
            <a:cs typeface="+mn-cs"/>
          </a:endParaRPr>
        </a:p>
        <a:p>
          <a:pPr lvl="0" algn="ctr" defTabSz="488950">
            <a:lnSpc>
              <a:spcPct val="90000"/>
            </a:lnSpc>
            <a:spcBef>
              <a:spcPct val="0"/>
            </a:spcBef>
            <a:spcAft>
              <a:spcPct val="35000"/>
            </a:spcAft>
          </a:pPr>
          <a:r>
            <a:rPr lang="en-AU" sz="1100" kern="1200">
              <a:solidFill>
                <a:sysClr val="windowText" lastClr="000000"/>
              </a:solidFill>
              <a:latin typeface="Calibri" panose="020F0502020204030204"/>
              <a:ea typeface="+mn-ea"/>
              <a:cs typeface="+mn-cs"/>
            </a:rPr>
            <a:t> </a:t>
          </a:r>
        </a:p>
        <a:p>
          <a:pPr lvl="0" algn="ctr" defTabSz="488950">
            <a:lnSpc>
              <a:spcPct val="90000"/>
            </a:lnSpc>
            <a:spcBef>
              <a:spcPct val="0"/>
            </a:spcBef>
            <a:spcAft>
              <a:spcPct val="35000"/>
            </a:spcAft>
          </a:pPr>
          <a:endParaRPr lang="en-AU" sz="1100" kern="1200">
            <a:solidFill>
              <a:sysClr val="windowText" lastClr="000000"/>
            </a:solidFill>
            <a:latin typeface="Calibri" panose="020F0502020204030204"/>
            <a:ea typeface="+mn-ea"/>
            <a:cs typeface="+mn-cs"/>
          </a:endParaRPr>
        </a:p>
      </dsp:txBody>
      <dsp:txXfrm>
        <a:off x="508965" y="62186"/>
        <a:ext cx="1887486" cy="3040246"/>
      </dsp:txXfrm>
    </dsp:sp>
    <dsp:sp modelId="{7DE8C76F-2853-4609-A8E6-63E37988E462}">
      <dsp:nvSpPr>
        <dsp:cNvPr id="0" name=""/>
        <dsp:cNvSpPr/>
      </dsp:nvSpPr>
      <dsp:spPr>
        <a:xfrm>
          <a:off x="3141103" y="62186"/>
          <a:ext cx="2533538" cy="3040246"/>
        </a:xfrm>
        <a:prstGeom prst="roundRect">
          <a:avLst>
            <a:gd name="adj" fmla="val 5000"/>
          </a:avLst>
        </a:prstGeom>
        <a:solidFill>
          <a:srgbClr val="EEF7E9"/>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99441" rIns="128905" bIns="0" numCol="1" spcCol="1270" anchor="t" anchorCtr="0">
          <a:noAutofit/>
        </a:bodyPr>
        <a:lstStyle/>
        <a:p>
          <a:pPr lvl="0" algn="r" defTabSz="1289050">
            <a:lnSpc>
              <a:spcPct val="90000"/>
            </a:lnSpc>
            <a:spcBef>
              <a:spcPct val="0"/>
            </a:spcBef>
            <a:spcAft>
              <a:spcPct val="35000"/>
            </a:spcAft>
          </a:pPr>
          <a:endParaRPr lang="en-AU" sz="2900" kern="1200">
            <a:solidFill>
              <a:sysClr val="window" lastClr="FFFFFF"/>
            </a:solidFill>
            <a:latin typeface="Calibri" panose="020F0502020204030204"/>
            <a:ea typeface="+mn-ea"/>
            <a:cs typeface="+mn-cs"/>
          </a:endParaRPr>
        </a:p>
      </dsp:txBody>
      <dsp:txXfrm rot="16200000">
        <a:off x="2147956" y="1055333"/>
        <a:ext cx="2493001" cy="506707"/>
      </dsp:txXfrm>
    </dsp:sp>
    <dsp:sp modelId="{B69A4D15-46DA-4831-A682-3B9C690822D2}">
      <dsp:nvSpPr>
        <dsp:cNvPr id="0" name=""/>
        <dsp:cNvSpPr/>
      </dsp:nvSpPr>
      <dsp:spPr>
        <a:xfrm rot="5400000">
          <a:off x="2674270" y="2273167"/>
          <a:ext cx="442368" cy="896663"/>
        </a:xfrm>
        <a:prstGeom prst="flowChartExtract">
          <a:avLst/>
        </a:prstGeom>
        <a:solidFill>
          <a:srgbClr val="70AD47">
            <a:lumMod val="50000"/>
          </a:srgbClr>
        </a:solidFill>
        <a:ln w="12700" cap="flat" cmpd="sng" algn="ctr">
          <a:no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dsp:style>
    </dsp:sp>
    <dsp:sp modelId="{56FFBF0D-2F11-4D8D-B89B-2B527555263D}">
      <dsp:nvSpPr>
        <dsp:cNvPr id="0" name=""/>
        <dsp:cNvSpPr/>
      </dsp:nvSpPr>
      <dsp:spPr>
        <a:xfrm>
          <a:off x="3647811" y="62186"/>
          <a:ext cx="1887486" cy="304024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endParaRPr lang="en-AU" sz="1100" kern="1200">
            <a:solidFill>
              <a:sysClr val="windowText" lastClr="000000"/>
            </a:solidFill>
            <a:latin typeface="Calibri" panose="020F0502020204030204"/>
            <a:ea typeface="+mn-ea"/>
            <a:cs typeface="+mn-cs"/>
          </a:endParaRPr>
        </a:p>
        <a:p>
          <a:pPr lvl="0" algn="l" defTabSz="488950">
            <a:lnSpc>
              <a:spcPct val="90000"/>
            </a:lnSpc>
            <a:spcBef>
              <a:spcPct val="0"/>
            </a:spcBef>
            <a:spcAft>
              <a:spcPct val="35000"/>
            </a:spcAft>
          </a:pPr>
          <a:r>
            <a:rPr lang="en-AU" sz="1100" kern="1200">
              <a:solidFill>
                <a:sysClr val="windowText" lastClr="000000"/>
              </a:solidFill>
              <a:latin typeface="Calibri" panose="020F0502020204030204"/>
              <a:ea typeface="+mn-ea"/>
              <a:cs typeface="+mn-cs"/>
            </a:rPr>
            <a:t>Point out the following: </a:t>
          </a:r>
        </a:p>
        <a:p>
          <a:pPr lvl="0" algn="l" defTabSz="488950">
            <a:lnSpc>
              <a:spcPct val="90000"/>
            </a:lnSpc>
            <a:spcBef>
              <a:spcPct val="0"/>
            </a:spcBef>
            <a:spcAft>
              <a:spcPct val="35000"/>
            </a:spcAft>
          </a:pPr>
          <a:r>
            <a:rPr lang="en-AU" sz="1100" kern="1200">
              <a:solidFill>
                <a:sysClr val="windowText" lastClr="000000"/>
              </a:solidFill>
              <a:latin typeface="Calibri" panose="020F0502020204030204"/>
              <a:ea typeface="+mn-ea"/>
              <a:cs typeface="+mn-cs"/>
            </a:rPr>
            <a:t>- There is usually minimal cost in producing gender statistics with existing instruments. In some cases, it simply involves the addition of an extra question or column specifying sex. </a:t>
          </a:r>
        </a:p>
        <a:p>
          <a:pPr lvl="0" algn="l" defTabSz="488950">
            <a:lnSpc>
              <a:spcPct val="90000"/>
            </a:lnSpc>
            <a:spcBef>
              <a:spcPct val="0"/>
            </a:spcBef>
            <a:spcAft>
              <a:spcPct val="35000"/>
            </a:spcAft>
          </a:pPr>
          <a:r>
            <a:rPr lang="en-AU" sz="1100" kern="1200">
              <a:solidFill>
                <a:sysClr val="windowText" lastClr="000000"/>
              </a:solidFill>
              <a:latin typeface="Calibri" panose="020F0502020204030204"/>
              <a:ea typeface="+mn-ea"/>
              <a:cs typeface="+mn-cs"/>
            </a:rPr>
            <a:t>- At analysis time, the main cost would be the time involved in running extra tabulations, but in many cases, sex can simply be added to existing tabulations.</a:t>
          </a:r>
        </a:p>
        <a:p>
          <a:pPr lvl="0" algn="l" defTabSz="488950">
            <a:lnSpc>
              <a:spcPct val="90000"/>
            </a:lnSpc>
            <a:spcBef>
              <a:spcPct val="0"/>
            </a:spcBef>
            <a:spcAft>
              <a:spcPts val="600"/>
            </a:spcAft>
          </a:pPr>
          <a:r>
            <a:rPr lang="en-AU" sz="1100" kern="1200">
              <a:solidFill>
                <a:sysClr val="windowText" lastClr="000000"/>
              </a:solidFill>
              <a:latin typeface="Calibri" panose="020F0502020204030204"/>
              <a:ea typeface="+mn-ea"/>
              <a:cs typeface="+mn-cs"/>
            </a:rPr>
            <a:t>- Significant cost is usually only incurred when a completely new investigation (such as a survey) is carried out.</a:t>
          </a:r>
        </a:p>
      </dsp:txBody>
      <dsp:txXfrm>
        <a:off x="3647811" y="62186"/>
        <a:ext cx="1887486" cy="3040246"/>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DAE95B-9499-4A56-A9EF-EA99B454DBB5}">
      <dsp:nvSpPr>
        <dsp:cNvPr id="0" name=""/>
        <dsp:cNvSpPr/>
      </dsp:nvSpPr>
      <dsp:spPr>
        <a:xfrm>
          <a:off x="2278" y="0"/>
          <a:ext cx="2556209" cy="2113144"/>
        </a:xfrm>
        <a:prstGeom prst="roundRect">
          <a:avLst>
            <a:gd name="adj" fmla="val 5000"/>
          </a:avLst>
        </a:prstGeom>
        <a:noFill/>
        <a:ln w="12700" cap="flat" cmpd="sng" algn="ctr">
          <a:solidFill>
            <a:srgbClr val="E6E7F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99441" rIns="128905" bIns="0" numCol="1" spcCol="1270" anchor="t" anchorCtr="0">
          <a:noAutofit/>
        </a:bodyPr>
        <a:lstStyle/>
        <a:p>
          <a:pPr lvl="0" algn="r" defTabSz="1289050">
            <a:lnSpc>
              <a:spcPct val="90000"/>
            </a:lnSpc>
            <a:spcBef>
              <a:spcPct val="0"/>
            </a:spcBef>
            <a:spcAft>
              <a:spcPct val="35000"/>
            </a:spcAft>
          </a:pPr>
          <a:endParaRPr lang="en-AU" sz="2900" kern="1200">
            <a:solidFill>
              <a:sysClr val="window" lastClr="FFFFFF"/>
            </a:solidFill>
            <a:latin typeface="Calibri" panose="020F0502020204030204"/>
            <a:ea typeface="+mn-ea"/>
            <a:cs typeface="+mn-cs"/>
          </a:endParaRPr>
        </a:p>
      </dsp:txBody>
      <dsp:txXfrm rot="16200000">
        <a:off x="-608489" y="610768"/>
        <a:ext cx="1732778" cy="511241"/>
      </dsp:txXfrm>
    </dsp:sp>
    <dsp:sp modelId="{5BA70862-8CD4-4754-8340-F1AA6F2B6D33}">
      <dsp:nvSpPr>
        <dsp:cNvPr id="0" name=""/>
        <dsp:cNvSpPr/>
      </dsp:nvSpPr>
      <dsp:spPr>
        <a:xfrm>
          <a:off x="513520" y="0"/>
          <a:ext cx="1904376" cy="211314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endParaRPr lang="en-AU" sz="1100" b="1" kern="1200">
            <a:solidFill>
              <a:sysClr val="windowText" lastClr="000000"/>
            </a:solidFill>
            <a:latin typeface="Calibri" panose="020F0502020204030204"/>
            <a:ea typeface="+mn-ea"/>
            <a:cs typeface="+mn-cs"/>
          </a:endParaRPr>
        </a:p>
        <a:p>
          <a:pPr lvl="0" algn="l" defTabSz="488950">
            <a:lnSpc>
              <a:spcPct val="90000"/>
            </a:lnSpc>
            <a:spcBef>
              <a:spcPct val="0"/>
            </a:spcBef>
            <a:spcAft>
              <a:spcPct val="35000"/>
            </a:spcAft>
          </a:pPr>
          <a:r>
            <a:rPr lang="en-AU" sz="1100" b="1" kern="1200">
              <a:solidFill>
                <a:sysClr val="windowText" lastClr="000000"/>
              </a:solidFill>
              <a:latin typeface="Calibri" panose="020F0502020204030204"/>
              <a:ea typeface="+mn-ea"/>
              <a:cs typeface="+mn-cs"/>
            </a:rPr>
            <a:t>Undervaluing gender statistics 2</a:t>
          </a:r>
        </a:p>
        <a:p>
          <a:pPr lvl="0" algn="l" defTabSz="488950">
            <a:lnSpc>
              <a:spcPct val="90000"/>
            </a:lnSpc>
            <a:spcBef>
              <a:spcPct val="0"/>
            </a:spcBef>
            <a:spcAft>
              <a:spcPts val="600"/>
            </a:spcAft>
          </a:pPr>
          <a:r>
            <a:rPr lang="en-AU" sz="1100" b="0" kern="1200">
              <a:solidFill>
                <a:sysClr val="windowText" lastClr="000000"/>
              </a:solidFill>
              <a:latin typeface="Calibri" panose="020F0502020204030204"/>
              <a:ea typeface="+mn-ea"/>
              <a:cs typeface="+mn-cs"/>
            </a:rPr>
            <a:t>Leadership claims that disaggregating data by sex will adversely affect the quality of the data.</a:t>
          </a:r>
        </a:p>
        <a:p>
          <a:pPr lvl="0" algn="l" defTabSz="488950">
            <a:lnSpc>
              <a:spcPct val="90000"/>
            </a:lnSpc>
            <a:spcBef>
              <a:spcPct val="0"/>
            </a:spcBef>
            <a:spcAft>
              <a:spcPct val="35000"/>
            </a:spcAft>
          </a:pPr>
          <a:endParaRPr lang="en-AU" sz="1100" b="1" kern="1200">
            <a:solidFill>
              <a:sysClr val="windowText" lastClr="000000"/>
            </a:solidFill>
            <a:latin typeface="Calibri" panose="020F0502020204030204"/>
            <a:ea typeface="+mn-ea"/>
            <a:cs typeface="+mn-cs"/>
          </a:endParaRPr>
        </a:p>
        <a:p>
          <a:pPr lvl="0" algn="l" defTabSz="488950">
            <a:lnSpc>
              <a:spcPct val="90000"/>
            </a:lnSpc>
            <a:spcBef>
              <a:spcPct val="0"/>
            </a:spcBef>
            <a:spcAft>
              <a:spcPct val="35000"/>
            </a:spcAft>
          </a:pPr>
          <a:endParaRPr lang="en-AU" sz="1100" kern="1200">
            <a:solidFill>
              <a:sysClr val="windowText" lastClr="000000"/>
            </a:solidFill>
            <a:latin typeface="Calibri" panose="020F0502020204030204"/>
            <a:ea typeface="+mn-ea"/>
            <a:cs typeface="+mn-cs"/>
          </a:endParaRPr>
        </a:p>
      </dsp:txBody>
      <dsp:txXfrm>
        <a:off x="513520" y="0"/>
        <a:ext cx="1904376" cy="2113144"/>
      </dsp:txXfrm>
    </dsp:sp>
    <dsp:sp modelId="{7DE8C76F-2853-4609-A8E6-63E37988E462}">
      <dsp:nvSpPr>
        <dsp:cNvPr id="0" name=""/>
        <dsp:cNvSpPr/>
      </dsp:nvSpPr>
      <dsp:spPr>
        <a:xfrm>
          <a:off x="3040353" y="0"/>
          <a:ext cx="2556209" cy="2113144"/>
        </a:xfrm>
        <a:prstGeom prst="roundRect">
          <a:avLst>
            <a:gd name="adj" fmla="val 5000"/>
          </a:avLst>
        </a:prstGeom>
        <a:solidFill>
          <a:srgbClr val="E6E7F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99441" rIns="128905" bIns="0" numCol="1" spcCol="1270" anchor="t" anchorCtr="0">
          <a:noAutofit/>
        </a:bodyPr>
        <a:lstStyle/>
        <a:p>
          <a:pPr lvl="0" algn="r" defTabSz="1289050">
            <a:lnSpc>
              <a:spcPct val="90000"/>
            </a:lnSpc>
            <a:spcBef>
              <a:spcPct val="0"/>
            </a:spcBef>
            <a:spcAft>
              <a:spcPct val="35000"/>
            </a:spcAft>
          </a:pPr>
          <a:endParaRPr lang="en-AU" sz="2900" kern="1200">
            <a:solidFill>
              <a:sysClr val="window" lastClr="FFFFFF"/>
            </a:solidFill>
            <a:latin typeface="Calibri" panose="020F0502020204030204"/>
            <a:ea typeface="+mn-ea"/>
            <a:cs typeface="+mn-cs"/>
          </a:endParaRPr>
        </a:p>
      </dsp:txBody>
      <dsp:txXfrm rot="16200000">
        <a:off x="2429585" y="610768"/>
        <a:ext cx="1732778" cy="511241"/>
      </dsp:txXfrm>
    </dsp:sp>
    <dsp:sp modelId="{B69A4D15-46DA-4831-A682-3B9C690822D2}">
      <dsp:nvSpPr>
        <dsp:cNvPr id="0" name=""/>
        <dsp:cNvSpPr/>
      </dsp:nvSpPr>
      <dsp:spPr>
        <a:xfrm rot="5400000">
          <a:off x="2637718" y="1393586"/>
          <a:ext cx="401051" cy="904687"/>
        </a:xfrm>
        <a:prstGeom prst="flowChartExtract">
          <a:avLst/>
        </a:prstGeom>
        <a:solidFill>
          <a:srgbClr val="5A5098"/>
        </a:solidFill>
        <a:ln w="12700" cap="flat" cmpd="sng" algn="ctr">
          <a:no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dsp:style>
    </dsp:sp>
    <dsp:sp modelId="{56FFBF0D-2F11-4D8D-B89B-2B527555263D}">
      <dsp:nvSpPr>
        <dsp:cNvPr id="0" name=""/>
        <dsp:cNvSpPr/>
      </dsp:nvSpPr>
      <dsp:spPr>
        <a:xfrm>
          <a:off x="3551595" y="0"/>
          <a:ext cx="1904376" cy="211314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endParaRPr lang="en-AU" sz="1100" kern="1200">
            <a:solidFill>
              <a:sysClr val="windowText" lastClr="000000"/>
            </a:solidFill>
            <a:latin typeface="Calibri" panose="020F0502020204030204"/>
            <a:ea typeface="+mn-ea"/>
            <a:cs typeface="+mn-cs"/>
          </a:endParaRPr>
        </a:p>
        <a:p>
          <a:pPr lvl="0" algn="l" defTabSz="488950">
            <a:lnSpc>
              <a:spcPct val="90000"/>
            </a:lnSpc>
            <a:spcBef>
              <a:spcPct val="0"/>
            </a:spcBef>
            <a:spcAft>
              <a:spcPts val="600"/>
            </a:spcAft>
          </a:pPr>
          <a:r>
            <a:rPr lang="en-AU" sz="1100" kern="1200">
              <a:solidFill>
                <a:sysClr val="windowText" lastClr="000000"/>
              </a:solidFill>
              <a:latin typeface="Calibri" panose="020F0502020204030204"/>
              <a:ea typeface="+mn-ea"/>
              <a:cs typeface="+mn-cs"/>
            </a:rPr>
            <a:t>Point out that the integration of a gender perspective will enrich the information available from the investigation and increase its value.</a:t>
          </a:r>
        </a:p>
        <a:p>
          <a:pPr lvl="0" algn="l" defTabSz="488950">
            <a:lnSpc>
              <a:spcPct val="90000"/>
            </a:lnSpc>
            <a:spcBef>
              <a:spcPct val="0"/>
            </a:spcBef>
            <a:spcAft>
              <a:spcPct val="35000"/>
            </a:spcAft>
          </a:pPr>
          <a:r>
            <a:rPr lang="en-AU" sz="1100" kern="1200">
              <a:solidFill>
                <a:sysClr val="windowText" lastClr="000000"/>
              </a:solidFill>
              <a:latin typeface="Calibri" panose="020F0502020204030204"/>
              <a:ea typeface="+mn-ea"/>
              <a:cs typeface="+mn-cs"/>
            </a:rPr>
            <a:t>Stress that disaggregation by sex often results in more accuate data, as it allows for additional checks of data collection and recording.</a:t>
          </a:r>
        </a:p>
      </dsp:txBody>
      <dsp:txXfrm>
        <a:off x="3551595" y="0"/>
        <a:ext cx="1904376" cy="211314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C370DA-36C5-4EAD-9984-302A5BDB22C4}">
      <dsp:nvSpPr>
        <dsp:cNvPr id="0" name=""/>
        <dsp:cNvSpPr/>
      </dsp:nvSpPr>
      <dsp:spPr>
        <a:xfrm>
          <a:off x="1762" y="97412"/>
          <a:ext cx="1718674" cy="687469"/>
        </a:xfrm>
        <a:prstGeom prst="rect">
          <a:avLst/>
        </a:prstGeom>
        <a:solidFill>
          <a:srgbClr val="70AD47">
            <a:lumMod val="5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n-AU" sz="1400" b="1" kern="1200">
              <a:solidFill>
                <a:sysClr val="window" lastClr="FFFFFF"/>
              </a:solidFill>
              <a:latin typeface="Calibri Light" panose="020F0302020204030204"/>
              <a:ea typeface="+mn-ea"/>
              <a:cs typeface="+mn-cs"/>
            </a:rPr>
            <a:t>Identify allies</a:t>
          </a:r>
        </a:p>
      </dsp:txBody>
      <dsp:txXfrm>
        <a:off x="1762" y="97412"/>
        <a:ext cx="1718674" cy="687469"/>
      </dsp:txXfrm>
    </dsp:sp>
    <dsp:sp modelId="{4C4CE1E7-4A32-4D5C-A14B-889B97CCC7CA}">
      <dsp:nvSpPr>
        <dsp:cNvPr id="0" name=""/>
        <dsp:cNvSpPr/>
      </dsp:nvSpPr>
      <dsp:spPr>
        <a:xfrm>
          <a:off x="1762" y="784882"/>
          <a:ext cx="1718674" cy="4995899"/>
        </a:xfrm>
        <a:prstGeom prst="rect">
          <a:avLst/>
        </a:prstGeom>
        <a:solidFill>
          <a:srgbClr val="EDF5E7">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216000" lvl="1" indent="-216000" algn="l" defTabSz="488950">
            <a:lnSpc>
              <a:spcPct val="90000"/>
            </a:lnSpc>
            <a:spcBef>
              <a:spcPct val="0"/>
            </a:spcBef>
            <a:spcAft>
              <a:spcPts val="1200"/>
            </a:spcAft>
            <a:buChar char="••"/>
          </a:pPr>
          <a:r>
            <a:rPr lang="en-AU" sz="1100" kern="1200">
              <a:solidFill>
                <a:sysClr val="windowText" lastClr="000000">
                  <a:hueOff val="0"/>
                  <a:satOff val="0"/>
                  <a:lumOff val="0"/>
                  <a:alphaOff val="0"/>
                </a:sysClr>
              </a:solidFill>
              <a:latin typeface="Calibri" panose="020F0502020204030204"/>
              <a:ea typeface="+mn-ea"/>
              <a:cs typeface="+mn-cs"/>
            </a:rPr>
            <a:t>Identify allies who can provide support,  confidence and reassurance at various organisational levels.</a:t>
          </a:r>
        </a:p>
        <a:p>
          <a:pPr marL="216000" lvl="1" indent="-216000" algn="l" defTabSz="488950">
            <a:lnSpc>
              <a:spcPct val="90000"/>
            </a:lnSpc>
            <a:spcBef>
              <a:spcPct val="0"/>
            </a:spcBef>
            <a:spcAft>
              <a:spcPts val="1200"/>
            </a:spcAft>
            <a:buChar char="••"/>
          </a:pPr>
          <a:r>
            <a:rPr lang="en-AU" sz="1100" kern="1200">
              <a:solidFill>
                <a:sysClr val="windowText" lastClr="000000">
                  <a:hueOff val="0"/>
                  <a:satOff val="0"/>
                  <a:lumOff val="0"/>
                  <a:alphaOff val="0"/>
                </a:sysClr>
              </a:solidFill>
              <a:latin typeface="Calibri" panose="020F0502020204030204"/>
              <a:ea typeface="+mn-ea"/>
              <a:cs typeface="+mn-cs"/>
            </a:rPr>
            <a:t>For example, senior management 'champions' can provide leadership, facilitating and rewarding efforts to bring gender perspectives to the centre of organisational activities. Other staff can contribute to cultural change and advocate for gender consideration in their activities.</a:t>
          </a:r>
        </a:p>
        <a:p>
          <a:pPr marL="216000" lvl="1" indent="-216000" algn="l" defTabSz="488950">
            <a:lnSpc>
              <a:spcPct val="90000"/>
            </a:lnSpc>
            <a:spcBef>
              <a:spcPct val="0"/>
            </a:spcBef>
            <a:spcAft>
              <a:spcPts val="1200"/>
            </a:spcAft>
            <a:buChar char="••"/>
          </a:pPr>
          <a:r>
            <a:rPr lang="en-AU" sz="1100" kern="1200">
              <a:solidFill>
                <a:sysClr val="windowText" lastClr="000000">
                  <a:hueOff val="0"/>
                  <a:satOff val="0"/>
                  <a:lumOff val="0"/>
                  <a:alphaOff val="0"/>
                </a:sysClr>
              </a:solidFill>
              <a:latin typeface="Calibri" panose="020F0502020204030204"/>
              <a:ea typeface="+mn-ea"/>
              <a:cs typeface="+mn-cs"/>
            </a:rPr>
            <a:t>Having identified possible allies, spend some time talking with them about the issues and developing a strategy, as well as </a:t>
          </a:r>
          <a:r>
            <a:rPr lang="en-AU" sz="1200" kern="1200">
              <a:solidFill>
                <a:sysClr val="windowText" lastClr="000000">
                  <a:hueOff val="0"/>
                  <a:satOff val="0"/>
                  <a:lumOff val="0"/>
                  <a:alphaOff val="0"/>
                </a:sysClr>
              </a:solidFill>
              <a:latin typeface="Calibri" panose="020F0502020204030204"/>
              <a:ea typeface="+mn-ea"/>
              <a:cs typeface="+mn-cs"/>
            </a:rPr>
            <a:t>soliciting their support in tricky situations. </a:t>
          </a:r>
        </a:p>
      </dsp:txBody>
      <dsp:txXfrm>
        <a:off x="1762" y="784882"/>
        <a:ext cx="1718674" cy="4995899"/>
      </dsp:txXfrm>
    </dsp:sp>
    <dsp:sp modelId="{C838B1EA-325A-4014-9AD4-C372C2F56EB3}">
      <dsp:nvSpPr>
        <dsp:cNvPr id="0" name=""/>
        <dsp:cNvSpPr/>
      </dsp:nvSpPr>
      <dsp:spPr>
        <a:xfrm>
          <a:off x="1961052" y="97412"/>
          <a:ext cx="1718674" cy="687469"/>
        </a:xfrm>
        <a:prstGeom prst="rect">
          <a:avLst/>
        </a:prstGeom>
        <a:solidFill>
          <a:srgbClr val="70AD47">
            <a:lumMod val="5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n-AU" sz="1400" b="1" kern="1200">
              <a:solidFill>
                <a:sysClr val="window" lastClr="FFFFFF"/>
              </a:solidFill>
              <a:latin typeface="Calibri Light" panose="020F0302020204030204"/>
              <a:ea typeface="+mn-ea"/>
              <a:cs typeface="+mn-cs"/>
            </a:rPr>
            <a:t>Return to the issues</a:t>
          </a:r>
        </a:p>
      </dsp:txBody>
      <dsp:txXfrm>
        <a:off x="1961052" y="97412"/>
        <a:ext cx="1718674" cy="687469"/>
      </dsp:txXfrm>
    </dsp:sp>
    <dsp:sp modelId="{69D35E1B-597B-445B-A582-BD7A48962D0E}">
      <dsp:nvSpPr>
        <dsp:cNvPr id="0" name=""/>
        <dsp:cNvSpPr/>
      </dsp:nvSpPr>
      <dsp:spPr>
        <a:xfrm>
          <a:off x="1961052" y="784882"/>
          <a:ext cx="1718674" cy="4995899"/>
        </a:xfrm>
        <a:prstGeom prst="rect">
          <a:avLst/>
        </a:prstGeom>
        <a:solidFill>
          <a:srgbClr val="EDF5E7">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216000" lvl="1" indent="-216000" algn="l" defTabSz="488950">
            <a:lnSpc>
              <a:spcPct val="90000"/>
            </a:lnSpc>
            <a:spcBef>
              <a:spcPct val="0"/>
            </a:spcBef>
            <a:spcAft>
              <a:spcPts val="1200"/>
            </a:spcAft>
            <a:buChar char="••"/>
          </a:pPr>
          <a:r>
            <a:rPr lang="en-AU" sz="1100" kern="1200">
              <a:solidFill>
                <a:sysClr val="windowText" lastClr="000000">
                  <a:hueOff val="0"/>
                  <a:satOff val="0"/>
                  <a:lumOff val="0"/>
                  <a:alphaOff val="0"/>
                </a:sysClr>
              </a:solidFill>
              <a:latin typeface="Calibri" panose="020F0502020204030204"/>
              <a:ea typeface="+mn-ea"/>
              <a:cs typeface="+mn-cs"/>
            </a:rPr>
            <a:t>If no resolution is immediately forthcoming, return to the issues regularly and often. </a:t>
          </a:r>
        </a:p>
        <a:p>
          <a:pPr marL="216000" lvl="1" indent="-216000" algn="l" defTabSz="488950">
            <a:lnSpc>
              <a:spcPct val="90000"/>
            </a:lnSpc>
            <a:spcBef>
              <a:spcPct val="0"/>
            </a:spcBef>
            <a:spcAft>
              <a:spcPts val="1200"/>
            </a:spcAft>
            <a:buChar char="••"/>
          </a:pPr>
          <a:r>
            <a:rPr lang="en-AU" sz="1100" kern="1200">
              <a:solidFill>
                <a:sysClr val="windowText" lastClr="000000">
                  <a:hueOff val="0"/>
                  <a:satOff val="0"/>
                  <a:lumOff val="0"/>
                  <a:alphaOff val="0"/>
                </a:sysClr>
              </a:solidFill>
              <a:latin typeface="Calibri" panose="020F0502020204030204"/>
              <a:ea typeface="+mn-ea"/>
              <a:cs typeface="+mn-cs"/>
            </a:rPr>
            <a:t>Think of a variety of settings in which you can raise and address the issues. </a:t>
          </a:r>
        </a:p>
        <a:p>
          <a:pPr marL="216000" lvl="1" indent="-216000" algn="l" defTabSz="488950">
            <a:lnSpc>
              <a:spcPct val="90000"/>
            </a:lnSpc>
            <a:spcBef>
              <a:spcPct val="0"/>
            </a:spcBef>
            <a:spcAft>
              <a:spcPts val="1200"/>
            </a:spcAft>
            <a:buChar char="••"/>
          </a:pPr>
          <a:r>
            <a:rPr lang="en-AU" sz="1100" kern="1200">
              <a:solidFill>
                <a:sysClr val="windowText" lastClr="000000">
                  <a:hueOff val="0"/>
                  <a:satOff val="0"/>
                  <a:lumOff val="0"/>
                  <a:alphaOff val="0"/>
                </a:sysClr>
              </a:solidFill>
              <a:latin typeface="Calibri" panose="020F0502020204030204"/>
              <a:ea typeface="+mn-ea"/>
              <a:cs typeface="+mn-cs"/>
            </a:rPr>
            <a:t>For example, setting up a special meeting to discuss the issue with relevant colleagues, using an opportunity to raise it in different meetings, talking about it informally with colleagues when the opportunity arises, following up on informal or formal meetings. </a:t>
          </a:r>
        </a:p>
        <a:p>
          <a:pPr marL="216000" lvl="1" indent="-216000" algn="l" defTabSz="488950">
            <a:lnSpc>
              <a:spcPct val="90000"/>
            </a:lnSpc>
            <a:spcBef>
              <a:spcPct val="0"/>
            </a:spcBef>
            <a:spcAft>
              <a:spcPts val="1200"/>
            </a:spcAft>
            <a:buChar char="••"/>
          </a:pPr>
          <a:r>
            <a:rPr lang="en-AU" sz="1100" kern="1200">
              <a:solidFill>
                <a:sysClr val="windowText" lastClr="000000">
                  <a:hueOff val="0"/>
                  <a:satOff val="0"/>
                  <a:lumOff val="0"/>
                  <a:alphaOff val="0"/>
                </a:sysClr>
              </a:solidFill>
              <a:latin typeface="Calibri" panose="020F0502020204030204"/>
              <a:ea typeface="+mn-ea"/>
              <a:cs typeface="+mn-cs"/>
            </a:rPr>
            <a:t>Be on the lookout for potential favourable occasions to raise issues. Don't let an opportunity go by.</a:t>
          </a:r>
        </a:p>
      </dsp:txBody>
      <dsp:txXfrm>
        <a:off x="1961052" y="784882"/>
        <a:ext cx="1718674" cy="4995899"/>
      </dsp:txXfrm>
    </dsp:sp>
    <dsp:sp modelId="{F6482CD8-0871-42DB-A241-BB13F59EFF19}">
      <dsp:nvSpPr>
        <dsp:cNvPr id="0" name=""/>
        <dsp:cNvSpPr/>
      </dsp:nvSpPr>
      <dsp:spPr>
        <a:xfrm>
          <a:off x="3920341" y="97412"/>
          <a:ext cx="1718674" cy="687469"/>
        </a:xfrm>
        <a:prstGeom prst="rect">
          <a:avLst/>
        </a:prstGeom>
        <a:solidFill>
          <a:srgbClr val="70AD47">
            <a:lumMod val="5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n-AU" sz="1400" b="1" kern="1200">
              <a:solidFill>
                <a:sysClr val="window" lastClr="FFFFFF"/>
              </a:solidFill>
              <a:latin typeface="Calibri Light" panose="020F0302020204030204"/>
              <a:ea typeface="+mn-ea"/>
              <a:cs typeface="+mn-cs"/>
            </a:rPr>
            <a:t>Anticipate resistance</a:t>
          </a:r>
        </a:p>
      </dsp:txBody>
      <dsp:txXfrm>
        <a:off x="3920341" y="97412"/>
        <a:ext cx="1718674" cy="687469"/>
      </dsp:txXfrm>
    </dsp:sp>
    <dsp:sp modelId="{2C35B110-8483-4ABF-A27B-9D17CD01F003}">
      <dsp:nvSpPr>
        <dsp:cNvPr id="0" name=""/>
        <dsp:cNvSpPr/>
      </dsp:nvSpPr>
      <dsp:spPr>
        <a:xfrm>
          <a:off x="3920341" y="784882"/>
          <a:ext cx="1718674" cy="4995899"/>
        </a:xfrm>
        <a:prstGeom prst="rect">
          <a:avLst/>
        </a:prstGeom>
        <a:solidFill>
          <a:srgbClr val="EDF5E7">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216000" lvl="1" indent="-216000" algn="l" defTabSz="488950">
            <a:lnSpc>
              <a:spcPct val="90000"/>
            </a:lnSpc>
            <a:spcBef>
              <a:spcPct val="0"/>
            </a:spcBef>
            <a:spcAft>
              <a:spcPts val="1200"/>
            </a:spcAft>
            <a:buChar char="••"/>
          </a:pPr>
          <a:r>
            <a:rPr lang="en-AU" sz="1100" kern="1200">
              <a:solidFill>
                <a:sysClr val="windowText" lastClr="000000">
                  <a:hueOff val="0"/>
                  <a:satOff val="0"/>
                  <a:lumOff val="0"/>
                  <a:alphaOff val="0"/>
                </a:sysClr>
              </a:solidFill>
              <a:latin typeface="Calibri" panose="020F0502020204030204"/>
              <a:ea typeface="+mn-ea"/>
              <a:cs typeface="+mn-cs"/>
            </a:rPr>
            <a:t>Try to anticipate the types of resistance that are likely to arise. </a:t>
          </a:r>
        </a:p>
        <a:p>
          <a:pPr marL="216000" lvl="1" indent="-216000" algn="l" defTabSz="488950">
            <a:lnSpc>
              <a:spcPct val="90000"/>
            </a:lnSpc>
            <a:spcBef>
              <a:spcPct val="0"/>
            </a:spcBef>
            <a:spcAft>
              <a:spcPts val="1200"/>
            </a:spcAft>
            <a:buChar char="••"/>
          </a:pPr>
          <a:r>
            <a:rPr lang="en-AU" sz="1100" kern="1200">
              <a:solidFill>
                <a:sysClr val="windowText" lastClr="000000">
                  <a:hueOff val="0"/>
                  <a:satOff val="0"/>
                  <a:lumOff val="0"/>
                  <a:alphaOff val="0"/>
                </a:sysClr>
              </a:solidFill>
              <a:latin typeface="Calibri" panose="020F0502020204030204"/>
              <a:ea typeface="+mn-ea"/>
              <a:cs typeface="+mn-cs"/>
            </a:rPr>
            <a:t>Develop appropriate responses before resistance occurs. </a:t>
          </a:r>
        </a:p>
        <a:p>
          <a:pPr marL="216000" lvl="1" indent="-216000" algn="l" defTabSz="488950">
            <a:lnSpc>
              <a:spcPct val="90000"/>
            </a:lnSpc>
            <a:spcBef>
              <a:spcPct val="0"/>
            </a:spcBef>
            <a:spcAft>
              <a:spcPts val="1200"/>
            </a:spcAft>
            <a:buChar char="••"/>
          </a:pPr>
          <a:r>
            <a:rPr lang="en-AU" sz="1100" kern="1200">
              <a:solidFill>
                <a:sysClr val="windowText" lastClr="000000">
                  <a:hueOff val="0"/>
                  <a:satOff val="0"/>
                  <a:lumOff val="0"/>
                  <a:alphaOff val="0"/>
                </a:sysClr>
              </a:solidFill>
              <a:latin typeface="Calibri" panose="020F0502020204030204"/>
              <a:ea typeface="+mn-ea"/>
              <a:cs typeface="+mn-cs"/>
            </a:rPr>
            <a:t>Allies can be helpful in developing these responses. For example, role-playing with allies to practise how to deal with resistant people or business units. </a:t>
          </a:r>
        </a:p>
      </dsp:txBody>
      <dsp:txXfrm>
        <a:off x="3920341" y="784882"/>
        <a:ext cx="1718674" cy="49958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C2A29B-D21E-4D88-A4A7-8935D45855C6}">
      <dsp:nvSpPr>
        <dsp:cNvPr id="0" name=""/>
        <dsp:cNvSpPr/>
      </dsp:nvSpPr>
      <dsp:spPr>
        <a:xfrm>
          <a:off x="292661" y="0"/>
          <a:ext cx="3316826" cy="2594344"/>
        </a:xfrm>
        <a:prstGeom prst="rightArrow">
          <a:avLst/>
        </a:prstGeom>
        <a:solidFill>
          <a:srgbClr val="E6E7F2"/>
        </a:solidFill>
        <a:ln>
          <a:noFill/>
        </a:ln>
        <a:effectLst/>
      </dsp:spPr>
      <dsp:style>
        <a:lnRef idx="0">
          <a:scrgbClr r="0" g="0" b="0"/>
        </a:lnRef>
        <a:fillRef idx="1">
          <a:scrgbClr r="0" g="0" b="0"/>
        </a:fillRef>
        <a:effectRef idx="0">
          <a:scrgbClr r="0" g="0" b="0"/>
        </a:effectRef>
        <a:fontRef idx="minor"/>
      </dsp:style>
    </dsp:sp>
    <dsp:sp modelId="{F2B107D0-6228-40D4-9E09-2BFB61997C0C}">
      <dsp:nvSpPr>
        <dsp:cNvPr id="0" name=""/>
        <dsp:cNvSpPr/>
      </dsp:nvSpPr>
      <dsp:spPr>
        <a:xfrm>
          <a:off x="0" y="778303"/>
          <a:ext cx="1170644" cy="1037737"/>
        </a:xfrm>
        <a:prstGeom prst="rect">
          <a:avLst/>
        </a:prstGeom>
        <a:solidFill>
          <a:srgbClr val="70AD47">
            <a:lumMod val="5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72000" lvl="0" algn="ctr" defTabSz="488950">
            <a:lnSpc>
              <a:spcPct val="90000"/>
            </a:lnSpc>
            <a:spcBef>
              <a:spcPct val="0"/>
            </a:spcBef>
            <a:spcAft>
              <a:spcPct val="35000"/>
            </a:spcAft>
          </a:pPr>
          <a:r>
            <a:rPr lang="en-AU" sz="1100" b="1" kern="1200">
              <a:solidFill>
                <a:sysClr val="windowText" lastClr="000000"/>
              </a:solidFill>
              <a:latin typeface="Calibri Light" panose="020F0302020204030204"/>
              <a:ea typeface="+mn-ea"/>
              <a:cs typeface="+mn-cs"/>
            </a:rPr>
            <a:t>Strategy</a:t>
          </a:r>
        </a:p>
        <a:p>
          <a:pPr marL="72000" lvl="0" algn="ctr" defTabSz="488950">
            <a:lnSpc>
              <a:spcPct val="90000"/>
            </a:lnSpc>
            <a:spcBef>
              <a:spcPct val="0"/>
            </a:spcBef>
            <a:spcAft>
              <a:spcPct val="35000"/>
            </a:spcAft>
          </a:pPr>
          <a:r>
            <a:rPr lang="en-AU" sz="1100" b="1" kern="1200">
              <a:solidFill>
                <a:schemeClr val="bg1"/>
              </a:solidFill>
              <a:latin typeface="Calibri Light" panose="020F0302020204030204"/>
              <a:ea typeface="+mn-ea"/>
              <a:cs typeface="+mn-cs"/>
            </a:rPr>
            <a:t>Gender mainstreaming</a:t>
          </a:r>
        </a:p>
      </dsp:txBody>
      <dsp:txXfrm>
        <a:off x="0" y="778303"/>
        <a:ext cx="1170644" cy="1037737"/>
      </dsp:txXfrm>
    </dsp:sp>
    <dsp:sp modelId="{31FF4BC2-CA44-4516-908E-B0CF9755EE04}">
      <dsp:nvSpPr>
        <dsp:cNvPr id="0" name=""/>
        <dsp:cNvSpPr/>
      </dsp:nvSpPr>
      <dsp:spPr>
        <a:xfrm>
          <a:off x="1365752" y="778303"/>
          <a:ext cx="1170644" cy="1037737"/>
        </a:xfrm>
        <a:prstGeom prst="rect">
          <a:avLst/>
        </a:prstGeom>
        <a:solidFill>
          <a:srgbClr val="5A5098"/>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72000" lvl="0" algn="ctr" defTabSz="488950">
            <a:lnSpc>
              <a:spcPct val="90000"/>
            </a:lnSpc>
            <a:spcBef>
              <a:spcPct val="0"/>
            </a:spcBef>
            <a:spcAft>
              <a:spcPct val="35000"/>
            </a:spcAft>
          </a:pPr>
          <a:r>
            <a:rPr lang="en-AU" sz="1100" b="1" kern="1200">
              <a:solidFill>
                <a:sysClr val="windowText" lastClr="000000"/>
              </a:solidFill>
              <a:latin typeface="Calibri Light" panose="020F0302020204030204"/>
              <a:ea typeface="+mn-ea"/>
              <a:cs typeface="+mn-cs"/>
            </a:rPr>
            <a:t>A starting point</a:t>
          </a:r>
        </a:p>
        <a:p>
          <a:pPr marL="72000" lvl="0" algn="ctr" defTabSz="488950">
            <a:lnSpc>
              <a:spcPct val="90000"/>
            </a:lnSpc>
            <a:spcBef>
              <a:spcPct val="0"/>
            </a:spcBef>
            <a:spcAft>
              <a:spcPct val="35000"/>
            </a:spcAft>
          </a:pPr>
          <a:r>
            <a:rPr lang="en-AU" sz="1100" b="1" kern="1200">
              <a:solidFill>
                <a:schemeClr val="bg1"/>
              </a:solidFill>
              <a:latin typeface="Calibri Light" panose="020F0302020204030204"/>
              <a:ea typeface="+mn-ea"/>
              <a:cs typeface="+mn-cs"/>
            </a:rPr>
            <a:t>Gender analysis/ awareness programs</a:t>
          </a:r>
        </a:p>
      </dsp:txBody>
      <dsp:txXfrm>
        <a:off x="1365752" y="778303"/>
        <a:ext cx="1170644" cy="1037737"/>
      </dsp:txXfrm>
    </dsp:sp>
    <dsp:sp modelId="{E398F85A-3D25-4164-91CF-C663F44F7AF7}">
      <dsp:nvSpPr>
        <dsp:cNvPr id="0" name=""/>
        <dsp:cNvSpPr/>
      </dsp:nvSpPr>
      <dsp:spPr>
        <a:xfrm>
          <a:off x="2731504" y="778303"/>
          <a:ext cx="1170644" cy="1037737"/>
        </a:xfrm>
        <a:prstGeom prst="rect">
          <a:avLst/>
        </a:prstGeom>
        <a:solidFill>
          <a:srgbClr val="70AD47">
            <a:lumMod val="5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72000" lvl="0" algn="ctr" defTabSz="488950">
            <a:lnSpc>
              <a:spcPct val="90000"/>
            </a:lnSpc>
            <a:spcBef>
              <a:spcPct val="0"/>
            </a:spcBef>
            <a:spcAft>
              <a:spcPct val="35000"/>
            </a:spcAft>
          </a:pPr>
          <a:r>
            <a:rPr lang="en-AU" sz="1100" b="1" kern="1200">
              <a:solidFill>
                <a:sysClr val="windowText" lastClr="000000"/>
              </a:solidFill>
              <a:latin typeface="Calibri Light" panose="020F0302020204030204"/>
              <a:ea typeface="+mn-ea"/>
              <a:cs typeface="+mn-cs"/>
            </a:rPr>
            <a:t>Goal</a:t>
          </a:r>
        </a:p>
        <a:p>
          <a:pPr marL="72000" lvl="0" algn="ctr" defTabSz="488950">
            <a:lnSpc>
              <a:spcPct val="90000"/>
            </a:lnSpc>
            <a:spcBef>
              <a:spcPct val="0"/>
            </a:spcBef>
            <a:spcAft>
              <a:spcPct val="35000"/>
            </a:spcAft>
          </a:pPr>
          <a:r>
            <a:rPr lang="en-AU" sz="1100" b="1" kern="1200">
              <a:solidFill>
                <a:schemeClr val="bg1"/>
              </a:solidFill>
              <a:latin typeface="Calibri Light" panose="020F0302020204030204"/>
              <a:ea typeface="+mn-ea"/>
              <a:cs typeface="+mn-cs"/>
            </a:rPr>
            <a:t>Gender equality</a:t>
          </a:r>
        </a:p>
      </dsp:txBody>
      <dsp:txXfrm>
        <a:off x="2731504" y="778303"/>
        <a:ext cx="1170644" cy="103773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9C1A7F-EA3B-4EB2-8551-B5182CD43274}">
      <dsp:nvSpPr>
        <dsp:cNvPr id="0" name=""/>
        <dsp:cNvSpPr/>
      </dsp:nvSpPr>
      <dsp:spPr>
        <a:xfrm>
          <a:off x="831649" y="177590"/>
          <a:ext cx="1031642" cy="284208"/>
        </a:xfrm>
        <a:prstGeom prst="rect">
          <a:avLst/>
        </a:prstGeom>
        <a:solidFill>
          <a:srgbClr val="E6E7F2"/>
        </a:solidFill>
        <a:ln w="12700" cap="flat" cmpd="sng" algn="ctr">
          <a:noFill/>
          <a:prstDash val="solid"/>
          <a:miter lim="800000"/>
        </a:ln>
        <a:effectLst/>
      </dsp:spPr>
      <dsp:style>
        <a:lnRef idx="0">
          <a:scrgbClr r="0" g="0" b="0"/>
        </a:lnRef>
        <a:fillRef idx="0">
          <a:scrgbClr r="0" g="0" b="0"/>
        </a:fillRef>
        <a:effectRef idx="0">
          <a:scrgbClr r="0" g="0" b="0"/>
        </a:effectRef>
        <a:fontRef idx="minor"/>
      </dsp:style>
      <dsp:txBody>
        <a:bodyPr spcFirstLastPara="0" vert="horz" wrap="square" lIns="0" tIns="0" rIns="250656" bIns="0" numCol="1" spcCol="1270" anchor="t" anchorCtr="0">
          <a:noAutofit/>
        </a:bodyPr>
        <a:lstStyle/>
        <a:p>
          <a:pPr marL="180000" lvl="0" algn="just" defTabSz="533400">
            <a:lnSpc>
              <a:spcPct val="90000"/>
            </a:lnSpc>
            <a:spcBef>
              <a:spcPct val="0"/>
            </a:spcBef>
            <a:spcAft>
              <a:spcPct val="35000"/>
            </a:spcAft>
          </a:pPr>
          <a:r>
            <a:rPr lang="en-AU" sz="1200" b="1" kern="1200">
              <a:solidFill>
                <a:srgbClr val="5A5098"/>
              </a:solidFill>
              <a:latin typeface="Calibri" panose="020F0502020204030204"/>
              <a:ea typeface="+mn-ea"/>
              <a:cs typeface="+mn-cs"/>
            </a:rPr>
            <a:t>NOTE</a:t>
          </a:r>
        </a:p>
      </dsp:txBody>
      <dsp:txXfrm>
        <a:off x="831649" y="177590"/>
        <a:ext cx="1031642" cy="284208"/>
      </dsp:txXfrm>
    </dsp:sp>
    <dsp:sp modelId="{CDDEB82E-905B-46A1-9603-EEB3029E28C7}">
      <dsp:nvSpPr>
        <dsp:cNvPr id="0" name=""/>
        <dsp:cNvSpPr/>
      </dsp:nvSpPr>
      <dsp:spPr>
        <a:xfrm>
          <a:off x="556727" y="593129"/>
          <a:ext cx="4699063" cy="1055423"/>
        </a:xfrm>
        <a:prstGeom prst="rect">
          <a:avLst/>
        </a:prstGeom>
        <a:noFill/>
        <a:ln w="12700" cap="flat" cmpd="sng" algn="ctr">
          <a:solidFill>
            <a:srgbClr val="E6E7F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250656" rIns="78232" bIns="78232" numCol="1" spcCol="1270" anchor="t" anchorCtr="0">
          <a:noAutofit/>
        </a:bodyPr>
        <a:lstStyle/>
        <a:p>
          <a:pPr marL="252000" lvl="1" indent="-252000" algn="just" defTabSz="488950">
            <a:lnSpc>
              <a:spcPts val="1320"/>
            </a:lnSpc>
            <a:spcBef>
              <a:spcPct val="0"/>
            </a:spcBef>
            <a:spcAft>
              <a:spcPts val="1200"/>
            </a:spcAft>
            <a:buChar char="••"/>
          </a:pPr>
          <a:r>
            <a:rPr lang="en-AU" sz="1100" kern="1200">
              <a:solidFill>
                <a:sysClr val="windowText" lastClr="000000">
                  <a:hueOff val="0"/>
                  <a:satOff val="0"/>
                  <a:lumOff val="0"/>
                  <a:alphaOff val="0"/>
                </a:sysClr>
              </a:solidFill>
              <a:latin typeface="Calibri Light" panose="020F0302020204030204"/>
              <a:ea typeface="+mn-ea"/>
              <a:cs typeface="+mn-cs"/>
            </a:rPr>
            <a:t>Depending on the issues/situation, you may not need to start from stage 1, and your analysis may not involve all stages. Also, some stages may take longer than others.</a:t>
          </a:r>
        </a:p>
      </dsp:txBody>
      <dsp:txXfrm>
        <a:off x="556727" y="593129"/>
        <a:ext cx="4699063" cy="1055423"/>
      </dsp:txXfrm>
    </dsp:sp>
    <dsp:sp modelId="{F03E27BE-8E74-4068-9A88-37DD6347CD9B}">
      <dsp:nvSpPr>
        <dsp:cNvPr id="0" name=""/>
        <dsp:cNvSpPr/>
      </dsp:nvSpPr>
      <dsp:spPr>
        <a:xfrm rot="10800000">
          <a:off x="272519" y="73921"/>
          <a:ext cx="568416" cy="568416"/>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4000" r="-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DAE95B-9499-4A56-A9EF-EA99B454DBB5}">
      <dsp:nvSpPr>
        <dsp:cNvPr id="0" name=""/>
        <dsp:cNvSpPr/>
      </dsp:nvSpPr>
      <dsp:spPr>
        <a:xfrm>
          <a:off x="2258" y="0"/>
          <a:ext cx="2533538" cy="2472855"/>
        </a:xfrm>
        <a:prstGeom prst="roundRect">
          <a:avLst>
            <a:gd name="adj" fmla="val 5000"/>
          </a:avLst>
        </a:prstGeom>
        <a:noFill/>
        <a:ln w="12700" cap="flat" cmpd="sng" algn="ctr">
          <a:solidFill>
            <a:srgbClr val="E6E7F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99441" rIns="128905" bIns="0" numCol="1" spcCol="1270" anchor="t" anchorCtr="0">
          <a:noAutofit/>
        </a:bodyPr>
        <a:lstStyle/>
        <a:p>
          <a:pPr lvl="0" algn="r" defTabSz="1289050">
            <a:lnSpc>
              <a:spcPct val="90000"/>
            </a:lnSpc>
            <a:spcBef>
              <a:spcPct val="0"/>
            </a:spcBef>
            <a:spcAft>
              <a:spcPct val="35000"/>
            </a:spcAft>
          </a:pPr>
          <a:endParaRPr lang="en-AU" sz="2900" kern="1200">
            <a:solidFill>
              <a:sysClr val="window" lastClr="FFFFFF"/>
            </a:solidFill>
            <a:latin typeface="Calibri" panose="020F0502020204030204"/>
            <a:ea typeface="+mn-ea"/>
            <a:cs typeface="+mn-cs"/>
          </a:endParaRPr>
        </a:p>
      </dsp:txBody>
      <dsp:txXfrm rot="16200000">
        <a:off x="-758258" y="760516"/>
        <a:ext cx="2027741" cy="506707"/>
      </dsp:txXfrm>
    </dsp:sp>
    <dsp:sp modelId="{5BA70862-8CD4-4754-8340-F1AA6F2B6D33}">
      <dsp:nvSpPr>
        <dsp:cNvPr id="0" name=""/>
        <dsp:cNvSpPr/>
      </dsp:nvSpPr>
      <dsp:spPr>
        <a:xfrm>
          <a:off x="508965" y="0"/>
          <a:ext cx="1887486" cy="247285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endParaRPr lang="en-AU" sz="1100" b="1" kern="1200">
            <a:solidFill>
              <a:sysClr val="windowText" lastClr="000000"/>
            </a:solidFill>
            <a:latin typeface="Calibri" panose="020F0502020204030204"/>
            <a:ea typeface="+mn-ea"/>
            <a:cs typeface="+mn-cs"/>
          </a:endParaRPr>
        </a:p>
        <a:p>
          <a:pPr lvl="0" algn="l" defTabSz="488950">
            <a:lnSpc>
              <a:spcPct val="90000"/>
            </a:lnSpc>
            <a:spcBef>
              <a:spcPct val="0"/>
            </a:spcBef>
            <a:spcAft>
              <a:spcPts val="600"/>
            </a:spcAft>
          </a:pPr>
          <a:r>
            <a:rPr lang="en-AU" sz="1100" b="1" kern="1200">
              <a:solidFill>
                <a:sysClr val="windowText" lastClr="000000"/>
              </a:solidFill>
              <a:latin typeface="Calibri" panose="020F0502020204030204"/>
              <a:ea typeface="+mn-ea"/>
              <a:cs typeface="+mn-cs"/>
            </a:rPr>
            <a:t>Denial and inversion</a:t>
          </a:r>
        </a:p>
        <a:p>
          <a:pPr lvl="0" algn="l" defTabSz="488950">
            <a:lnSpc>
              <a:spcPct val="90000"/>
            </a:lnSpc>
            <a:spcBef>
              <a:spcPct val="0"/>
            </a:spcBef>
            <a:spcAft>
              <a:spcPts val="600"/>
            </a:spcAft>
          </a:pPr>
          <a:r>
            <a:rPr lang="en-AU" sz="1100" kern="1200">
              <a:solidFill>
                <a:sysClr val="windowText" lastClr="000000"/>
              </a:solidFill>
              <a:latin typeface="Calibri" panose="020F0502020204030204"/>
              <a:ea typeface="+mn-ea"/>
              <a:cs typeface="+mn-cs"/>
            </a:rPr>
            <a:t>Individuals in power completely deny the existence of gender gaps or discrimination against women.</a:t>
          </a:r>
        </a:p>
        <a:p>
          <a:pPr lvl="0" algn="l" defTabSz="488950">
            <a:lnSpc>
              <a:spcPct val="90000"/>
            </a:lnSpc>
            <a:spcBef>
              <a:spcPct val="0"/>
            </a:spcBef>
            <a:spcAft>
              <a:spcPts val="600"/>
            </a:spcAft>
          </a:pPr>
          <a:r>
            <a:rPr lang="en-AU" sz="1100" kern="1200">
              <a:solidFill>
                <a:sysClr val="windowText" lastClr="000000"/>
              </a:solidFill>
              <a:latin typeface="Calibri" panose="020F0502020204030204"/>
              <a:ea typeface="+mn-ea"/>
              <a:cs typeface="+mn-cs"/>
            </a:rPr>
            <a:t>'Women already have equality', 'it is their own fault if they don’t take advantage of these opportunities’ and 'gender analysis is not relevant to this topic/issue/program' are common arguments.	 </a:t>
          </a:r>
        </a:p>
        <a:p>
          <a:pPr lvl="0" algn="ctr" defTabSz="488950">
            <a:lnSpc>
              <a:spcPct val="90000"/>
            </a:lnSpc>
            <a:spcBef>
              <a:spcPct val="0"/>
            </a:spcBef>
            <a:spcAft>
              <a:spcPct val="35000"/>
            </a:spcAft>
          </a:pPr>
          <a:endParaRPr lang="en-AU" sz="1100" kern="1200">
            <a:solidFill>
              <a:sysClr val="windowText" lastClr="000000"/>
            </a:solidFill>
            <a:latin typeface="Calibri" panose="020F0502020204030204"/>
            <a:ea typeface="+mn-ea"/>
            <a:cs typeface="+mn-cs"/>
          </a:endParaRPr>
        </a:p>
      </dsp:txBody>
      <dsp:txXfrm>
        <a:off x="508965" y="0"/>
        <a:ext cx="1887486" cy="2472855"/>
      </dsp:txXfrm>
    </dsp:sp>
    <dsp:sp modelId="{7DE8C76F-2853-4609-A8E6-63E37988E462}">
      <dsp:nvSpPr>
        <dsp:cNvPr id="0" name=""/>
        <dsp:cNvSpPr/>
      </dsp:nvSpPr>
      <dsp:spPr>
        <a:xfrm>
          <a:off x="3141103" y="0"/>
          <a:ext cx="2533538" cy="2472855"/>
        </a:xfrm>
        <a:prstGeom prst="roundRect">
          <a:avLst>
            <a:gd name="adj" fmla="val 5000"/>
          </a:avLst>
        </a:prstGeom>
        <a:solidFill>
          <a:srgbClr val="E6E7F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99441" rIns="128905" bIns="0" numCol="1" spcCol="1270" anchor="t" anchorCtr="0">
          <a:noAutofit/>
        </a:bodyPr>
        <a:lstStyle/>
        <a:p>
          <a:pPr lvl="0" algn="r" defTabSz="1289050">
            <a:lnSpc>
              <a:spcPct val="90000"/>
            </a:lnSpc>
            <a:spcBef>
              <a:spcPct val="0"/>
            </a:spcBef>
            <a:spcAft>
              <a:spcPct val="35000"/>
            </a:spcAft>
          </a:pPr>
          <a:endParaRPr lang="en-AU" sz="2900" kern="1200">
            <a:solidFill>
              <a:sysClr val="window" lastClr="FFFFFF"/>
            </a:solidFill>
            <a:latin typeface="Calibri" panose="020F0502020204030204"/>
            <a:ea typeface="+mn-ea"/>
            <a:cs typeface="+mn-cs"/>
          </a:endParaRPr>
        </a:p>
      </dsp:txBody>
      <dsp:txXfrm rot="16200000">
        <a:off x="2380586" y="760516"/>
        <a:ext cx="2027741" cy="506707"/>
      </dsp:txXfrm>
    </dsp:sp>
    <dsp:sp modelId="{B69A4D15-46DA-4831-A682-3B9C690822D2}">
      <dsp:nvSpPr>
        <dsp:cNvPr id="0" name=""/>
        <dsp:cNvSpPr/>
      </dsp:nvSpPr>
      <dsp:spPr>
        <a:xfrm rot="5400000">
          <a:off x="2634814" y="1604080"/>
          <a:ext cx="521281" cy="896663"/>
        </a:xfrm>
        <a:prstGeom prst="flowChartExtract">
          <a:avLst/>
        </a:prstGeom>
        <a:solidFill>
          <a:srgbClr val="5A5098"/>
        </a:solidFill>
        <a:ln w="12700" cap="flat" cmpd="sng" algn="ctr">
          <a:no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dsp:style>
    </dsp:sp>
    <dsp:sp modelId="{56FFBF0D-2F11-4D8D-B89B-2B527555263D}">
      <dsp:nvSpPr>
        <dsp:cNvPr id="0" name=""/>
        <dsp:cNvSpPr/>
      </dsp:nvSpPr>
      <dsp:spPr>
        <a:xfrm>
          <a:off x="3647811" y="0"/>
          <a:ext cx="1887486" cy="247285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endParaRPr lang="en-AU" sz="1100" kern="1200">
            <a:solidFill>
              <a:sysClr val="windowText" lastClr="000000"/>
            </a:solidFill>
            <a:latin typeface="Calibri" panose="020F0502020204030204"/>
            <a:ea typeface="+mn-ea"/>
            <a:cs typeface="+mn-cs"/>
          </a:endParaRPr>
        </a:p>
        <a:p>
          <a:pPr lvl="0" algn="l" defTabSz="488950">
            <a:lnSpc>
              <a:spcPct val="90000"/>
            </a:lnSpc>
            <a:spcBef>
              <a:spcPct val="0"/>
            </a:spcBef>
            <a:spcAft>
              <a:spcPts val="600"/>
            </a:spcAft>
          </a:pPr>
          <a:r>
            <a:rPr lang="en-AU" sz="1100" kern="1200">
              <a:solidFill>
                <a:sysClr val="windowText" lastClr="000000"/>
              </a:solidFill>
              <a:latin typeface="Calibri" panose="020F0502020204030204"/>
              <a:ea typeface="+mn-ea"/>
              <a:cs typeface="+mn-cs"/>
            </a:rPr>
            <a:t>Present undeniable statistical evidence (see the gender statistics in Section 3 of this Toolkit).</a:t>
          </a:r>
        </a:p>
        <a:p>
          <a:pPr lvl="0" algn="l" defTabSz="488950">
            <a:lnSpc>
              <a:spcPct val="90000"/>
            </a:lnSpc>
            <a:spcBef>
              <a:spcPct val="0"/>
            </a:spcBef>
            <a:spcAft>
              <a:spcPts val="600"/>
            </a:spcAft>
          </a:pPr>
          <a:r>
            <a:rPr lang="en-AU" sz="1100" kern="1200">
              <a:solidFill>
                <a:sysClr val="windowText" lastClr="000000"/>
              </a:solidFill>
              <a:latin typeface="Calibri" panose="020F0502020204030204"/>
              <a:ea typeface="+mn-ea"/>
              <a:cs typeface="+mn-cs"/>
            </a:rPr>
            <a:t>Present actual examples, including personal accounts of discrimination and the consequences.</a:t>
          </a:r>
        </a:p>
        <a:p>
          <a:pPr lvl="0" algn="l" defTabSz="488950">
            <a:lnSpc>
              <a:spcPct val="90000"/>
            </a:lnSpc>
            <a:spcBef>
              <a:spcPct val="0"/>
            </a:spcBef>
            <a:spcAft>
              <a:spcPct val="35000"/>
            </a:spcAft>
          </a:pPr>
          <a:endParaRPr lang="en-AU" sz="1100" kern="1200">
            <a:solidFill>
              <a:sysClr val="windowText" lastClr="000000"/>
            </a:solidFill>
            <a:latin typeface="Calibri" panose="020F0502020204030204"/>
            <a:ea typeface="+mn-ea"/>
            <a:cs typeface="+mn-cs"/>
          </a:endParaRPr>
        </a:p>
      </dsp:txBody>
      <dsp:txXfrm>
        <a:off x="3647811" y="0"/>
        <a:ext cx="1887486" cy="247285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DAE95B-9499-4A56-A9EF-EA99B454DBB5}">
      <dsp:nvSpPr>
        <dsp:cNvPr id="0" name=""/>
        <dsp:cNvSpPr/>
      </dsp:nvSpPr>
      <dsp:spPr>
        <a:xfrm>
          <a:off x="2258" y="0"/>
          <a:ext cx="2533538" cy="2671639"/>
        </a:xfrm>
        <a:prstGeom prst="roundRect">
          <a:avLst>
            <a:gd name="adj" fmla="val 5000"/>
          </a:avLst>
        </a:prstGeom>
        <a:noFill/>
        <a:ln w="12700" cap="flat" cmpd="sng" algn="ctr">
          <a:solidFill>
            <a:srgbClr val="70AD47">
              <a:lumMod val="20000"/>
              <a:lumOff val="8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99441" rIns="128905" bIns="0" numCol="1" spcCol="1270" anchor="t" anchorCtr="0">
          <a:noAutofit/>
        </a:bodyPr>
        <a:lstStyle/>
        <a:p>
          <a:pPr lvl="0" algn="r" defTabSz="1289050">
            <a:lnSpc>
              <a:spcPct val="90000"/>
            </a:lnSpc>
            <a:spcBef>
              <a:spcPct val="0"/>
            </a:spcBef>
            <a:spcAft>
              <a:spcPct val="35000"/>
            </a:spcAft>
          </a:pPr>
          <a:endParaRPr lang="en-AU" sz="2900" kern="1200">
            <a:solidFill>
              <a:sysClr val="window" lastClr="FFFFFF"/>
            </a:solidFill>
            <a:latin typeface="Calibri" panose="020F0502020204030204"/>
            <a:ea typeface="+mn-ea"/>
            <a:cs typeface="+mn-cs"/>
          </a:endParaRPr>
        </a:p>
      </dsp:txBody>
      <dsp:txXfrm rot="16200000">
        <a:off x="-839759" y="842018"/>
        <a:ext cx="2190743" cy="506707"/>
      </dsp:txXfrm>
    </dsp:sp>
    <dsp:sp modelId="{5BA70862-8CD4-4754-8340-F1AA6F2B6D33}">
      <dsp:nvSpPr>
        <dsp:cNvPr id="0" name=""/>
        <dsp:cNvSpPr/>
      </dsp:nvSpPr>
      <dsp:spPr>
        <a:xfrm>
          <a:off x="508965" y="0"/>
          <a:ext cx="1887486" cy="2671639"/>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endParaRPr lang="en-AU" sz="1100" b="1" kern="1200">
            <a:solidFill>
              <a:sysClr val="windowText" lastClr="000000"/>
            </a:solidFill>
            <a:latin typeface="Calibri" panose="020F0502020204030204"/>
            <a:ea typeface="+mn-ea"/>
            <a:cs typeface="+mn-cs"/>
          </a:endParaRPr>
        </a:p>
        <a:p>
          <a:pPr lvl="0" algn="l" defTabSz="488950">
            <a:lnSpc>
              <a:spcPct val="90000"/>
            </a:lnSpc>
            <a:spcBef>
              <a:spcPct val="0"/>
            </a:spcBef>
            <a:spcAft>
              <a:spcPts val="600"/>
            </a:spcAft>
          </a:pPr>
          <a:r>
            <a:rPr lang="en-AU" sz="1100" b="1" kern="1200">
              <a:solidFill>
                <a:sysClr val="windowText" lastClr="000000"/>
              </a:solidFill>
              <a:latin typeface="Calibri" panose="020F0502020204030204"/>
              <a:ea typeface="+mn-ea"/>
              <a:cs typeface="+mn-cs"/>
            </a:rPr>
            <a:t>Dilution and selection</a:t>
          </a:r>
        </a:p>
        <a:p>
          <a:pPr lvl="0" algn="l" defTabSz="488950">
            <a:lnSpc>
              <a:spcPct val="90000"/>
            </a:lnSpc>
            <a:spcBef>
              <a:spcPct val="0"/>
            </a:spcBef>
            <a:spcAft>
              <a:spcPts val="600"/>
            </a:spcAft>
          </a:pPr>
          <a:r>
            <a:rPr lang="en-AU" sz="1100" kern="1200">
              <a:solidFill>
                <a:sysClr val="windowText" lastClr="000000"/>
              </a:solidFill>
              <a:latin typeface="Calibri" panose="020F0502020204030204"/>
              <a:ea typeface="+mn-ea"/>
              <a:cs typeface="+mn-cs"/>
            </a:rPr>
            <a:t>Power structures and individuals acknowledge women’s issues but only in ways that will not threaten the control of resources or engagement.</a:t>
          </a:r>
        </a:p>
        <a:p>
          <a:pPr lvl="0" algn="l" defTabSz="488950">
            <a:lnSpc>
              <a:spcPct val="90000"/>
            </a:lnSpc>
            <a:spcBef>
              <a:spcPct val="0"/>
            </a:spcBef>
            <a:spcAft>
              <a:spcPts val="600"/>
            </a:spcAft>
          </a:pPr>
          <a:r>
            <a:rPr lang="en-AU" sz="1100" kern="1200">
              <a:solidFill>
                <a:sysClr val="windowText" lastClr="000000"/>
              </a:solidFill>
              <a:latin typeface="Calibri" panose="020F0502020204030204"/>
              <a:ea typeface="+mn-ea"/>
              <a:cs typeface="+mn-cs"/>
            </a:rPr>
            <a:t>For example, they may acknowledge gender gaps but deny discrimination against women or any structural problem caused by resources and decision-making processes being controlled by men.</a:t>
          </a:r>
        </a:p>
      </dsp:txBody>
      <dsp:txXfrm>
        <a:off x="508965" y="0"/>
        <a:ext cx="1887486" cy="2671639"/>
      </dsp:txXfrm>
    </dsp:sp>
    <dsp:sp modelId="{7DE8C76F-2853-4609-A8E6-63E37988E462}">
      <dsp:nvSpPr>
        <dsp:cNvPr id="0" name=""/>
        <dsp:cNvSpPr/>
      </dsp:nvSpPr>
      <dsp:spPr>
        <a:xfrm>
          <a:off x="3141103" y="0"/>
          <a:ext cx="2533538" cy="2671639"/>
        </a:xfrm>
        <a:prstGeom prst="roundRect">
          <a:avLst>
            <a:gd name="adj" fmla="val 5000"/>
          </a:avLst>
        </a:prstGeom>
        <a:solidFill>
          <a:srgbClr val="EEF7E9"/>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99441" rIns="128905" bIns="0" numCol="1" spcCol="1270" anchor="t" anchorCtr="0">
          <a:noAutofit/>
        </a:bodyPr>
        <a:lstStyle/>
        <a:p>
          <a:pPr lvl="0" algn="r" defTabSz="1289050">
            <a:lnSpc>
              <a:spcPct val="90000"/>
            </a:lnSpc>
            <a:spcBef>
              <a:spcPct val="0"/>
            </a:spcBef>
            <a:spcAft>
              <a:spcPct val="35000"/>
            </a:spcAft>
          </a:pPr>
          <a:endParaRPr lang="en-AU" sz="2900" kern="1200">
            <a:solidFill>
              <a:sysClr val="window" lastClr="FFFFFF"/>
            </a:solidFill>
            <a:latin typeface="Calibri" panose="020F0502020204030204"/>
            <a:ea typeface="+mn-ea"/>
            <a:cs typeface="+mn-cs"/>
          </a:endParaRPr>
        </a:p>
      </dsp:txBody>
      <dsp:txXfrm rot="16200000">
        <a:off x="2299085" y="842018"/>
        <a:ext cx="2190743" cy="506707"/>
      </dsp:txXfrm>
    </dsp:sp>
    <dsp:sp modelId="{B69A4D15-46DA-4831-A682-3B9C690822D2}">
      <dsp:nvSpPr>
        <dsp:cNvPr id="0" name=""/>
        <dsp:cNvSpPr/>
      </dsp:nvSpPr>
      <dsp:spPr>
        <a:xfrm rot="5400000">
          <a:off x="2627846" y="1781798"/>
          <a:ext cx="535216" cy="896663"/>
        </a:xfrm>
        <a:prstGeom prst="flowChartExtract">
          <a:avLst/>
        </a:prstGeom>
        <a:solidFill>
          <a:srgbClr val="70AD47">
            <a:lumMod val="50000"/>
          </a:srgbClr>
        </a:solidFill>
        <a:ln w="12700" cap="flat" cmpd="sng" algn="ctr">
          <a:no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dsp:style>
    </dsp:sp>
    <dsp:sp modelId="{56FFBF0D-2F11-4D8D-B89B-2B527555263D}">
      <dsp:nvSpPr>
        <dsp:cNvPr id="0" name=""/>
        <dsp:cNvSpPr/>
      </dsp:nvSpPr>
      <dsp:spPr>
        <a:xfrm>
          <a:off x="3647811" y="0"/>
          <a:ext cx="1887486" cy="2671639"/>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endParaRPr lang="en-AU" sz="1100" kern="1200">
            <a:solidFill>
              <a:sysClr val="windowText" lastClr="000000"/>
            </a:solidFill>
            <a:latin typeface="Calibri" panose="020F0502020204030204"/>
            <a:ea typeface="+mn-ea"/>
            <a:cs typeface="+mn-cs"/>
          </a:endParaRPr>
        </a:p>
        <a:p>
          <a:pPr lvl="0" algn="l" defTabSz="488950">
            <a:lnSpc>
              <a:spcPct val="90000"/>
            </a:lnSpc>
            <a:spcBef>
              <a:spcPct val="0"/>
            </a:spcBef>
            <a:spcAft>
              <a:spcPts val="600"/>
            </a:spcAft>
          </a:pPr>
          <a:r>
            <a:rPr lang="en-AU" sz="1100" kern="1200">
              <a:solidFill>
                <a:sysClr val="windowText" lastClr="000000"/>
              </a:solidFill>
              <a:latin typeface="Calibri" panose="020F0502020204030204"/>
              <a:ea typeface="+mn-ea"/>
              <a:cs typeface="+mn-cs"/>
            </a:rPr>
            <a:t>Do not be content with the identification of women's issues at the level of defining the problem.</a:t>
          </a:r>
        </a:p>
        <a:p>
          <a:pPr lvl="0" algn="l" defTabSz="488950">
            <a:lnSpc>
              <a:spcPct val="90000"/>
            </a:lnSpc>
            <a:spcBef>
              <a:spcPct val="0"/>
            </a:spcBef>
            <a:spcAft>
              <a:spcPts val="600"/>
            </a:spcAft>
          </a:pPr>
          <a:r>
            <a:rPr lang="en-AU" sz="1100" kern="1200">
              <a:solidFill>
                <a:sysClr val="windowText" lastClr="000000"/>
              </a:solidFill>
              <a:latin typeface="Calibri" panose="020F0502020204030204"/>
              <a:ea typeface="+mn-ea"/>
              <a:cs typeface="+mn-cs"/>
            </a:rPr>
            <a:t>Insist that the program or project's design must feature women’s participation throughout. Also insist on objectives that promote social and economic engagement by women.</a:t>
          </a:r>
        </a:p>
      </dsp:txBody>
      <dsp:txXfrm>
        <a:off x="3647811" y="0"/>
        <a:ext cx="1887486" cy="267163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DAE95B-9499-4A56-A9EF-EA99B454DBB5}">
      <dsp:nvSpPr>
        <dsp:cNvPr id="0" name=""/>
        <dsp:cNvSpPr/>
      </dsp:nvSpPr>
      <dsp:spPr>
        <a:xfrm>
          <a:off x="2258" y="0"/>
          <a:ext cx="2533538" cy="2001328"/>
        </a:xfrm>
        <a:prstGeom prst="roundRect">
          <a:avLst>
            <a:gd name="adj" fmla="val 5000"/>
          </a:avLst>
        </a:prstGeom>
        <a:noFill/>
        <a:ln w="12700" cap="flat" cmpd="sng" algn="ctr">
          <a:solidFill>
            <a:srgbClr val="E6E7F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99441" rIns="128905" bIns="0" numCol="1" spcCol="1270" anchor="t" anchorCtr="0">
          <a:noAutofit/>
        </a:bodyPr>
        <a:lstStyle/>
        <a:p>
          <a:pPr lvl="0" algn="r" defTabSz="1289050">
            <a:lnSpc>
              <a:spcPct val="90000"/>
            </a:lnSpc>
            <a:spcBef>
              <a:spcPct val="0"/>
            </a:spcBef>
            <a:spcAft>
              <a:spcPct val="35000"/>
            </a:spcAft>
          </a:pPr>
          <a:endParaRPr lang="en-AU" sz="2900" kern="1200">
            <a:solidFill>
              <a:sysClr val="window" lastClr="FFFFFF"/>
            </a:solidFill>
            <a:latin typeface="Calibri" panose="020F0502020204030204"/>
            <a:ea typeface="+mn-ea"/>
            <a:cs typeface="+mn-cs"/>
          </a:endParaRPr>
        </a:p>
      </dsp:txBody>
      <dsp:txXfrm rot="16200000">
        <a:off x="-564932" y="567190"/>
        <a:ext cx="1641088" cy="506707"/>
      </dsp:txXfrm>
    </dsp:sp>
    <dsp:sp modelId="{5BA70862-8CD4-4754-8340-F1AA6F2B6D33}">
      <dsp:nvSpPr>
        <dsp:cNvPr id="0" name=""/>
        <dsp:cNvSpPr/>
      </dsp:nvSpPr>
      <dsp:spPr>
        <a:xfrm>
          <a:off x="508965" y="0"/>
          <a:ext cx="1887486" cy="200132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ts val="600"/>
            </a:spcAft>
          </a:pPr>
          <a:endParaRPr lang="en-AU" sz="1100" b="1" kern="1200">
            <a:solidFill>
              <a:sysClr val="windowText" lastClr="000000"/>
            </a:solidFill>
            <a:latin typeface="Calibri" panose="020F0502020204030204"/>
            <a:ea typeface="+mn-ea"/>
            <a:cs typeface="+mn-cs"/>
          </a:endParaRPr>
        </a:p>
        <a:p>
          <a:pPr lvl="0" algn="l" defTabSz="488950">
            <a:lnSpc>
              <a:spcPct val="90000"/>
            </a:lnSpc>
            <a:spcBef>
              <a:spcPct val="0"/>
            </a:spcBef>
            <a:spcAft>
              <a:spcPts val="600"/>
            </a:spcAft>
          </a:pPr>
          <a:r>
            <a:rPr lang="en-AU" sz="1100" b="1" kern="1200">
              <a:solidFill>
                <a:sysClr val="windowText" lastClr="000000"/>
              </a:solidFill>
              <a:latin typeface="Calibri" panose="020F0502020204030204"/>
              <a:ea typeface="+mn-ea"/>
              <a:cs typeface="+mn-cs"/>
            </a:rPr>
            <a:t>Subversion</a:t>
          </a:r>
        </a:p>
        <a:p>
          <a:pPr lvl="0" algn="l" defTabSz="488950">
            <a:lnSpc>
              <a:spcPct val="90000"/>
            </a:lnSpc>
            <a:spcBef>
              <a:spcPct val="0"/>
            </a:spcBef>
            <a:spcAft>
              <a:spcPts val="600"/>
            </a:spcAft>
          </a:pPr>
          <a:r>
            <a:rPr lang="en-AU" sz="1100" kern="1200">
              <a:solidFill>
                <a:sysClr val="windowText" lastClr="000000"/>
              </a:solidFill>
              <a:latin typeface="Calibri" panose="020F0502020204030204"/>
              <a:ea typeface="+mn-ea"/>
              <a:cs typeface="+mn-cs"/>
            </a:rPr>
            <a:t>The leadership does not provide the resources for change.</a:t>
          </a:r>
        </a:p>
        <a:p>
          <a:pPr lvl="0" algn="l" defTabSz="488950">
            <a:lnSpc>
              <a:spcPct val="90000"/>
            </a:lnSpc>
            <a:spcBef>
              <a:spcPct val="0"/>
            </a:spcBef>
            <a:spcAft>
              <a:spcPts val="600"/>
            </a:spcAft>
          </a:pPr>
          <a:r>
            <a:rPr lang="en-AU" sz="1100" kern="1200">
              <a:solidFill>
                <a:sysClr val="windowText" lastClr="000000"/>
              </a:solidFill>
              <a:latin typeface="Calibri" panose="020F0502020204030204"/>
              <a:ea typeface="+mn-ea"/>
              <a:cs typeface="+mn-cs"/>
            </a:rPr>
            <a:t>For example, staff who do not support gender analysis may be appointed to the task, decisions may be constantly referred up or down the hierarchy, files may be lost and meetings not attended.</a:t>
          </a:r>
        </a:p>
        <a:p>
          <a:pPr lvl="0" algn="ctr" defTabSz="488950">
            <a:lnSpc>
              <a:spcPct val="90000"/>
            </a:lnSpc>
            <a:spcBef>
              <a:spcPct val="0"/>
            </a:spcBef>
            <a:spcAft>
              <a:spcPct val="35000"/>
            </a:spcAft>
          </a:pPr>
          <a:r>
            <a:rPr lang="en-AU" sz="1100" kern="1200">
              <a:solidFill>
                <a:sysClr val="windowText" lastClr="000000"/>
              </a:solidFill>
              <a:latin typeface="Calibri" panose="020F0502020204030204"/>
              <a:ea typeface="+mn-ea"/>
              <a:cs typeface="+mn-cs"/>
            </a:rPr>
            <a:t> </a:t>
          </a:r>
        </a:p>
        <a:p>
          <a:pPr lvl="0" algn="ctr" defTabSz="488950">
            <a:lnSpc>
              <a:spcPct val="90000"/>
            </a:lnSpc>
            <a:spcBef>
              <a:spcPct val="0"/>
            </a:spcBef>
            <a:spcAft>
              <a:spcPct val="35000"/>
            </a:spcAft>
          </a:pPr>
          <a:endParaRPr lang="en-AU" sz="1100" kern="1200">
            <a:solidFill>
              <a:sysClr val="windowText" lastClr="000000"/>
            </a:solidFill>
            <a:latin typeface="Calibri" panose="020F0502020204030204"/>
            <a:ea typeface="+mn-ea"/>
            <a:cs typeface="+mn-cs"/>
          </a:endParaRPr>
        </a:p>
      </dsp:txBody>
      <dsp:txXfrm>
        <a:off x="508965" y="0"/>
        <a:ext cx="1887486" cy="2001328"/>
      </dsp:txXfrm>
    </dsp:sp>
    <dsp:sp modelId="{7DE8C76F-2853-4609-A8E6-63E37988E462}">
      <dsp:nvSpPr>
        <dsp:cNvPr id="0" name=""/>
        <dsp:cNvSpPr/>
      </dsp:nvSpPr>
      <dsp:spPr>
        <a:xfrm>
          <a:off x="3141103" y="0"/>
          <a:ext cx="2533538" cy="2001328"/>
        </a:xfrm>
        <a:prstGeom prst="roundRect">
          <a:avLst>
            <a:gd name="adj" fmla="val 5000"/>
          </a:avLst>
        </a:prstGeom>
        <a:solidFill>
          <a:srgbClr val="E6E7F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99441" rIns="128905" bIns="0" numCol="1" spcCol="1270" anchor="t" anchorCtr="0">
          <a:noAutofit/>
        </a:bodyPr>
        <a:lstStyle/>
        <a:p>
          <a:pPr lvl="0" algn="r" defTabSz="1289050">
            <a:lnSpc>
              <a:spcPct val="90000"/>
            </a:lnSpc>
            <a:spcBef>
              <a:spcPct val="0"/>
            </a:spcBef>
            <a:spcAft>
              <a:spcPct val="35000"/>
            </a:spcAft>
          </a:pPr>
          <a:endParaRPr lang="en-AU" sz="2900" kern="1200">
            <a:solidFill>
              <a:sysClr val="window" lastClr="FFFFFF"/>
            </a:solidFill>
            <a:latin typeface="Calibri" panose="020F0502020204030204"/>
            <a:ea typeface="+mn-ea"/>
            <a:cs typeface="+mn-cs"/>
          </a:endParaRPr>
        </a:p>
      </dsp:txBody>
      <dsp:txXfrm rot="16200000">
        <a:off x="2573912" y="567190"/>
        <a:ext cx="1641088" cy="506707"/>
      </dsp:txXfrm>
    </dsp:sp>
    <dsp:sp modelId="{B69A4D15-46DA-4831-A682-3B9C690822D2}">
      <dsp:nvSpPr>
        <dsp:cNvPr id="0" name=""/>
        <dsp:cNvSpPr/>
      </dsp:nvSpPr>
      <dsp:spPr>
        <a:xfrm rot="5400000">
          <a:off x="2644500" y="1179714"/>
          <a:ext cx="501908" cy="896663"/>
        </a:xfrm>
        <a:prstGeom prst="flowChartExtract">
          <a:avLst/>
        </a:prstGeom>
        <a:solidFill>
          <a:srgbClr val="5A5098"/>
        </a:solidFill>
        <a:ln w="12700" cap="flat" cmpd="sng" algn="ctr">
          <a:no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dsp:style>
    </dsp:sp>
    <dsp:sp modelId="{56FFBF0D-2F11-4D8D-B89B-2B527555263D}">
      <dsp:nvSpPr>
        <dsp:cNvPr id="0" name=""/>
        <dsp:cNvSpPr/>
      </dsp:nvSpPr>
      <dsp:spPr>
        <a:xfrm>
          <a:off x="3647811" y="0"/>
          <a:ext cx="1887486" cy="200132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ts val="600"/>
            </a:spcAft>
          </a:pPr>
          <a:endParaRPr lang="en-AU" sz="1100" kern="1200">
            <a:solidFill>
              <a:sysClr val="windowText" lastClr="000000"/>
            </a:solidFill>
            <a:latin typeface="Calibri" panose="020F0502020204030204"/>
            <a:ea typeface="+mn-ea"/>
            <a:cs typeface="+mn-cs"/>
          </a:endParaRPr>
        </a:p>
        <a:p>
          <a:pPr lvl="0" algn="l" defTabSz="488950">
            <a:lnSpc>
              <a:spcPct val="90000"/>
            </a:lnSpc>
            <a:spcBef>
              <a:spcPct val="0"/>
            </a:spcBef>
            <a:spcAft>
              <a:spcPts val="600"/>
            </a:spcAft>
          </a:pPr>
          <a:r>
            <a:rPr lang="en-AU" sz="1100" kern="1200">
              <a:solidFill>
                <a:sysClr val="windowText" lastClr="000000"/>
              </a:solidFill>
              <a:latin typeface="Calibri" panose="020F0502020204030204"/>
              <a:ea typeface="+mn-ea"/>
              <a:cs typeface="+mn-cs"/>
            </a:rPr>
            <a:t>Be aware of these tactics and engage 'champions' internally and/or externally from various organisations (government, non-government, profit, non-profit) to further the issues.</a:t>
          </a:r>
        </a:p>
        <a:p>
          <a:pPr lvl="0" algn="l" defTabSz="488950">
            <a:lnSpc>
              <a:spcPct val="90000"/>
            </a:lnSpc>
            <a:spcBef>
              <a:spcPct val="0"/>
            </a:spcBef>
            <a:spcAft>
              <a:spcPts val="600"/>
            </a:spcAft>
          </a:pPr>
          <a:r>
            <a:rPr lang="en-AU" sz="1100" kern="1200">
              <a:solidFill>
                <a:sysClr val="windowText" lastClr="000000"/>
              </a:solidFill>
              <a:latin typeface="Calibri" panose="020F0502020204030204"/>
              <a:ea typeface="+mn-ea"/>
              <a:cs typeface="+mn-cs"/>
            </a:rPr>
            <a:t>Document the processes and raise the issues regularly and often.</a:t>
          </a:r>
        </a:p>
      </dsp:txBody>
      <dsp:txXfrm>
        <a:off x="3647811" y="0"/>
        <a:ext cx="1887486" cy="200132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DAE95B-9499-4A56-A9EF-EA99B454DBB5}">
      <dsp:nvSpPr>
        <dsp:cNvPr id="0" name=""/>
        <dsp:cNvSpPr/>
      </dsp:nvSpPr>
      <dsp:spPr>
        <a:xfrm>
          <a:off x="2258" y="0"/>
          <a:ext cx="2533538" cy="2346385"/>
        </a:xfrm>
        <a:prstGeom prst="roundRect">
          <a:avLst>
            <a:gd name="adj" fmla="val 5000"/>
          </a:avLst>
        </a:prstGeom>
        <a:noFill/>
        <a:ln w="12700" cap="flat" cmpd="sng" algn="ctr">
          <a:solidFill>
            <a:srgbClr val="70AD47">
              <a:lumMod val="20000"/>
              <a:lumOff val="8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99441" rIns="128905" bIns="0" numCol="1" spcCol="1270" anchor="t" anchorCtr="0">
          <a:noAutofit/>
        </a:bodyPr>
        <a:lstStyle/>
        <a:p>
          <a:pPr lvl="0" algn="r" defTabSz="1289050">
            <a:lnSpc>
              <a:spcPct val="90000"/>
            </a:lnSpc>
            <a:spcBef>
              <a:spcPct val="0"/>
            </a:spcBef>
            <a:spcAft>
              <a:spcPct val="35000"/>
            </a:spcAft>
          </a:pPr>
          <a:endParaRPr lang="en-AU" sz="2900" kern="1200">
            <a:solidFill>
              <a:sysClr val="window" lastClr="FFFFFF"/>
            </a:solidFill>
            <a:latin typeface="Calibri" panose="020F0502020204030204"/>
            <a:ea typeface="+mn-ea"/>
            <a:cs typeface="+mn-cs"/>
          </a:endParaRPr>
        </a:p>
      </dsp:txBody>
      <dsp:txXfrm rot="16200000">
        <a:off x="-706405" y="708664"/>
        <a:ext cx="1924035" cy="506707"/>
      </dsp:txXfrm>
    </dsp:sp>
    <dsp:sp modelId="{5BA70862-8CD4-4754-8340-F1AA6F2B6D33}">
      <dsp:nvSpPr>
        <dsp:cNvPr id="0" name=""/>
        <dsp:cNvSpPr/>
      </dsp:nvSpPr>
      <dsp:spPr>
        <a:xfrm>
          <a:off x="508965" y="0"/>
          <a:ext cx="1887486" cy="234638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ts val="600"/>
            </a:spcAft>
          </a:pPr>
          <a:endParaRPr lang="en-AU" sz="1100" b="1" kern="1200">
            <a:solidFill>
              <a:sysClr val="windowText" lastClr="000000"/>
            </a:solidFill>
            <a:latin typeface="Calibri" panose="020F0502020204030204"/>
            <a:ea typeface="+mn-ea"/>
            <a:cs typeface="+mn-cs"/>
          </a:endParaRPr>
        </a:p>
        <a:p>
          <a:pPr lvl="0" algn="l" defTabSz="488950">
            <a:lnSpc>
              <a:spcPct val="90000"/>
            </a:lnSpc>
            <a:spcBef>
              <a:spcPct val="0"/>
            </a:spcBef>
            <a:spcAft>
              <a:spcPct val="35000"/>
            </a:spcAft>
          </a:pPr>
          <a:r>
            <a:rPr lang="en-AU" sz="1100" b="1" kern="1200">
              <a:solidFill>
                <a:sysClr val="windowText" lastClr="000000"/>
              </a:solidFill>
              <a:latin typeface="Calibri" panose="020F0502020204030204"/>
              <a:ea typeface="+mn-ea"/>
              <a:cs typeface="+mn-cs"/>
            </a:rPr>
            <a:t>Shelving and lip service</a:t>
          </a:r>
        </a:p>
        <a:p>
          <a:pPr lvl="0" algn="l" defTabSz="488950">
            <a:lnSpc>
              <a:spcPct val="90000"/>
            </a:lnSpc>
            <a:spcBef>
              <a:spcPct val="0"/>
            </a:spcBef>
            <a:spcAft>
              <a:spcPct val="35000"/>
            </a:spcAft>
          </a:pPr>
          <a:r>
            <a:rPr lang="en-AU" sz="1100" kern="1200">
              <a:solidFill>
                <a:sysClr val="windowText" lastClr="000000"/>
              </a:solidFill>
              <a:latin typeface="Calibri" panose="020F0502020204030204"/>
              <a:ea typeface="+mn-ea"/>
              <a:cs typeface="+mn-cs"/>
            </a:rPr>
            <a:t>Leaders praise attention to gender issues but question the timing for action ('now is not the right time' or 'we've already done that'), or the actions of leaders do not match the enthusiastic words.</a:t>
          </a:r>
        </a:p>
        <a:p>
          <a:pPr lvl="0" algn="l" defTabSz="488950">
            <a:lnSpc>
              <a:spcPct val="90000"/>
            </a:lnSpc>
            <a:spcBef>
              <a:spcPct val="0"/>
            </a:spcBef>
            <a:spcAft>
              <a:spcPct val="35000"/>
            </a:spcAft>
          </a:pPr>
          <a:endParaRPr lang="en-AU" sz="1100" kern="1200">
            <a:solidFill>
              <a:sysClr val="windowText" lastClr="000000"/>
            </a:solidFill>
            <a:latin typeface="Calibri" panose="020F0502020204030204"/>
            <a:ea typeface="+mn-ea"/>
            <a:cs typeface="+mn-cs"/>
          </a:endParaRPr>
        </a:p>
      </dsp:txBody>
      <dsp:txXfrm>
        <a:off x="508965" y="0"/>
        <a:ext cx="1887486" cy="2346385"/>
      </dsp:txXfrm>
    </dsp:sp>
    <dsp:sp modelId="{7DE8C76F-2853-4609-A8E6-63E37988E462}">
      <dsp:nvSpPr>
        <dsp:cNvPr id="0" name=""/>
        <dsp:cNvSpPr/>
      </dsp:nvSpPr>
      <dsp:spPr>
        <a:xfrm>
          <a:off x="3141103" y="0"/>
          <a:ext cx="2533538" cy="2346385"/>
        </a:xfrm>
        <a:prstGeom prst="roundRect">
          <a:avLst>
            <a:gd name="adj" fmla="val 5000"/>
          </a:avLst>
        </a:prstGeom>
        <a:solidFill>
          <a:srgbClr val="EEF7E9"/>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99441" rIns="128905" bIns="0" numCol="1" spcCol="1270" anchor="t" anchorCtr="0">
          <a:noAutofit/>
        </a:bodyPr>
        <a:lstStyle/>
        <a:p>
          <a:pPr lvl="0" algn="r" defTabSz="1289050">
            <a:lnSpc>
              <a:spcPct val="90000"/>
            </a:lnSpc>
            <a:spcBef>
              <a:spcPct val="0"/>
            </a:spcBef>
            <a:spcAft>
              <a:spcPct val="35000"/>
            </a:spcAft>
          </a:pPr>
          <a:endParaRPr lang="en-AU" sz="2900" kern="1200">
            <a:solidFill>
              <a:sysClr val="window" lastClr="FFFFFF"/>
            </a:solidFill>
            <a:latin typeface="Calibri" panose="020F0502020204030204"/>
            <a:ea typeface="+mn-ea"/>
            <a:cs typeface="+mn-cs"/>
          </a:endParaRPr>
        </a:p>
      </dsp:txBody>
      <dsp:txXfrm rot="16200000">
        <a:off x="2432439" y="708664"/>
        <a:ext cx="1924035" cy="506707"/>
      </dsp:txXfrm>
    </dsp:sp>
    <dsp:sp modelId="{B69A4D15-46DA-4831-A682-3B9C690822D2}">
      <dsp:nvSpPr>
        <dsp:cNvPr id="0" name=""/>
        <dsp:cNvSpPr/>
      </dsp:nvSpPr>
      <dsp:spPr>
        <a:xfrm rot="5400000">
          <a:off x="2651920" y="1502707"/>
          <a:ext cx="487067" cy="896663"/>
        </a:xfrm>
        <a:prstGeom prst="flowChartExtract">
          <a:avLst/>
        </a:prstGeom>
        <a:solidFill>
          <a:srgbClr val="70AD47">
            <a:lumMod val="50000"/>
          </a:srgbClr>
        </a:solidFill>
        <a:ln w="12700" cap="flat" cmpd="sng" algn="ctr">
          <a:no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dsp:style>
    </dsp:sp>
    <dsp:sp modelId="{56FFBF0D-2F11-4D8D-B89B-2B527555263D}">
      <dsp:nvSpPr>
        <dsp:cNvPr id="0" name=""/>
        <dsp:cNvSpPr/>
      </dsp:nvSpPr>
      <dsp:spPr>
        <a:xfrm>
          <a:off x="3647811" y="0"/>
          <a:ext cx="1887486" cy="234638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endParaRPr lang="en-AU" sz="1100" kern="1200">
            <a:solidFill>
              <a:sysClr val="windowText" lastClr="000000"/>
            </a:solidFill>
            <a:latin typeface="Calibri" panose="020F0502020204030204"/>
            <a:ea typeface="+mn-ea"/>
            <a:cs typeface="+mn-cs"/>
          </a:endParaRPr>
        </a:p>
        <a:p>
          <a:pPr lvl="0" algn="l" defTabSz="488950">
            <a:lnSpc>
              <a:spcPct val="90000"/>
            </a:lnSpc>
            <a:spcBef>
              <a:spcPct val="0"/>
            </a:spcBef>
            <a:spcAft>
              <a:spcPts val="600"/>
            </a:spcAft>
          </a:pPr>
          <a:r>
            <a:rPr lang="en-AU" sz="1100" kern="1200">
              <a:solidFill>
                <a:sysClr val="windowText" lastClr="000000"/>
              </a:solidFill>
              <a:latin typeface="Calibri" panose="020F0502020204030204"/>
              <a:ea typeface="+mn-ea"/>
              <a:cs typeface="+mn-cs"/>
            </a:rPr>
            <a:t>Engage champions at a high level within an organisaion to promote the issues and embed gender perspectives in strategic policies as an integral part of organisational activities, not as an 'add-on'.</a:t>
          </a:r>
        </a:p>
        <a:p>
          <a:pPr lvl="0" algn="l" defTabSz="488950">
            <a:lnSpc>
              <a:spcPct val="90000"/>
            </a:lnSpc>
            <a:spcBef>
              <a:spcPct val="0"/>
            </a:spcBef>
            <a:spcAft>
              <a:spcPct val="35000"/>
            </a:spcAft>
          </a:pPr>
          <a:r>
            <a:rPr lang="en-AU" sz="1100" kern="1200">
              <a:solidFill>
                <a:sysClr val="windowText" lastClr="000000"/>
              </a:solidFill>
              <a:latin typeface="Calibri" panose="020F0502020204030204"/>
              <a:ea typeface="+mn-ea"/>
              <a:cs typeface="+mn-cs"/>
            </a:rPr>
            <a:t>Ensure a monitoring and evaluation system is in place formally or informally.</a:t>
          </a:r>
        </a:p>
        <a:p>
          <a:pPr lvl="0" algn="l" defTabSz="488950">
            <a:lnSpc>
              <a:spcPct val="90000"/>
            </a:lnSpc>
            <a:spcBef>
              <a:spcPct val="0"/>
            </a:spcBef>
            <a:spcAft>
              <a:spcPct val="35000"/>
            </a:spcAft>
          </a:pPr>
          <a:r>
            <a:rPr lang="en-AU" sz="1100" kern="1200">
              <a:solidFill>
                <a:sysClr val="windowText" lastClr="000000"/>
              </a:solidFill>
              <a:latin typeface="Calibri" panose="020F0502020204030204"/>
              <a:ea typeface="+mn-ea"/>
              <a:cs typeface="+mn-cs"/>
            </a:rPr>
            <a:t>Set up a reference group around the project.</a:t>
          </a:r>
        </a:p>
      </dsp:txBody>
      <dsp:txXfrm>
        <a:off x="3647811" y="0"/>
        <a:ext cx="1887486" cy="234638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DAE95B-9499-4A56-A9EF-EA99B454DBB5}">
      <dsp:nvSpPr>
        <dsp:cNvPr id="0" name=""/>
        <dsp:cNvSpPr/>
      </dsp:nvSpPr>
      <dsp:spPr>
        <a:xfrm>
          <a:off x="2258" y="0"/>
          <a:ext cx="2533538" cy="2218414"/>
        </a:xfrm>
        <a:prstGeom prst="roundRect">
          <a:avLst>
            <a:gd name="adj" fmla="val 5000"/>
          </a:avLst>
        </a:prstGeom>
        <a:noFill/>
        <a:ln w="12700" cap="flat" cmpd="sng" algn="ctr">
          <a:solidFill>
            <a:srgbClr val="E6E7F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99441" rIns="128905" bIns="0" numCol="1" spcCol="1270" anchor="t" anchorCtr="0">
          <a:noAutofit/>
        </a:bodyPr>
        <a:lstStyle/>
        <a:p>
          <a:pPr lvl="0" algn="r" defTabSz="1289050">
            <a:lnSpc>
              <a:spcPct val="90000"/>
            </a:lnSpc>
            <a:spcBef>
              <a:spcPct val="0"/>
            </a:spcBef>
            <a:spcAft>
              <a:spcPct val="35000"/>
            </a:spcAft>
          </a:pPr>
          <a:endParaRPr lang="en-AU" sz="2900" kern="1200">
            <a:solidFill>
              <a:sysClr val="window" lastClr="FFFFFF"/>
            </a:solidFill>
            <a:latin typeface="Calibri" panose="020F0502020204030204"/>
            <a:ea typeface="+mn-ea"/>
            <a:cs typeface="+mn-cs"/>
          </a:endParaRPr>
        </a:p>
      </dsp:txBody>
      <dsp:txXfrm rot="16200000">
        <a:off x="-653937" y="656195"/>
        <a:ext cx="1819099" cy="506707"/>
      </dsp:txXfrm>
    </dsp:sp>
    <dsp:sp modelId="{5BA70862-8CD4-4754-8340-F1AA6F2B6D33}">
      <dsp:nvSpPr>
        <dsp:cNvPr id="0" name=""/>
        <dsp:cNvSpPr/>
      </dsp:nvSpPr>
      <dsp:spPr>
        <a:xfrm>
          <a:off x="508965" y="0"/>
          <a:ext cx="1887486" cy="221841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endParaRPr lang="en-AU" sz="1100" b="1" kern="1200">
            <a:solidFill>
              <a:sysClr val="windowText" lastClr="000000"/>
            </a:solidFill>
            <a:latin typeface="Calibri" panose="020F0502020204030204"/>
            <a:ea typeface="+mn-ea"/>
            <a:cs typeface="+mn-cs"/>
          </a:endParaRPr>
        </a:p>
        <a:p>
          <a:pPr lvl="0" algn="l" defTabSz="488950">
            <a:lnSpc>
              <a:spcPct val="90000"/>
            </a:lnSpc>
            <a:spcBef>
              <a:spcPct val="0"/>
            </a:spcBef>
            <a:spcAft>
              <a:spcPts val="600"/>
            </a:spcAft>
          </a:pPr>
          <a:r>
            <a:rPr lang="en-AU" sz="1100" b="1" kern="1200">
              <a:solidFill>
                <a:sysClr val="windowText" lastClr="000000"/>
              </a:solidFill>
              <a:latin typeface="Calibri" panose="020F0502020204030204"/>
              <a:ea typeface="+mn-ea"/>
              <a:cs typeface="+mn-cs"/>
            </a:rPr>
            <a:t>Compartmentalisation</a:t>
          </a:r>
        </a:p>
        <a:p>
          <a:pPr lvl="0" algn="l" defTabSz="488950">
            <a:lnSpc>
              <a:spcPct val="90000"/>
            </a:lnSpc>
            <a:spcBef>
              <a:spcPct val="0"/>
            </a:spcBef>
            <a:spcAft>
              <a:spcPct val="35000"/>
            </a:spcAft>
          </a:pPr>
          <a:r>
            <a:rPr lang="en-AU" sz="1100" kern="1200">
              <a:solidFill>
                <a:sysClr val="windowText" lastClr="000000"/>
              </a:solidFill>
              <a:latin typeface="Calibri" panose="020F0502020204030204"/>
              <a:ea typeface="+mn-ea"/>
              <a:cs typeface="+mn-cs"/>
            </a:rPr>
            <a:t>The leadership passes all responsibility for gender analysis and action on equality to a designated women’s policy officer or the Office for Women.</a:t>
          </a:r>
        </a:p>
        <a:p>
          <a:pPr lvl="0" algn="l" defTabSz="488950">
            <a:lnSpc>
              <a:spcPct val="90000"/>
            </a:lnSpc>
            <a:spcBef>
              <a:spcPct val="0"/>
            </a:spcBef>
            <a:spcAft>
              <a:spcPct val="35000"/>
            </a:spcAft>
          </a:pPr>
          <a:endParaRPr lang="en-AU" sz="1100" kern="1200">
            <a:solidFill>
              <a:sysClr val="windowText" lastClr="000000"/>
            </a:solidFill>
            <a:latin typeface="Calibri" panose="020F0502020204030204"/>
            <a:ea typeface="+mn-ea"/>
            <a:cs typeface="+mn-cs"/>
          </a:endParaRPr>
        </a:p>
        <a:p>
          <a:pPr lvl="0" algn="ctr" defTabSz="488950">
            <a:lnSpc>
              <a:spcPct val="90000"/>
            </a:lnSpc>
            <a:spcBef>
              <a:spcPct val="0"/>
            </a:spcBef>
            <a:spcAft>
              <a:spcPct val="35000"/>
            </a:spcAft>
          </a:pPr>
          <a:r>
            <a:rPr lang="en-AU" sz="1100" kern="1200">
              <a:solidFill>
                <a:sysClr val="windowText" lastClr="000000"/>
              </a:solidFill>
              <a:latin typeface="Calibri" panose="020F0502020204030204"/>
              <a:ea typeface="+mn-ea"/>
              <a:cs typeface="+mn-cs"/>
            </a:rPr>
            <a:t> </a:t>
          </a:r>
        </a:p>
        <a:p>
          <a:pPr lvl="0" algn="ctr" defTabSz="488950">
            <a:lnSpc>
              <a:spcPct val="90000"/>
            </a:lnSpc>
            <a:spcBef>
              <a:spcPct val="0"/>
            </a:spcBef>
            <a:spcAft>
              <a:spcPct val="35000"/>
            </a:spcAft>
          </a:pPr>
          <a:endParaRPr lang="en-AU" sz="1100" kern="1200">
            <a:solidFill>
              <a:sysClr val="windowText" lastClr="000000"/>
            </a:solidFill>
            <a:latin typeface="Calibri" panose="020F0502020204030204"/>
            <a:ea typeface="+mn-ea"/>
            <a:cs typeface="+mn-cs"/>
          </a:endParaRPr>
        </a:p>
      </dsp:txBody>
      <dsp:txXfrm>
        <a:off x="508965" y="0"/>
        <a:ext cx="1887486" cy="2218414"/>
      </dsp:txXfrm>
    </dsp:sp>
    <dsp:sp modelId="{7DE8C76F-2853-4609-A8E6-63E37988E462}">
      <dsp:nvSpPr>
        <dsp:cNvPr id="0" name=""/>
        <dsp:cNvSpPr/>
      </dsp:nvSpPr>
      <dsp:spPr>
        <a:xfrm>
          <a:off x="3141103" y="0"/>
          <a:ext cx="2533538" cy="2218414"/>
        </a:xfrm>
        <a:prstGeom prst="roundRect">
          <a:avLst>
            <a:gd name="adj" fmla="val 5000"/>
          </a:avLst>
        </a:prstGeom>
        <a:solidFill>
          <a:srgbClr val="E6E7F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99441" rIns="128905" bIns="0" numCol="1" spcCol="1270" anchor="t" anchorCtr="0">
          <a:noAutofit/>
        </a:bodyPr>
        <a:lstStyle/>
        <a:p>
          <a:pPr lvl="0" algn="r" defTabSz="1289050">
            <a:lnSpc>
              <a:spcPct val="90000"/>
            </a:lnSpc>
            <a:spcBef>
              <a:spcPct val="0"/>
            </a:spcBef>
            <a:spcAft>
              <a:spcPct val="35000"/>
            </a:spcAft>
          </a:pPr>
          <a:endParaRPr lang="en-AU" sz="2900" kern="1200">
            <a:solidFill>
              <a:sysClr val="window" lastClr="FFFFFF"/>
            </a:solidFill>
            <a:latin typeface="Calibri" panose="020F0502020204030204"/>
            <a:ea typeface="+mn-ea"/>
            <a:cs typeface="+mn-cs"/>
          </a:endParaRPr>
        </a:p>
      </dsp:txBody>
      <dsp:txXfrm rot="16200000">
        <a:off x="2484907" y="656195"/>
        <a:ext cx="1819099" cy="506707"/>
      </dsp:txXfrm>
    </dsp:sp>
    <dsp:sp modelId="{B69A4D15-46DA-4831-A682-3B9C690822D2}">
      <dsp:nvSpPr>
        <dsp:cNvPr id="0" name=""/>
        <dsp:cNvSpPr/>
      </dsp:nvSpPr>
      <dsp:spPr>
        <a:xfrm rot="5400000">
          <a:off x="2617424" y="1355364"/>
          <a:ext cx="556059" cy="896663"/>
        </a:xfrm>
        <a:prstGeom prst="flowChartExtract">
          <a:avLst/>
        </a:prstGeom>
        <a:solidFill>
          <a:srgbClr val="5A5098"/>
        </a:solidFill>
        <a:ln w="12700" cap="flat" cmpd="sng" algn="ctr">
          <a:no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dsp:style>
    </dsp:sp>
    <dsp:sp modelId="{56FFBF0D-2F11-4D8D-B89B-2B527555263D}">
      <dsp:nvSpPr>
        <dsp:cNvPr id="0" name=""/>
        <dsp:cNvSpPr/>
      </dsp:nvSpPr>
      <dsp:spPr>
        <a:xfrm>
          <a:off x="3647811" y="0"/>
          <a:ext cx="1887486" cy="221841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endParaRPr lang="en-AU" sz="1100" kern="1200">
            <a:solidFill>
              <a:sysClr val="windowText" lastClr="000000"/>
            </a:solidFill>
            <a:latin typeface="Calibri" panose="020F0502020204030204"/>
            <a:ea typeface="+mn-ea"/>
            <a:cs typeface="+mn-cs"/>
          </a:endParaRPr>
        </a:p>
        <a:p>
          <a:pPr lvl="0" algn="l" defTabSz="488950">
            <a:lnSpc>
              <a:spcPct val="90000"/>
            </a:lnSpc>
            <a:spcBef>
              <a:spcPct val="0"/>
            </a:spcBef>
            <a:spcAft>
              <a:spcPts val="600"/>
            </a:spcAft>
          </a:pPr>
          <a:r>
            <a:rPr lang="en-AU" sz="1100" kern="1200">
              <a:solidFill>
                <a:sysClr val="windowText" lastClr="000000"/>
              </a:solidFill>
              <a:latin typeface="Calibri" panose="020F0502020204030204"/>
              <a:ea typeface="+mn-ea"/>
              <a:cs typeface="+mn-cs"/>
            </a:rPr>
            <a:t>Repeatedly raise gender issues as core to the efficiency and organisational health of an organisation. Point out that addressing gender inequities and inequalities is relevant across the Queensland community.</a:t>
          </a:r>
        </a:p>
        <a:p>
          <a:pPr lvl="0" algn="l" defTabSz="488950">
            <a:lnSpc>
              <a:spcPct val="90000"/>
            </a:lnSpc>
            <a:spcBef>
              <a:spcPct val="0"/>
            </a:spcBef>
            <a:spcAft>
              <a:spcPct val="35000"/>
            </a:spcAft>
          </a:pPr>
          <a:r>
            <a:rPr lang="en-AU" sz="1100" kern="1200">
              <a:solidFill>
                <a:sysClr val="windowText" lastClr="000000"/>
              </a:solidFill>
              <a:latin typeface="Calibri" panose="020F0502020204030204"/>
              <a:ea typeface="+mn-ea"/>
              <a:cs typeface="+mn-cs"/>
            </a:rPr>
            <a:t>Refer to the formal documents that support this approach ( for example, the Queensland Women's Strategy).</a:t>
          </a:r>
        </a:p>
      </dsp:txBody>
      <dsp:txXfrm>
        <a:off x="3647811" y="0"/>
        <a:ext cx="1887486" cy="221841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DAE95B-9499-4A56-A9EF-EA99B454DBB5}">
      <dsp:nvSpPr>
        <dsp:cNvPr id="0" name=""/>
        <dsp:cNvSpPr/>
      </dsp:nvSpPr>
      <dsp:spPr>
        <a:xfrm>
          <a:off x="2258" y="0"/>
          <a:ext cx="2533538" cy="1470991"/>
        </a:xfrm>
        <a:prstGeom prst="roundRect">
          <a:avLst>
            <a:gd name="adj" fmla="val 5000"/>
          </a:avLst>
        </a:prstGeom>
        <a:noFill/>
        <a:ln w="12700" cap="flat" cmpd="sng" algn="ctr">
          <a:solidFill>
            <a:srgbClr val="70AD47">
              <a:lumMod val="20000"/>
              <a:lumOff val="8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99441" rIns="128905" bIns="0" numCol="1" spcCol="1270" anchor="t" anchorCtr="0">
          <a:noAutofit/>
        </a:bodyPr>
        <a:lstStyle/>
        <a:p>
          <a:pPr lvl="0" algn="r" defTabSz="1289050">
            <a:lnSpc>
              <a:spcPct val="90000"/>
            </a:lnSpc>
            <a:spcBef>
              <a:spcPct val="0"/>
            </a:spcBef>
            <a:spcAft>
              <a:spcPct val="35000"/>
            </a:spcAft>
          </a:pPr>
          <a:endParaRPr lang="en-AU" sz="2900" kern="1200">
            <a:solidFill>
              <a:sysClr val="window" lastClr="FFFFFF"/>
            </a:solidFill>
            <a:latin typeface="Calibri" panose="020F0502020204030204"/>
            <a:ea typeface="+mn-ea"/>
            <a:cs typeface="+mn-cs"/>
          </a:endParaRPr>
        </a:p>
      </dsp:txBody>
      <dsp:txXfrm rot="16200000">
        <a:off x="-347494" y="349752"/>
        <a:ext cx="1206212" cy="506707"/>
      </dsp:txXfrm>
    </dsp:sp>
    <dsp:sp modelId="{5BA70862-8CD4-4754-8340-F1AA6F2B6D33}">
      <dsp:nvSpPr>
        <dsp:cNvPr id="0" name=""/>
        <dsp:cNvSpPr/>
      </dsp:nvSpPr>
      <dsp:spPr>
        <a:xfrm>
          <a:off x="508965" y="0"/>
          <a:ext cx="1887486" cy="147099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ctr" defTabSz="488950">
            <a:lnSpc>
              <a:spcPct val="90000"/>
            </a:lnSpc>
            <a:spcBef>
              <a:spcPct val="0"/>
            </a:spcBef>
            <a:spcAft>
              <a:spcPct val="35000"/>
            </a:spcAft>
          </a:pPr>
          <a:endParaRPr lang="en-AU" sz="1100" kern="1200">
            <a:solidFill>
              <a:sysClr val="windowText" lastClr="000000"/>
            </a:solidFill>
            <a:latin typeface="Calibri" panose="020F0502020204030204"/>
            <a:ea typeface="+mn-ea"/>
            <a:cs typeface="+mn-cs"/>
          </a:endParaRPr>
        </a:p>
        <a:p>
          <a:pPr lvl="0" algn="l" defTabSz="488950">
            <a:lnSpc>
              <a:spcPct val="90000"/>
            </a:lnSpc>
            <a:spcBef>
              <a:spcPct val="0"/>
            </a:spcBef>
            <a:spcAft>
              <a:spcPct val="35000"/>
            </a:spcAft>
          </a:pPr>
          <a:r>
            <a:rPr lang="en-AU" sz="1100" b="1" kern="1200">
              <a:solidFill>
                <a:sysClr val="windowText" lastClr="000000"/>
              </a:solidFill>
              <a:latin typeface="Calibri" panose="020F0502020204030204"/>
              <a:ea typeface="+mn-ea"/>
              <a:cs typeface="+mn-cs"/>
            </a:rPr>
            <a:t>Tokenism</a:t>
          </a:r>
        </a:p>
        <a:p>
          <a:pPr lvl="0" algn="l" defTabSz="488950">
            <a:lnSpc>
              <a:spcPct val="90000"/>
            </a:lnSpc>
            <a:spcBef>
              <a:spcPct val="0"/>
            </a:spcBef>
            <a:spcAft>
              <a:spcPct val="35000"/>
            </a:spcAft>
          </a:pPr>
          <a:r>
            <a:rPr lang="en-AU" sz="1100" kern="1200">
              <a:solidFill>
                <a:sysClr val="windowText" lastClr="000000"/>
              </a:solidFill>
              <a:latin typeface="Calibri" panose="020F0502020204030204"/>
              <a:ea typeface="+mn-ea"/>
              <a:cs typeface="+mn-cs"/>
            </a:rPr>
            <a:t>One woman is given a position on a committee or board to give the 'women’s point of view'.</a:t>
          </a:r>
        </a:p>
        <a:p>
          <a:pPr lvl="0" algn="l" defTabSz="488950">
            <a:lnSpc>
              <a:spcPct val="90000"/>
            </a:lnSpc>
            <a:spcBef>
              <a:spcPct val="0"/>
            </a:spcBef>
            <a:spcAft>
              <a:spcPct val="35000"/>
            </a:spcAft>
          </a:pPr>
          <a:endParaRPr lang="en-AU" sz="1100" kern="1200">
            <a:solidFill>
              <a:sysClr val="windowText" lastClr="000000"/>
            </a:solidFill>
            <a:latin typeface="Calibri" panose="020F0502020204030204"/>
            <a:ea typeface="+mn-ea"/>
            <a:cs typeface="+mn-cs"/>
          </a:endParaRPr>
        </a:p>
        <a:p>
          <a:pPr lvl="0" algn="ctr" defTabSz="488950">
            <a:lnSpc>
              <a:spcPct val="90000"/>
            </a:lnSpc>
            <a:spcBef>
              <a:spcPct val="0"/>
            </a:spcBef>
            <a:spcAft>
              <a:spcPct val="35000"/>
            </a:spcAft>
          </a:pPr>
          <a:r>
            <a:rPr lang="en-AU" sz="1100" kern="1200">
              <a:solidFill>
                <a:sysClr val="windowText" lastClr="000000"/>
              </a:solidFill>
              <a:latin typeface="Calibri" panose="020F0502020204030204"/>
              <a:ea typeface="+mn-ea"/>
              <a:cs typeface="+mn-cs"/>
            </a:rPr>
            <a:t> </a:t>
          </a:r>
        </a:p>
        <a:p>
          <a:pPr lvl="0" algn="ctr" defTabSz="488950">
            <a:lnSpc>
              <a:spcPct val="90000"/>
            </a:lnSpc>
            <a:spcBef>
              <a:spcPct val="0"/>
            </a:spcBef>
            <a:spcAft>
              <a:spcPct val="35000"/>
            </a:spcAft>
          </a:pPr>
          <a:endParaRPr lang="en-AU" sz="1100" kern="1200">
            <a:solidFill>
              <a:sysClr val="windowText" lastClr="000000"/>
            </a:solidFill>
            <a:latin typeface="Calibri" panose="020F0502020204030204"/>
            <a:ea typeface="+mn-ea"/>
            <a:cs typeface="+mn-cs"/>
          </a:endParaRPr>
        </a:p>
      </dsp:txBody>
      <dsp:txXfrm>
        <a:off x="508965" y="0"/>
        <a:ext cx="1887486" cy="1470991"/>
      </dsp:txXfrm>
    </dsp:sp>
    <dsp:sp modelId="{7DE8C76F-2853-4609-A8E6-63E37988E462}">
      <dsp:nvSpPr>
        <dsp:cNvPr id="0" name=""/>
        <dsp:cNvSpPr/>
      </dsp:nvSpPr>
      <dsp:spPr>
        <a:xfrm>
          <a:off x="3141103" y="0"/>
          <a:ext cx="2533538" cy="1470991"/>
        </a:xfrm>
        <a:prstGeom prst="roundRect">
          <a:avLst>
            <a:gd name="adj" fmla="val 5000"/>
          </a:avLst>
        </a:prstGeom>
        <a:solidFill>
          <a:srgbClr val="EEF7E9"/>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99441" rIns="128905" bIns="0" numCol="1" spcCol="1270" anchor="t" anchorCtr="0">
          <a:noAutofit/>
        </a:bodyPr>
        <a:lstStyle/>
        <a:p>
          <a:pPr lvl="0" algn="r" defTabSz="1289050">
            <a:lnSpc>
              <a:spcPct val="90000"/>
            </a:lnSpc>
            <a:spcBef>
              <a:spcPct val="0"/>
            </a:spcBef>
            <a:spcAft>
              <a:spcPct val="35000"/>
            </a:spcAft>
          </a:pPr>
          <a:endParaRPr lang="en-AU" sz="2900" kern="1200">
            <a:solidFill>
              <a:sysClr val="window" lastClr="FFFFFF"/>
            </a:solidFill>
            <a:latin typeface="Calibri" panose="020F0502020204030204"/>
            <a:ea typeface="+mn-ea"/>
            <a:cs typeface="+mn-cs"/>
          </a:endParaRPr>
        </a:p>
      </dsp:txBody>
      <dsp:txXfrm rot="16200000">
        <a:off x="2791350" y="349752"/>
        <a:ext cx="1206212" cy="506707"/>
      </dsp:txXfrm>
    </dsp:sp>
    <dsp:sp modelId="{B69A4D15-46DA-4831-A682-3B9C690822D2}">
      <dsp:nvSpPr>
        <dsp:cNvPr id="0" name=""/>
        <dsp:cNvSpPr/>
      </dsp:nvSpPr>
      <dsp:spPr>
        <a:xfrm rot="5400000">
          <a:off x="2689496" y="731126"/>
          <a:ext cx="411916" cy="896663"/>
        </a:xfrm>
        <a:prstGeom prst="flowChartExtract">
          <a:avLst/>
        </a:prstGeom>
        <a:solidFill>
          <a:srgbClr val="70AD47">
            <a:lumMod val="50000"/>
          </a:srgbClr>
        </a:solidFill>
        <a:ln w="12700" cap="flat" cmpd="sng" algn="ctr">
          <a:no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dsp:style>
    </dsp:sp>
    <dsp:sp modelId="{56FFBF0D-2F11-4D8D-B89B-2B527555263D}">
      <dsp:nvSpPr>
        <dsp:cNvPr id="0" name=""/>
        <dsp:cNvSpPr/>
      </dsp:nvSpPr>
      <dsp:spPr>
        <a:xfrm>
          <a:off x="3647811" y="0"/>
          <a:ext cx="1887486" cy="147099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endParaRPr lang="en-AU" sz="1100" kern="1200">
            <a:solidFill>
              <a:sysClr val="windowText" lastClr="000000"/>
            </a:solidFill>
            <a:latin typeface="Calibri" panose="020F0502020204030204"/>
            <a:ea typeface="+mn-ea"/>
            <a:cs typeface="+mn-cs"/>
          </a:endParaRPr>
        </a:p>
        <a:p>
          <a:pPr lvl="0" algn="l" defTabSz="488950">
            <a:lnSpc>
              <a:spcPct val="90000"/>
            </a:lnSpc>
            <a:spcBef>
              <a:spcPct val="0"/>
            </a:spcBef>
            <a:spcAft>
              <a:spcPct val="35000"/>
            </a:spcAft>
          </a:pPr>
          <a:r>
            <a:rPr lang="en-AU" sz="1100" kern="1200">
              <a:solidFill>
                <a:sysClr val="windowText" lastClr="000000"/>
              </a:solidFill>
              <a:latin typeface="Calibri" panose="020F0502020204030204"/>
              <a:ea typeface="+mn-ea"/>
              <a:cs typeface="+mn-cs"/>
            </a:rPr>
            <a:t>Call out tokenism. Take steps to find allies and build support for the woman both within and outside the committee or board (for example, with a mentor, specific support person or a reference group).</a:t>
          </a:r>
        </a:p>
      </dsp:txBody>
      <dsp:txXfrm>
        <a:off x="3647811" y="0"/>
        <a:ext cx="1887486" cy="1470991"/>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685DC-8CAA-44E8-84A5-AC08D7182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43</Pages>
  <Words>11785</Words>
  <Characters>67180</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Gender Analysis Toolkit</vt:lpstr>
    </vt:vector>
  </TitlesOfParts>
  <Company>Queensland Government</Company>
  <LinksUpToDate>false</LinksUpToDate>
  <CharactersWithSpaces>78808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2018-09-24T04:00:00Z</dcterms:created>
  <dc:creator>Queensland Government</dc:creator>
  <cp:keywords>gender, analysis, gender equality, office for women, women, gender mainstreaming, gender analysis benefits, gender analysis toolkit</cp:keywords>
  <cp:lastModifiedBy>Hee Kim</cp:lastModifiedBy>
  <cp:lastPrinted>2018-07-06T06:30:00Z</cp:lastPrinted>
  <dcterms:modified xsi:type="dcterms:W3CDTF">2018-09-25T04:09:00Z</dcterms:modified>
  <cp:revision>24</cp:revision>
  <dc:subject>Gender Analysis Toolkit</dc:subject>
  <dc:title>Gender Analysis Toolkit</dc:title>
</cp:coreProperties>
</file>