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F202" w14:textId="193BCA34" w:rsidR="001F29CB" w:rsidRDefault="00093FF8" w:rsidP="00FF5F29">
      <w:pPr>
        <w:spacing w:after="160" w:line="259" w:lineRule="auto"/>
        <w:ind w:right="120"/>
      </w:pPr>
      <w:r>
        <w:rPr>
          <w:noProof/>
        </w:rPr>
        <w:drawing>
          <wp:anchor distT="0" distB="0" distL="114300" distR="114300" simplePos="0" relativeHeight="251694592" behindDoc="1" locked="0" layoutInCell="1" allowOverlap="1" wp14:anchorId="5D7B1A31" wp14:editId="121171F5">
            <wp:simplePos x="0" y="0"/>
            <wp:positionH relativeFrom="page">
              <wp:align>left</wp:align>
            </wp:positionH>
            <wp:positionV relativeFrom="page">
              <wp:align>top</wp:align>
            </wp:positionV>
            <wp:extent cx="7593787" cy="10770640"/>
            <wp:effectExtent l="0" t="0" r="7620" b="0"/>
            <wp:wrapTight wrapText="bothSides">
              <wp:wrapPolygon edited="0">
                <wp:start x="0" y="0"/>
                <wp:lineTo x="0" y="19370"/>
                <wp:lineTo x="10784" y="19561"/>
                <wp:lineTo x="19183" y="20172"/>
                <wp:lineTo x="19183" y="21204"/>
                <wp:lineTo x="20700" y="21204"/>
                <wp:lineTo x="20700" y="20784"/>
                <wp:lineTo x="20917" y="20172"/>
                <wp:lineTo x="21026" y="19714"/>
                <wp:lineTo x="19671" y="19638"/>
                <wp:lineTo x="21567" y="19485"/>
                <wp:lineTo x="21567" y="0"/>
                <wp:lineTo x="0" y="0"/>
              </wp:wrapPolygon>
            </wp:wrapTight>
            <wp:docPr id="195385800" name="Picture 19538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93787" cy="10770640"/>
                    </a:xfrm>
                    <a:prstGeom prst="rect">
                      <a:avLst/>
                    </a:prstGeom>
                  </pic:spPr>
                </pic:pic>
              </a:graphicData>
            </a:graphic>
            <wp14:sizeRelH relativeFrom="margin">
              <wp14:pctWidth>0</wp14:pctWidth>
            </wp14:sizeRelH>
            <wp14:sizeRelV relativeFrom="margin">
              <wp14:pctHeight>0</wp14:pctHeight>
            </wp14:sizeRelV>
          </wp:anchor>
        </w:drawing>
      </w:r>
      <w:r w:rsidR="001B1346" w:rsidRPr="006D6182">
        <w:rPr>
          <w:noProof/>
          <w:u w:val="single"/>
        </w:rPr>
        <mc:AlternateContent>
          <mc:Choice Requires="wps">
            <w:drawing>
              <wp:anchor distT="0" distB="0" distL="114300" distR="114300" simplePos="0" relativeHeight="251695616" behindDoc="1" locked="0" layoutInCell="1" allowOverlap="1" wp14:anchorId="3E0C057A" wp14:editId="25C8D9B3">
                <wp:simplePos x="0" y="0"/>
                <wp:positionH relativeFrom="margin">
                  <wp:align>left</wp:align>
                </wp:positionH>
                <wp:positionV relativeFrom="paragraph">
                  <wp:posOffset>3234690</wp:posOffset>
                </wp:positionV>
                <wp:extent cx="6219190" cy="2946400"/>
                <wp:effectExtent l="0" t="0" r="0" b="6350"/>
                <wp:wrapTight wrapText="bothSides">
                  <wp:wrapPolygon edited="0">
                    <wp:start x="198" y="0"/>
                    <wp:lineTo x="198" y="21507"/>
                    <wp:lineTo x="21371" y="21507"/>
                    <wp:lineTo x="21371" y="0"/>
                    <wp:lineTo x="198" y="0"/>
                  </wp:wrapPolygon>
                </wp:wrapTight>
                <wp:docPr id="1185191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2946400"/>
                        </a:xfrm>
                        <a:prstGeom prst="rect">
                          <a:avLst/>
                        </a:prstGeom>
                        <a:noFill/>
                        <a:ln w="9525">
                          <a:noFill/>
                          <a:miter lim="800000"/>
                          <a:headEnd/>
                          <a:tailEnd/>
                        </a:ln>
                      </wps:spPr>
                      <wps:txbx>
                        <w:txbxContent>
                          <w:p w14:paraId="7333FB9B" w14:textId="77777777" w:rsidR="001B1346" w:rsidRDefault="001B1346" w:rsidP="001F29CB">
                            <w:pPr>
                              <w:pStyle w:val="Title"/>
                              <w:rPr>
                                <w:b/>
                                <w:bCs/>
                                <w:color w:val="FFFFFF" w:themeColor="background1"/>
                                <w:sz w:val="60"/>
                                <w:szCs w:val="60"/>
                              </w:rPr>
                            </w:pPr>
                          </w:p>
                          <w:p w14:paraId="6D33444E" w14:textId="77777777" w:rsidR="001B1346" w:rsidRDefault="001B1346" w:rsidP="001F29CB">
                            <w:pPr>
                              <w:pStyle w:val="Title"/>
                              <w:rPr>
                                <w:b/>
                                <w:bCs/>
                                <w:color w:val="FFFFFF" w:themeColor="background1"/>
                                <w:sz w:val="60"/>
                                <w:szCs w:val="60"/>
                              </w:rPr>
                            </w:pPr>
                          </w:p>
                          <w:p w14:paraId="6DEA8842" w14:textId="77777777" w:rsidR="001B1346" w:rsidRDefault="001B1346" w:rsidP="001F29CB">
                            <w:pPr>
                              <w:pStyle w:val="Title"/>
                              <w:rPr>
                                <w:b/>
                                <w:bCs/>
                                <w:color w:val="FFFFFF" w:themeColor="background1"/>
                                <w:sz w:val="60"/>
                                <w:szCs w:val="60"/>
                              </w:rPr>
                            </w:pPr>
                          </w:p>
                          <w:p w14:paraId="4C2FFEC6" w14:textId="62D058C6" w:rsidR="001F29CB" w:rsidRPr="00DC31F0" w:rsidRDefault="001F29CB" w:rsidP="001F29CB">
                            <w:pPr>
                              <w:pStyle w:val="Title"/>
                              <w:rPr>
                                <w:b/>
                                <w:bCs/>
                                <w:color w:val="FFFFFF" w:themeColor="background1"/>
                                <w:sz w:val="60"/>
                                <w:szCs w:val="60"/>
                              </w:rPr>
                            </w:pPr>
                            <w:r w:rsidRPr="00DC31F0">
                              <w:rPr>
                                <w:b/>
                                <w:bCs/>
                                <w:color w:val="FFFFFF" w:themeColor="background1"/>
                                <w:sz w:val="60"/>
                                <w:szCs w:val="60"/>
                              </w:rPr>
                              <w:t>Regulator Performance Framework 202</w:t>
                            </w:r>
                            <w:r>
                              <w:rPr>
                                <w:b/>
                                <w:bCs/>
                                <w:color w:val="FFFFFF" w:themeColor="background1"/>
                                <w:sz w:val="60"/>
                                <w:szCs w:val="60"/>
                              </w:rPr>
                              <w:t>3</w:t>
                            </w:r>
                            <w:r w:rsidRPr="00DC31F0">
                              <w:rPr>
                                <w:b/>
                                <w:bCs/>
                                <w:color w:val="FFFFFF" w:themeColor="background1"/>
                                <w:sz w:val="60"/>
                                <w:szCs w:val="60"/>
                              </w:rPr>
                              <w:t>–2</w:t>
                            </w:r>
                            <w:r>
                              <w:rPr>
                                <w:b/>
                                <w:bCs/>
                                <w:color w:val="FFFFFF" w:themeColor="background1"/>
                                <w:sz w:val="60"/>
                                <w:szCs w:val="60"/>
                              </w:rPr>
                              <w:t>4</w:t>
                            </w:r>
                            <w:r w:rsidRPr="00DC31F0">
                              <w:rPr>
                                <w:b/>
                                <w:bCs/>
                                <w:color w:val="FFFFFF" w:themeColor="background1"/>
                                <w:sz w:val="60"/>
                                <w:szCs w:val="60"/>
                              </w:rPr>
                              <w:t xml:space="preserve"> </w:t>
                            </w:r>
                          </w:p>
                          <w:p w14:paraId="684DC59F" w14:textId="77777777" w:rsidR="001F29CB" w:rsidRPr="00DC31F0" w:rsidRDefault="001F29CB" w:rsidP="001F29CB">
                            <w:pPr>
                              <w:pStyle w:val="BodyText"/>
                              <w:rPr>
                                <w:b/>
                                <w:bCs/>
                                <w:color w:val="FFFFFF" w:themeColor="background1"/>
                                <w:sz w:val="32"/>
                                <w:szCs w:val="32"/>
                              </w:rPr>
                            </w:pPr>
                            <w:r w:rsidRPr="00DC31F0">
                              <w:rPr>
                                <w:b/>
                                <w:bCs/>
                                <w:color w:val="FFFFFF" w:themeColor="background1"/>
                                <w:sz w:val="32"/>
                                <w:szCs w:val="32"/>
                              </w:rPr>
                              <w:t>Department of Transport and Main Roads</w:t>
                            </w:r>
                          </w:p>
                          <w:p w14:paraId="0AA360D9" w14:textId="77777777" w:rsidR="001F29CB" w:rsidRPr="00492FF4" w:rsidRDefault="001F29CB" w:rsidP="001F29CB">
                            <w:pPr>
                              <w:rPr>
                                <w:color w:val="FFFFFF" w:themeColor="background1"/>
                              </w:rPr>
                            </w:pPr>
                            <w:r>
                              <w:rPr>
                                <w:color w:val="FFFFFF" w:themeColor="background1"/>
                              </w:rPr>
                              <w:t>December 2024</w:t>
                            </w:r>
                          </w:p>
                          <w:p w14:paraId="38C71084" w14:textId="77777777" w:rsidR="001F29CB" w:rsidRPr="00B1179E" w:rsidRDefault="001F29CB" w:rsidP="001F29CB">
                            <w:pPr>
                              <w:pStyle w:val="Heading3"/>
                              <w:rPr>
                                <w:color w:val="FFFFFF" w:themeColor="background1"/>
                              </w:rPr>
                            </w:pPr>
                          </w:p>
                          <w:p w14:paraId="47D16DD2" w14:textId="77777777" w:rsidR="001F29CB" w:rsidRDefault="001F29CB"/>
                          <w:p w14:paraId="3C5CBA4E" w14:textId="486EF146" w:rsidR="001F29CB" w:rsidRPr="00DC31F0" w:rsidRDefault="004A08A8" w:rsidP="001F29CB">
                            <w:pPr>
                              <w:pStyle w:val="Title"/>
                              <w:rPr>
                                <w:b/>
                                <w:bCs/>
                                <w:color w:val="FFFFFF" w:themeColor="background1"/>
                                <w:sz w:val="60"/>
                                <w:szCs w:val="60"/>
                              </w:rPr>
                            </w:pPr>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r w:rsidR="001F29CB" w:rsidRPr="00DC31F0">
                              <w:rPr>
                                <w:b/>
                                <w:bCs/>
                                <w:color w:val="FFFFFF" w:themeColor="background1"/>
                                <w:sz w:val="60"/>
                                <w:szCs w:val="60"/>
                              </w:rPr>
                              <w:t>k 202</w:t>
                            </w:r>
                            <w:r w:rsidR="001F29CB">
                              <w:rPr>
                                <w:b/>
                                <w:bCs/>
                                <w:color w:val="FFFFFF" w:themeColor="background1"/>
                                <w:sz w:val="60"/>
                                <w:szCs w:val="60"/>
                              </w:rPr>
                              <w:t>3</w:t>
                            </w:r>
                            <w:r w:rsidR="001F29CB" w:rsidRPr="00DC31F0">
                              <w:rPr>
                                <w:b/>
                                <w:bCs/>
                                <w:color w:val="FFFFFF" w:themeColor="background1"/>
                                <w:sz w:val="60"/>
                                <w:szCs w:val="60"/>
                              </w:rPr>
                              <w:t>–2</w:t>
                            </w:r>
                            <w:r w:rsidR="001F29CB">
                              <w:rPr>
                                <w:b/>
                                <w:bCs/>
                                <w:color w:val="FFFFFF" w:themeColor="background1"/>
                                <w:sz w:val="60"/>
                                <w:szCs w:val="60"/>
                              </w:rPr>
                              <w:t>4</w:t>
                            </w:r>
                            <w:r w:rsidR="001F29CB" w:rsidRPr="00DC31F0">
                              <w:rPr>
                                <w:b/>
                                <w:bCs/>
                                <w:color w:val="FFFFFF" w:themeColor="background1"/>
                                <w:sz w:val="60"/>
                                <w:szCs w:val="60"/>
                              </w:rPr>
                              <w:t xml:space="preserve"> </w:t>
                            </w:r>
                          </w:p>
                          <w:p w14:paraId="4C64282A" w14:textId="77777777" w:rsidR="001F29CB" w:rsidRPr="00DC31F0" w:rsidRDefault="001F29CB" w:rsidP="001F29CB">
                            <w:pPr>
                              <w:pStyle w:val="BodyText"/>
                              <w:rPr>
                                <w:b/>
                                <w:bCs/>
                                <w:color w:val="FFFFFF" w:themeColor="background1"/>
                                <w:sz w:val="32"/>
                                <w:szCs w:val="32"/>
                              </w:rPr>
                            </w:pPr>
                            <w:r w:rsidRPr="00DC31F0">
                              <w:rPr>
                                <w:b/>
                                <w:bCs/>
                                <w:color w:val="FFFFFF" w:themeColor="background1"/>
                                <w:sz w:val="32"/>
                                <w:szCs w:val="32"/>
                              </w:rPr>
                              <w:t>Department of Transport and Main Roads</w:t>
                            </w:r>
                          </w:p>
                          <w:p w14:paraId="3965A754" w14:textId="77777777" w:rsidR="001F29CB" w:rsidRPr="00492FF4" w:rsidRDefault="001F29CB" w:rsidP="001F29CB">
                            <w:pPr>
                              <w:rPr>
                                <w:color w:val="FFFFFF" w:themeColor="background1"/>
                              </w:rPr>
                            </w:pPr>
                            <w:r>
                              <w:rPr>
                                <w:color w:val="FFFFFF" w:themeColor="background1"/>
                              </w:rPr>
                              <w:t>December 2024</w:t>
                            </w:r>
                          </w:p>
                          <w:p w14:paraId="0BD113B7" w14:textId="77777777" w:rsidR="001F29CB" w:rsidRPr="00B1179E" w:rsidRDefault="001F29CB" w:rsidP="001F29CB">
                            <w:pPr>
                              <w:pStyle w:val="Heading3"/>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C057A" id="_x0000_t202" coordsize="21600,21600" o:spt="202" path="m,l,21600r21600,l21600,xe">
                <v:stroke joinstyle="miter"/>
                <v:path gradientshapeok="t" o:connecttype="rect"/>
              </v:shapetype>
              <v:shape id="Text Box 2" o:spid="_x0000_s1026" type="#_x0000_t202" style="position:absolute;margin-left:0;margin-top:254.7pt;width:489.7pt;height:232pt;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" filled="f" stroked="f">
                <v:textbox>
                  <w:txbxContent>
                    <w:p w14:paraId="7333FB9B" w14:textId="77777777" w:rsidR="001B1346" w:rsidRDefault="001B1346" w:rsidP="001F29CB">
                      <w:pPr>
                        <w:pStyle w:val="Title"/>
                        <w:rPr>
                          <w:b/>
                          <w:bCs/>
                          <w:color w:val="FFFFFF" w:themeColor="background1"/>
                          <w:sz w:val="60"/>
                          <w:szCs w:val="60"/>
                        </w:rPr>
                      </w:pPr>
                    </w:p>
                    <w:p w14:paraId="6D33444E" w14:textId="77777777" w:rsidR="001B1346" w:rsidRDefault="001B1346" w:rsidP="001F29CB">
                      <w:pPr>
                        <w:pStyle w:val="Title"/>
                        <w:rPr>
                          <w:b/>
                          <w:bCs/>
                          <w:color w:val="FFFFFF" w:themeColor="background1"/>
                          <w:sz w:val="60"/>
                          <w:szCs w:val="60"/>
                        </w:rPr>
                      </w:pPr>
                    </w:p>
                    <w:p w14:paraId="6DEA8842" w14:textId="77777777" w:rsidR="001B1346" w:rsidRDefault="001B1346" w:rsidP="001F29CB">
                      <w:pPr>
                        <w:pStyle w:val="Title"/>
                        <w:rPr>
                          <w:b/>
                          <w:bCs/>
                          <w:color w:val="FFFFFF" w:themeColor="background1"/>
                          <w:sz w:val="60"/>
                          <w:szCs w:val="60"/>
                        </w:rPr>
                      </w:pPr>
                    </w:p>
                    <w:p w14:paraId="4C2FFEC6" w14:textId="62D058C6" w:rsidR="001F29CB" w:rsidRPr="00DC31F0" w:rsidRDefault="001F29CB" w:rsidP="001F29CB">
                      <w:pPr>
                        <w:pStyle w:val="Title"/>
                        <w:rPr>
                          <w:b/>
                          <w:bCs/>
                          <w:color w:val="FFFFFF" w:themeColor="background1"/>
                          <w:sz w:val="60"/>
                          <w:szCs w:val="60"/>
                        </w:rPr>
                      </w:pPr>
                      <w:r w:rsidRPr="00DC31F0">
                        <w:rPr>
                          <w:b/>
                          <w:bCs/>
                          <w:color w:val="FFFFFF" w:themeColor="background1"/>
                          <w:sz w:val="60"/>
                          <w:szCs w:val="60"/>
                        </w:rPr>
                        <w:t>Regulator Performance Framework 202</w:t>
                      </w:r>
                      <w:r>
                        <w:rPr>
                          <w:b/>
                          <w:bCs/>
                          <w:color w:val="FFFFFF" w:themeColor="background1"/>
                          <w:sz w:val="60"/>
                          <w:szCs w:val="60"/>
                        </w:rPr>
                        <w:t>3</w:t>
                      </w:r>
                      <w:r w:rsidRPr="00DC31F0">
                        <w:rPr>
                          <w:b/>
                          <w:bCs/>
                          <w:color w:val="FFFFFF" w:themeColor="background1"/>
                          <w:sz w:val="60"/>
                          <w:szCs w:val="60"/>
                        </w:rPr>
                        <w:t>–2</w:t>
                      </w:r>
                      <w:r>
                        <w:rPr>
                          <w:b/>
                          <w:bCs/>
                          <w:color w:val="FFFFFF" w:themeColor="background1"/>
                          <w:sz w:val="60"/>
                          <w:szCs w:val="60"/>
                        </w:rPr>
                        <w:t>4</w:t>
                      </w:r>
                      <w:r w:rsidRPr="00DC31F0">
                        <w:rPr>
                          <w:b/>
                          <w:bCs/>
                          <w:color w:val="FFFFFF" w:themeColor="background1"/>
                          <w:sz w:val="60"/>
                          <w:szCs w:val="60"/>
                        </w:rPr>
                        <w:t xml:space="preserve"> </w:t>
                      </w:r>
                    </w:p>
                    <w:p w14:paraId="684DC59F" w14:textId="77777777" w:rsidR="001F29CB" w:rsidRPr="00DC31F0" w:rsidRDefault="001F29CB" w:rsidP="001F29CB">
                      <w:pPr>
                        <w:pStyle w:val="BodyText"/>
                        <w:rPr>
                          <w:b/>
                          <w:bCs/>
                          <w:color w:val="FFFFFF" w:themeColor="background1"/>
                          <w:sz w:val="32"/>
                          <w:szCs w:val="32"/>
                        </w:rPr>
                      </w:pPr>
                      <w:r w:rsidRPr="00DC31F0">
                        <w:rPr>
                          <w:b/>
                          <w:bCs/>
                          <w:color w:val="FFFFFF" w:themeColor="background1"/>
                          <w:sz w:val="32"/>
                          <w:szCs w:val="32"/>
                        </w:rPr>
                        <w:t>Department of Transport and Main Roads</w:t>
                      </w:r>
                    </w:p>
                    <w:p w14:paraId="0AA360D9" w14:textId="77777777" w:rsidR="001F29CB" w:rsidRPr="00492FF4" w:rsidRDefault="001F29CB" w:rsidP="001F29CB">
                      <w:pPr>
                        <w:rPr>
                          <w:color w:val="FFFFFF" w:themeColor="background1"/>
                        </w:rPr>
                      </w:pPr>
                      <w:r>
                        <w:rPr>
                          <w:color w:val="FFFFFF" w:themeColor="background1"/>
                        </w:rPr>
                        <w:t>December 2024</w:t>
                      </w:r>
                    </w:p>
                    <w:p w14:paraId="38C71084" w14:textId="77777777" w:rsidR="001F29CB" w:rsidRPr="00B1179E" w:rsidRDefault="001F29CB" w:rsidP="001F29CB">
                      <w:pPr>
                        <w:pStyle w:val="Heading3"/>
                        <w:rPr>
                          <w:color w:val="FFFFFF" w:themeColor="background1"/>
                        </w:rPr>
                      </w:pPr>
                    </w:p>
                    <w:p w14:paraId="47D16DD2" w14:textId="77777777" w:rsidR="001F29CB" w:rsidRDefault="001F29CB"/>
                    <w:p w14:paraId="3C5CBA4E" w14:textId="486EF146" w:rsidR="001F29CB" w:rsidRPr="00DC31F0" w:rsidRDefault="004A08A8" w:rsidP="001F29CB">
                      <w:pPr>
                        <w:pStyle w:val="Title"/>
                        <w:rPr>
                          <w:b/>
                          <w:bCs/>
                          <w:color w:val="FFFFFF" w:themeColor="background1"/>
                          <w:sz w:val="60"/>
                          <w:szCs w:val="60"/>
                        </w:rPr>
                      </w:pPr>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r w:rsidR="001F29CB" w:rsidRPr="00DC31F0">
                        <w:rPr>
                          <w:b/>
                          <w:bCs/>
                          <w:color w:val="FFFFFF" w:themeColor="background1"/>
                          <w:sz w:val="60"/>
                          <w:szCs w:val="60"/>
                        </w:rPr>
                        <w:t>k 202</w:t>
                      </w:r>
                      <w:r w:rsidR="001F29CB">
                        <w:rPr>
                          <w:b/>
                          <w:bCs/>
                          <w:color w:val="FFFFFF" w:themeColor="background1"/>
                          <w:sz w:val="60"/>
                          <w:szCs w:val="60"/>
                        </w:rPr>
                        <w:t>3</w:t>
                      </w:r>
                      <w:r w:rsidR="001F29CB" w:rsidRPr="00DC31F0">
                        <w:rPr>
                          <w:b/>
                          <w:bCs/>
                          <w:color w:val="FFFFFF" w:themeColor="background1"/>
                          <w:sz w:val="60"/>
                          <w:szCs w:val="60"/>
                        </w:rPr>
                        <w:t>–2</w:t>
                      </w:r>
                      <w:r w:rsidR="001F29CB">
                        <w:rPr>
                          <w:b/>
                          <w:bCs/>
                          <w:color w:val="FFFFFF" w:themeColor="background1"/>
                          <w:sz w:val="60"/>
                          <w:szCs w:val="60"/>
                        </w:rPr>
                        <w:t>4</w:t>
                      </w:r>
                      <w:r w:rsidR="001F29CB" w:rsidRPr="00DC31F0">
                        <w:rPr>
                          <w:b/>
                          <w:bCs/>
                          <w:color w:val="FFFFFF" w:themeColor="background1"/>
                          <w:sz w:val="60"/>
                          <w:szCs w:val="60"/>
                        </w:rPr>
                        <w:t xml:space="preserve"> </w:t>
                      </w:r>
                    </w:p>
                    <w:p w14:paraId="4C64282A" w14:textId="77777777" w:rsidR="001F29CB" w:rsidRPr="00DC31F0" w:rsidRDefault="001F29CB" w:rsidP="001F29CB">
                      <w:pPr>
                        <w:pStyle w:val="BodyText"/>
                        <w:rPr>
                          <w:b/>
                          <w:bCs/>
                          <w:color w:val="FFFFFF" w:themeColor="background1"/>
                          <w:sz w:val="32"/>
                          <w:szCs w:val="32"/>
                        </w:rPr>
                      </w:pPr>
                      <w:r w:rsidRPr="00DC31F0">
                        <w:rPr>
                          <w:b/>
                          <w:bCs/>
                          <w:color w:val="FFFFFF" w:themeColor="background1"/>
                          <w:sz w:val="32"/>
                          <w:szCs w:val="32"/>
                        </w:rPr>
                        <w:t>Department of Transport and Main Roads</w:t>
                      </w:r>
                    </w:p>
                    <w:p w14:paraId="3965A754" w14:textId="77777777" w:rsidR="001F29CB" w:rsidRPr="00492FF4" w:rsidRDefault="001F29CB" w:rsidP="001F29CB">
                      <w:pPr>
                        <w:rPr>
                          <w:color w:val="FFFFFF" w:themeColor="background1"/>
                        </w:rPr>
                      </w:pPr>
                      <w:r>
                        <w:rPr>
                          <w:color w:val="FFFFFF" w:themeColor="background1"/>
                        </w:rPr>
                        <w:t>December 2024</w:t>
                      </w:r>
                    </w:p>
                    <w:p w14:paraId="0BD113B7" w14:textId="77777777" w:rsidR="001F29CB" w:rsidRPr="00B1179E" w:rsidRDefault="001F29CB" w:rsidP="001F29CB">
                      <w:pPr>
                        <w:pStyle w:val="Heading3"/>
                        <w:rPr>
                          <w:color w:val="FFFFFF" w:themeColor="background1"/>
                        </w:rPr>
                      </w:pPr>
                    </w:p>
                  </w:txbxContent>
                </v:textbox>
                <w10:wrap type="tight" anchorx="margin"/>
              </v:shape>
            </w:pict>
          </mc:Fallback>
        </mc:AlternateContent>
      </w:r>
      <w:r w:rsidR="001B1346">
        <w:rPr>
          <w:noProof/>
          <w:u w:val="single"/>
        </w:rPr>
        <mc:AlternateContent>
          <mc:Choice Requires="wps">
            <w:drawing>
              <wp:anchor distT="0" distB="0" distL="114300" distR="114300" simplePos="0" relativeHeight="251617792" behindDoc="0" locked="0" layoutInCell="1" allowOverlap="1" wp14:anchorId="22225223" wp14:editId="1802ECDE">
                <wp:simplePos x="0" y="0"/>
                <wp:positionH relativeFrom="margin">
                  <wp:posOffset>142875</wp:posOffset>
                </wp:positionH>
                <wp:positionV relativeFrom="paragraph">
                  <wp:posOffset>5638165</wp:posOffset>
                </wp:positionV>
                <wp:extent cx="6219645" cy="2946644"/>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645" cy="2946644"/>
                        </a:xfrm>
                        <a:prstGeom prst="rect">
                          <a:avLst/>
                        </a:prstGeom>
                        <a:noFill/>
                        <a:ln w="9525">
                          <a:noFill/>
                          <a:miter lim="800000"/>
                          <a:headEnd/>
                          <a:tailEnd/>
                        </a:ln>
                      </wps:spPr>
                      <wps:txbx>
                        <w:txbxContent>
                          <w:p w14:paraId="2E59E801" w14:textId="2AA48743" w:rsidR="004A08A8" w:rsidRPr="00DC31F0" w:rsidRDefault="004A08A8" w:rsidP="00DC31F0">
                            <w:pPr>
                              <w:pStyle w:val="Title"/>
                              <w:rPr>
                                <w:b/>
                                <w:bCs/>
                                <w:color w:val="FFFFFF" w:themeColor="background1"/>
                                <w:sz w:val="60"/>
                                <w:szCs w:val="60"/>
                              </w:rPr>
                            </w:pPr>
                            <w:bookmarkStart w:id="0" w:name="_Toc152754255"/>
                            <w:bookmarkStart w:id="1" w:name="_Toc152754263"/>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r w:rsidR="00DC5925">
                              <w:rPr>
                                <w:b/>
                                <w:bCs/>
                                <w:color w:val="FFFFFF" w:themeColor="background1"/>
                                <w:sz w:val="60"/>
                                <w:szCs w:val="60"/>
                              </w:rPr>
                              <w:t>4</w:t>
                            </w:r>
                            <w:r w:rsidRPr="00DC31F0">
                              <w:rPr>
                                <w:b/>
                                <w:bCs/>
                                <w:color w:val="FFFFFF" w:themeColor="background1"/>
                                <w:sz w:val="60"/>
                                <w:szCs w:val="60"/>
                              </w:rPr>
                              <w:t xml:space="preserve"> </w:t>
                            </w:r>
                          </w:p>
                          <w:p w14:paraId="4A2647FA" w14:textId="77777777" w:rsidR="004A08A8" w:rsidRPr="00DC31F0" w:rsidRDefault="004A08A8" w:rsidP="00DC31F0">
                            <w:pPr>
                              <w:pStyle w:val="BodyText"/>
                              <w:rPr>
                                <w:b/>
                                <w:bCs/>
                                <w:color w:val="FFFFFF" w:themeColor="background1"/>
                                <w:sz w:val="32"/>
                                <w:szCs w:val="32"/>
                              </w:rPr>
                            </w:pPr>
                            <w:r w:rsidRPr="00DC31F0">
                              <w:rPr>
                                <w:b/>
                                <w:bCs/>
                                <w:color w:val="FFFFFF" w:themeColor="background1"/>
                                <w:sz w:val="32"/>
                                <w:szCs w:val="32"/>
                              </w:rPr>
                              <w:t>Department of Transport and Main Roads</w:t>
                            </w:r>
                          </w:p>
                          <w:p w14:paraId="39A424F3" w14:textId="77777777" w:rsidR="004A08A8" w:rsidRPr="00492FF4" w:rsidRDefault="004A08A8" w:rsidP="002909B5">
                            <w:pPr>
                              <w:rPr>
                                <w:color w:val="FFFFFF" w:themeColor="background1"/>
                              </w:rPr>
                            </w:pPr>
                            <w:r>
                              <w:rPr>
                                <w:color w:val="FFFFFF" w:themeColor="background1"/>
                              </w:rPr>
                              <w:t>December 202</w:t>
                            </w:r>
                            <w:r w:rsidR="00DC5925">
                              <w:rPr>
                                <w:color w:val="FFFFFF" w:themeColor="background1"/>
                              </w:rPr>
                              <w:t>4</w:t>
                            </w:r>
                          </w:p>
                          <w:p w14:paraId="692A6407" w14:textId="77777777" w:rsidR="004A08A8" w:rsidRPr="00B1179E" w:rsidRDefault="004A08A8" w:rsidP="002909B5">
                            <w:pPr>
                              <w:pStyle w:val="Heading3"/>
                              <w:rPr>
                                <w:color w:val="FFFFFF" w:themeColor="background1"/>
                              </w:rPr>
                            </w:pPr>
                          </w:p>
                          <w:p w14:paraId="1A4C5403" w14:textId="77777777" w:rsidR="004A08A8" w:rsidRDefault="004A08A8"/>
                          <w:p w14:paraId="23FAD400" w14:textId="7D3FA70A" w:rsidR="004A08A8" w:rsidRPr="00DC31F0" w:rsidRDefault="004A08A8" w:rsidP="00DC31F0">
                            <w:pPr>
                              <w:pStyle w:val="Title"/>
                              <w:rPr>
                                <w:b/>
                                <w:bCs/>
                                <w:color w:val="FFFFFF" w:themeColor="background1"/>
                                <w:sz w:val="60"/>
                                <w:szCs w:val="60"/>
                              </w:rPr>
                            </w:pPr>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bookmarkEnd w:id="0"/>
                            <w:bookmarkEnd w:id="1"/>
                            <w:r w:rsidR="00DC5925">
                              <w:rPr>
                                <w:b/>
                                <w:bCs/>
                                <w:color w:val="FFFFFF" w:themeColor="background1"/>
                                <w:sz w:val="60"/>
                                <w:szCs w:val="60"/>
                              </w:rPr>
                              <w:t>4</w:t>
                            </w:r>
                            <w:r w:rsidRPr="00DC31F0">
                              <w:rPr>
                                <w:b/>
                                <w:bCs/>
                                <w:color w:val="FFFFFF" w:themeColor="background1"/>
                                <w:sz w:val="60"/>
                                <w:szCs w:val="60"/>
                              </w:rPr>
                              <w:t xml:space="preserve"> </w:t>
                            </w:r>
                          </w:p>
                          <w:p w14:paraId="55488A61" w14:textId="5CF560FA" w:rsidR="004A08A8" w:rsidRPr="00DC31F0" w:rsidRDefault="004A08A8" w:rsidP="00DC31F0">
                            <w:pPr>
                              <w:pStyle w:val="BodyText"/>
                              <w:rPr>
                                <w:b/>
                                <w:bCs/>
                                <w:color w:val="FFFFFF" w:themeColor="background1"/>
                                <w:sz w:val="32"/>
                                <w:szCs w:val="32"/>
                              </w:rPr>
                            </w:pPr>
                            <w:bookmarkStart w:id="2" w:name="_Toc152754256"/>
                            <w:bookmarkStart w:id="3" w:name="_Toc152754264"/>
                            <w:r w:rsidRPr="00DC31F0">
                              <w:rPr>
                                <w:b/>
                                <w:bCs/>
                                <w:color w:val="FFFFFF" w:themeColor="background1"/>
                                <w:sz w:val="32"/>
                                <w:szCs w:val="32"/>
                              </w:rPr>
                              <w:t>Department of Transport and Main Roads</w:t>
                            </w:r>
                            <w:bookmarkEnd w:id="2"/>
                            <w:bookmarkEnd w:id="3"/>
                          </w:p>
                          <w:p w14:paraId="5AF18C6B" w14:textId="016C480A" w:rsidR="004A08A8" w:rsidRPr="00492FF4" w:rsidRDefault="004A08A8" w:rsidP="002909B5">
                            <w:pPr>
                              <w:rPr>
                                <w:color w:val="FFFFFF" w:themeColor="background1"/>
                              </w:rPr>
                            </w:pPr>
                            <w:r>
                              <w:rPr>
                                <w:color w:val="FFFFFF" w:themeColor="background1"/>
                              </w:rPr>
                              <w:t>December 202</w:t>
                            </w:r>
                            <w:r w:rsidR="00DC5925">
                              <w:rPr>
                                <w:color w:val="FFFFFF" w:themeColor="background1"/>
                              </w:rPr>
                              <w:t>4</w:t>
                            </w:r>
                          </w:p>
                          <w:p w14:paraId="7FA4D543" w14:textId="77777777" w:rsidR="004A08A8" w:rsidRPr="00B1179E" w:rsidRDefault="004A08A8" w:rsidP="002909B5">
                            <w:pPr>
                              <w:pStyle w:val="Heading3"/>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25223" id="_x0000_s1027" type="#_x0000_t202" style="position:absolute;margin-left:11.25pt;margin-top:443.95pt;width:489.75pt;height:232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" filled="f" stroked="f">
                <v:textbox>
                  <w:txbxContent>
                    <w:p w14:paraId="2E59E801" w14:textId="2AA48743" w:rsidR="004A08A8" w:rsidRPr="00DC31F0" w:rsidRDefault="004A08A8" w:rsidP="00DC31F0">
                      <w:pPr>
                        <w:pStyle w:val="Title"/>
                        <w:rPr>
                          <w:b/>
                          <w:bCs/>
                          <w:color w:val="FFFFFF" w:themeColor="background1"/>
                          <w:sz w:val="60"/>
                          <w:szCs w:val="60"/>
                        </w:rPr>
                      </w:pPr>
                      <w:bookmarkStart w:id="4" w:name="_Toc152754255"/>
                      <w:bookmarkStart w:id="5" w:name="_Toc152754263"/>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r w:rsidR="00DC5925">
                        <w:rPr>
                          <w:b/>
                          <w:bCs/>
                          <w:color w:val="FFFFFF" w:themeColor="background1"/>
                          <w:sz w:val="60"/>
                          <w:szCs w:val="60"/>
                        </w:rPr>
                        <w:t>4</w:t>
                      </w:r>
                      <w:r w:rsidRPr="00DC31F0">
                        <w:rPr>
                          <w:b/>
                          <w:bCs/>
                          <w:color w:val="FFFFFF" w:themeColor="background1"/>
                          <w:sz w:val="60"/>
                          <w:szCs w:val="60"/>
                        </w:rPr>
                        <w:t xml:space="preserve"> </w:t>
                      </w:r>
                    </w:p>
                    <w:p w14:paraId="4A2647FA" w14:textId="77777777" w:rsidR="004A08A8" w:rsidRPr="00DC31F0" w:rsidRDefault="004A08A8" w:rsidP="00DC31F0">
                      <w:pPr>
                        <w:pStyle w:val="BodyText"/>
                        <w:rPr>
                          <w:b/>
                          <w:bCs/>
                          <w:color w:val="FFFFFF" w:themeColor="background1"/>
                          <w:sz w:val="32"/>
                          <w:szCs w:val="32"/>
                        </w:rPr>
                      </w:pPr>
                      <w:r w:rsidRPr="00DC31F0">
                        <w:rPr>
                          <w:b/>
                          <w:bCs/>
                          <w:color w:val="FFFFFF" w:themeColor="background1"/>
                          <w:sz w:val="32"/>
                          <w:szCs w:val="32"/>
                        </w:rPr>
                        <w:t>Department of Transport and Main Roads</w:t>
                      </w:r>
                    </w:p>
                    <w:p w14:paraId="39A424F3" w14:textId="77777777" w:rsidR="004A08A8" w:rsidRPr="00492FF4" w:rsidRDefault="004A08A8" w:rsidP="002909B5">
                      <w:pPr>
                        <w:rPr>
                          <w:color w:val="FFFFFF" w:themeColor="background1"/>
                        </w:rPr>
                      </w:pPr>
                      <w:r>
                        <w:rPr>
                          <w:color w:val="FFFFFF" w:themeColor="background1"/>
                        </w:rPr>
                        <w:t>December 202</w:t>
                      </w:r>
                      <w:r w:rsidR="00DC5925">
                        <w:rPr>
                          <w:color w:val="FFFFFF" w:themeColor="background1"/>
                        </w:rPr>
                        <w:t>4</w:t>
                      </w:r>
                    </w:p>
                    <w:p w14:paraId="692A6407" w14:textId="77777777" w:rsidR="004A08A8" w:rsidRPr="00B1179E" w:rsidRDefault="004A08A8" w:rsidP="002909B5">
                      <w:pPr>
                        <w:pStyle w:val="Heading3"/>
                        <w:rPr>
                          <w:color w:val="FFFFFF" w:themeColor="background1"/>
                        </w:rPr>
                      </w:pPr>
                    </w:p>
                    <w:p w14:paraId="1A4C5403" w14:textId="77777777" w:rsidR="004A08A8" w:rsidRDefault="004A08A8"/>
                    <w:p w14:paraId="23FAD400" w14:textId="7D3FA70A" w:rsidR="004A08A8" w:rsidRPr="00DC31F0" w:rsidRDefault="004A08A8" w:rsidP="00DC31F0">
                      <w:pPr>
                        <w:pStyle w:val="Title"/>
                        <w:rPr>
                          <w:b/>
                          <w:bCs/>
                          <w:color w:val="FFFFFF" w:themeColor="background1"/>
                          <w:sz w:val="60"/>
                          <w:szCs w:val="60"/>
                        </w:rPr>
                      </w:pPr>
                      <w:r w:rsidRPr="00DC31F0">
                        <w:rPr>
                          <w:b/>
                          <w:bCs/>
                          <w:color w:val="FFFFFF" w:themeColor="background1"/>
                          <w:sz w:val="60"/>
                          <w:szCs w:val="60"/>
                        </w:rPr>
                        <w:t>Regulator Performance Framework 202</w:t>
                      </w:r>
                      <w:r w:rsidR="00DC5925">
                        <w:rPr>
                          <w:b/>
                          <w:bCs/>
                          <w:color w:val="FFFFFF" w:themeColor="background1"/>
                          <w:sz w:val="60"/>
                          <w:szCs w:val="60"/>
                        </w:rPr>
                        <w:t>3</w:t>
                      </w:r>
                      <w:r w:rsidRPr="00DC31F0">
                        <w:rPr>
                          <w:b/>
                          <w:bCs/>
                          <w:color w:val="FFFFFF" w:themeColor="background1"/>
                          <w:sz w:val="60"/>
                          <w:szCs w:val="60"/>
                        </w:rPr>
                        <w:t>–2</w:t>
                      </w:r>
                      <w:bookmarkEnd w:id="4"/>
                      <w:bookmarkEnd w:id="5"/>
                      <w:r w:rsidR="00DC5925">
                        <w:rPr>
                          <w:b/>
                          <w:bCs/>
                          <w:color w:val="FFFFFF" w:themeColor="background1"/>
                          <w:sz w:val="60"/>
                          <w:szCs w:val="60"/>
                        </w:rPr>
                        <w:t>4</w:t>
                      </w:r>
                      <w:r w:rsidRPr="00DC31F0">
                        <w:rPr>
                          <w:b/>
                          <w:bCs/>
                          <w:color w:val="FFFFFF" w:themeColor="background1"/>
                          <w:sz w:val="60"/>
                          <w:szCs w:val="60"/>
                        </w:rPr>
                        <w:t xml:space="preserve"> </w:t>
                      </w:r>
                    </w:p>
                    <w:p w14:paraId="55488A61" w14:textId="5CF560FA" w:rsidR="004A08A8" w:rsidRPr="00DC31F0" w:rsidRDefault="004A08A8" w:rsidP="00DC31F0">
                      <w:pPr>
                        <w:pStyle w:val="BodyText"/>
                        <w:rPr>
                          <w:b/>
                          <w:bCs/>
                          <w:color w:val="FFFFFF" w:themeColor="background1"/>
                          <w:sz w:val="32"/>
                          <w:szCs w:val="32"/>
                        </w:rPr>
                      </w:pPr>
                      <w:bookmarkStart w:id="6" w:name="_Toc152754256"/>
                      <w:bookmarkStart w:id="7" w:name="_Toc152754264"/>
                      <w:r w:rsidRPr="00DC31F0">
                        <w:rPr>
                          <w:b/>
                          <w:bCs/>
                          <w:color w:val="FFFFFF" w:themeColor="background1"/>
                          <w:sz w:val="32"/>
                          <w:szCs w:val="32"/>
                        </w:rPr>
                        <w:t>Department of Transport and Main Roads</w:t>
                      </w:r>
                      <w:bookmarkEnd w:id="6"/>
                      <w:bookmarkEnd w:id="7"/>
                    </w:p>
                    <w:p w14:paraId="5AF18C6B" w14:textId="016C480A" w:rsidR="004A08A8" w:rsidRPr="00492FF4" w:rsidRDefault="004A08A8" w:rsidP="002909B5">
                      <w:pPr>
                        <w:rPr>
                          <w:color w:val="FFFFFF" w:themeColor="background1"/>
                        </w:rPr>
                      </w:pPr>
                      <w:r>
                        <w:rPr>
                          <w:color w:val="FFFFFF" w:themeColor="background1"/>
                        </w:rPr>
                        <w:t>December 202</w:t>
                      </w:r>
                      <w:r w:rsidR="00DC5925">
                        <w:rPr>
                          <w:color w:val="FFFFFF" w:themeColor="background1"/>
                        </w:rPr>
                        <w:t>4</w:t>
                      </w:r>
                    </w:p>
                    <w:p w14:paraId="7FA4D543" w14:textId="77777777" w:rsidR="004A08A8" w:rsidRPr="00B1179E" w:rsidRDefault="004A08A8" w:rsidP="002909B5">
                      <w:pPr>
                        <w:pStyle w:val="Heading3"/>
                        <w:rPr>
                          <w:color w:val="FFFFFF" w:themeColor="background1"/>
                        </w:rPr>
                      </w:pPr>
                    </w:p>
                  </w:txbxContent>
                </v:textbox>
                <w10:wrap anchorx="margin"/>
              </v:shape>
            </w:pict>
          </mc:Fallback>
        </mc:AlternateContent>
      </w:r>
    </w:p>
    <w:sdt>
      <w:sdtPr>
        <w:rPr>
          <w:rFonts w:eastAsiaTheme="minorHAnsi" w:cstheme="minorBidi"/>
          <w:b w:val="0"/>
          <w:color w:val="auto"/>
          <w:sz w:val="24"/>
          <w:szCs w:val="22"/>
        </w:rPr>
        <w:id w:val="-99032045"/>
        <w:docPartObj>
          <w:docPartGallery w:val="Table of Contents"/>
          <w:docPartUnique/>
        </w:docPartObj>
      </w:sdtPr>
      <w:sdtEndPr>
        <w:rPr>
          <w:bCs/>
          <w:noProof/>
        </w:rPr>
      </w:sdtEndPr>
      <w:sdtContent>
        <w:p w14:paraId="33BBD9EE" w14:textId="401191A3" w:rsidR="00781A25" w:rsidRDefault="00781A25" w:rsidP="00FF5F29">
          <w:pPr>
            <w:pStyle w:val="TOCHeading"/>
            <w:ind w:right="120"/>
          </w:pPr>
          <w:r>
            <w:t>Table of Contents</w:t>
          </w:r>
        </w:p>
        <w:p w14:paraId="76BA9B85" w14:textId="77777777" w:rsidR="00961C30" w:rsidRPr="00961C30" w:rsidRDefault="00961C30" w:rsidP="00961C30"/>
        <w:p w14:paraId="28422333" w14:textId="665DFF71" w:rsidR="00961C30" w:rsidRDefault="00781A25">
          <w:pPr>
            <w:pStyle w:val="TOC1"/>
            <w:tabs>
              <w:tab w:val="right" w:leader="dot" w:pos="9182"/>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85328307" w:history="1">
            <w:r w:rsidR="00961C30" w:rsidRPr="00743005">
              <w:rPr>
                <w:rStyle w:val="Hyperlink"/>
                <w:noProof/>
              </w:rPr>
              <w:t>Executive Summary</w:t>
            </w:r>
            <w:r w:rsidR="00961C30">
              <w:rPr>
                <w:noProof/>
                <w:webHidden/>
              </w:rPr>
              <w:tab/>
            </w:r>
            <w:r w:rsidR="00961C30">
              <w:rPr>
                <w:noProof/>
                <w:webHidden/>
              </w:rPr>
              <w:fldChar w:fldCharType="begin"/>
            </w:r>
            <w:r w:rsidR="00961C30">
              <w:rPr>
                <w:noProof/>
                <w:webHidden/>
              </w:rPr>
              <w:instrText xml:space="preserve"> PAGEREF _Toc185328307 \h </w:instrText>
            </w:r>
            <w:r w:rsidR="00961C30">
              <w:rPr>
                <w:noProof/>
                <w:webHidden/>
              </w:rPr>
            </w:r>
            <w:r w:rsidR="00961C30">
              <w:rPr>
                <w:noProof/>
                <w:webHidden/>
              </w:rPr>
              <w:fldChar w:fldCharType="separate"/>
            </w:r>
            <w:r w:rsidR="00961C30">
              <w:rPr>
                <w:noProof/>
                <w:webHidden/>
              </w:rPr>
              <w:t>2</w:t>
            </w:r>
            <w:r w:rsidR="00961C30">
              <w:rPr>
                <w:noProof/>
                <w:webHidden/>
              </w:rPr>
              <w:fldChar w:fldCharType="end"/>
            </w:r>
          </w:hyperlink>
        </w:p>
        <w:p w14:paraId="0C4D22A3" w14:textId="152808DF" w:rsidR="00961C30" w:rsidRDefault="00000000">
          <w:pPr>
            <w:pStyle w:val="TOC1"/>
            <w:tabs>
              <w:tab w:val="right" w:leader="dot" w:pos="9182"/>
            </w:tabs>
            <w:rPr>
              <w:rFonts w:asciiTheme="minorHAnsi" w:eastAsiaTheme="minorEastAsia" w:hAnsiTheme="minorHAnsi"/>
              <w:noProof/>
              <w:kern w:val="2"/>
              <w:sz w:val="22"/>
              <w:lang w:eastAsia="en-AU"/>
              <w14:ligatures w14:val="standardContextual"/>
            </w:rPr>
          </w:pPr>
          <w:hyperlink w:anchor="_Toc185328308" w:history="1">
            <w:r w:rsidR="00961C30" w:rsidRPr="00743005">
              <w:rPr>
                <w:rStyle w:val="Hyperlink"/>
                <w:noProof/>
              </w:rPr>
              <w:t>Model Practices</w:t>
            </w:r>
            <w:r w:rsidR="00961C30">
              <w:rPr>
                <w:noProof/>
                <w:webHidden/>
              </w:rPr>
              <w:tab/>
            </w:r>
            <w:r w:rsidR="00961C30">
              <w:rPr>
                <w:noProof/>
                <w:webHidden/>
              </w:rPr>
              <w:fldChar w:fldCharType="begin"/>
            </w:r>
            <w:r w:rsidR="00961C30">
              <w:rPr>
                <w:noProof/>
                <w:webHidden/>
              </w:rPr>
              <w:instrText xml:space="preserve"> PAGEREF _Toc185328308 \h </w:instrText>
            </w:r>
            <w:r w:rsidR="00961C30">
              <w:rPr>
                <w:noProof/>
                <w:webHidden/>
              </w:rPr>
            </w:r>
            <w:r w:rsidR="00961C30">
              <w:rPr>
                <w:noProof/>
                <w:webHidden/>
              </w:rPr>
              <w:fldChar w:fldCharType="separate"/>
            </w:r>
            <w:r w:rsidR="00961C30">
              <w:rPr>
                <w:noProof/>
                <w:webHidden/>
              </w:rPr>
              <w:t>4</w:t>
            </w:r>
            <w:r w:rsidR="00961C30">
              <w:rPr>
                <w:noProof/>
                <w:webHidden/>
              </w:rPr>
              <w:fldChar w:fldCharType="end"/>
            </w:r>
          </w:hyperlink>
        </w:p>
        <w:p w14:paraId="06368928" w14:textId="6EDE7AD0" w:rsidR="00961C30" w:rsidRDefault="00000000">
          <w:pPr>
            <w:pStyle w:val="TOC2"/>
            <w:tabs>
              <w:tab w:val="right" w:leader="dot" w:pos="9182"/>
            </w:tabs>
            <w:rPr>
              <w:rFonts w:asciiTheme="minorHAnsi" w:eastAsiaTheme="minorEastAsia" w:hAnsiTheme="minorHAnsi"/>
              <w:noProof/>
              <w:kern w:val="2"/>
              <w:sz w:val="22"/>
              <w:lang w:eastAsia="en-AU"/>
              <w14:ligatures w14:val="standardContextual"/>
            </w:rPr>
          </w:pPr>
          <w:hyperlink w:anchor="_Toc185328309" w:history="1">
            <w:r w:rsidR="00961C30" w:rsidRPr="00743005">
              <w:rPr>
                <w:rStyle w:val="Hyperlink"/>
                <w:noProof/>
              </w:rPr>
              <w:t>Ensure regulatory activity is proportionate to risk and minimises unnecessary burden</w:t>
            </w:r>
            <w:r w:rsidR="00961C30">
              <w:rPr>
                <w:noProof/>
                <w:webHidden/>
              </w:rPr>
              <w:tab/>
            </w:r>
            <w:r w:rsidR="00961C30">
              <w:rPr>
                <w:noProof/>
                <w:webHidden/>
              </w:rPr>
              <w:fldChar w:fldCharType="begin"/>
            </w:r>
            <w:r w:rsidR="00961C30">
              <w:rPr>
                <w:noProof/>
                <w:webHidden/>
              </w:rPr>
              <w:instrText xml:space="preserve"> PAGEREF _Toc185328309 \h </w:instrText>
            </w:r>
            <w:r w:rsidR="00961C30">
              <w:rPr>
                <w:noProof/>
                <w:webHidden/>
              </w:rPr>
            </w:r>
            <w:r w:rsidR="00961C30">
              <w:rPr>
                <w:noProof/>
                <w:webHidden/>
              </w:rPr>
              <w:fldChar w:fldCharType="separate"/>
            </w:r>
            <w:r w:rsidR="00961C30">
              <w:rPr>
                <w:noProof/>
                <w:webHidden/>
              </w:rPr>
              <w:t>4</w:t>
            </w:r>
            <w:r w:rsidR="00961C30">
              <w:rPr>
                <w:noProof/>
                <w:webHidden/>
              </w:rPr>
              <w:fldChar w:fldCharType="end"/>
            </w:r>
          </w:hyperlink>
        </w:p>
        <w:p w14:paraId="75387103" w14:textId="37388292" w:rsidR="00961C30" w:rsidRDefault="00000000">
          <w:pPr>
            <w:pStyle w:val="TOC2"/>
            <w:tabs>
              <w:tab w:val="right" w:leader="dot" w:pos="9182"/>
            </w:tabs>
            <w:rPr>
              <w:rFonts w:asciiTheme="minorHAnsi" w:eastAsiaTheme="minorEastAsia" w:hAnsiTheme="minorHAnsi"/>
              <w:noProof/>
              <w:kern w:val="2"/>
              <w:sz w:val="22"/>
              <w:lang w:eastAsia="en-AU"/>
              <w14:ligatures w14:val="standardContextual"/>
            </w:rPr>
          </w:pPr>
          <w:hyperlink w:anchor="_Toc185328310" w:history="1">
            <w:r w:rsidR="00961C30" w:rsidRPr="00743005">
              <w:rPr>
                <w:rStyle w:val="Hyperlink"/>
                <w:noProof/>
              </w:rPr>
              <w:t>Consult and engage meaningfully with stakeholders</w:t>
            </w:r>
            <w:r w:rsidR="00961C30">
              <w:rPr>
                <w:noProof/>
                <w:webHidden/>
              </w:rPr>
              <w:tab/>
            </w:r>
            <w:r w:rsidR="00961C30">
              <w:rPr>
                <w:noProof/>
                <w:webHidden/>
              </w:rPr>
              <w:fldChar w:fldCharType="begin"/>
            </w:r>
            <w:r w:rsidR="00961C30">
              <w:rPr>
                <w:noProof/>
                <w:webHidden/>
              </w:rPr>
              <w:instrText xml:space="preserve"> PAGEREF _Toc185328310 \h </w:instrText>
            </w:r>
            <w:r w:rsidR="00961C30">
              <w:rPr>
                <w:noProof/>
                <w:webHidden/>
              </w:rPr>
            </w:r>
            <w:r w:rsidR="00961C30">
              <w:rPr>
                <w:noProof/>
                <w:webHidden/>
              </w:rPr>
              <w:fldChar w:fldCharType="separate"/>
            </w:r>
            <w:r w:rsidR="00961C30">
              <w:rPr>
                <w:noProof/>
                <w:webHidden/>
              </w:rPr>
              <w:t>8</w:t>
            </w:r>
            <w:r w:rsidR="00961C30">
              <w:rPr>
                <w:noProof/>
                <w:webHidden/>
              </w:rPr>
              <w:fldChar w:fldCharType="end"/>
            </w:r>
          </w:hyperlink>
        </w:p>
        <w:p w14:paraId="115463BF" w14:textId="3025082F" w:rsidR="00961C30" w:rsidRDefault="00000000">
          <w:pPr>
            <w:pStyle w:val="TOC2"/>
            <w:tabs>
              <w:tab w:val="right" w:leader="dot" w:pos="9182"/>
            </w:tabs>
            <w:rPr>
              <w:rFonts w:asciiTheme="minorHAnsi" w:eastAsiaTheme="minorEastAsia" w:hAnsiTheme="minorHAnsi"/>
              <w:noProof/>
              <w:kern w:val="2"/>
              <w:sz w:val="22"/>
              <w:lang w:eastAsia="en-AU"/>
              <w14:ligatures w14:val="standardContextual"/>
            </w:rPr>
          </w:pPr>
          <w:hyperlink w:anchor="_Toc185328311" w:history="1">
            <w:r w:rsidR="00961C30" w:rsidRPr="00743005">
              <w:rPr>
                <w:rStyle w:val="Hyperlink"/>
                <w:noProof/>
              </w:rPr>
              <w:t>Provide appropriate information and support to assist compliance</w:t>
            </w:r>
            <w:r w:rsidR="00961C30">
              <w:rPr>
                <w:noProof/>
                <w:webHidden/>
              </w:rPr>
              <w:tab/>
            </w:r>
            <w:r w:rsidR="00961C30">
              <w:rPr>
                <w:noProof/>
                <w:webHidden/>
              </w:rPr>
              <w:fldChar w:fldCharType="begin"/>
            </w:r>
            <w:r w:rsidR="00961C30">
              <w:rPr>
                <w:noProof/>
                <w:webHidden/>
              </w:rPr>
              <w:instrText xml:space="preserve"> PAGEREF _Toc185328311 \h </w:instrText>
            </w:r>
            <w:r w:rsidR="00961C30">
              <w:rPr>
                <w:noProof/>
                <w:webHidden/>
              </w:rPr>
            </w:r>
            <w:r w:rsidR="00961C30">
              <w:rPr>
                <w:noProof/>
                <w:webHidden/>
              </w:rPr>
              <w:fldChar w:fldCharType="separate"/>
            </w:r>
            <w:r w:rsidR="00961C30">
              <w:rPr>
                <w:noProof/>
                <w:webHidden/>
              </w:rPr>
              <w:t>15</w:t>
            </w:r>
            <w:r w:rsidR="00961C30">
              <w:rPr>
                <w:noProof/>
                <w:webHidden/>
              </w:rPr>
              <w:fldChar w:fldCharType="end"/>
            </w:r>
          </w:hyperlink>
        </w:p>
        <w:p w14:paraId="6D836057" w14:textId="7CBB25D4" w:rsidR="00961C30" w:rsidRDefault="00000000">
          <w:pPr>
            <w:pStyle w:val="TOC2"/>
            <w:tabs>
              <w:tab w:val="right" w:leader="dot" w:pos="9182"/>
            </w:tabs>
            <w:rPr>
              <w:rFonts w:asciiTheme="minorHAnsi" w:eastAsiaTheme="minorEastAsia" w:hAnsiTheme="minorHAnsi"/>
              <w:noProof/>
              <w:kern w:val="2"/>
              <w:sz w:val="22"/>
              <w:lang w:eastAsia="en-AU"/>
              <w14:ligatures w14:val="standardContextual"/>
            </w:rPr>
          </w:pPr>
          <w:hyperlink w:anchor="_Toc185328312" w:history="1">
            <w:r w:rsidR="00961C30" w:rsidRPr="00743005">
              <w:rPr>
                <w:rStyle w:val="Hyperlink"/>
                <w:noProof/>
              </w:rPr>
              <w:t>Commit to continuous improvement</w:t>
            </w:r>
            <w:r w:rsidR="00961C30">
              <w:rPr>
                <w:noProof/>
                <w:webHidden/>
              </w:rPr>
              <w:tab/>
            </w:r>
            <w:r w:rsidR="00961C30">
              <w:rPr>
                <w:noProof/>
                <w:webHidden/>
              </w:rPr>
              <w:fldChar w:fldCharType="begin"/>
            </w:r>
            <w:r w:rsidR="00961C30">
              <w:rPr>
                <w:noProof/>
                <w:webHidden/>
              </w:rPr>
              <w:instrText xml:space="preserve"> PAGEREF _Toc185328312 \h </w:instrText>
            </w:r>
            <w:r w:rsidR="00961C30">
              <w:rPr>
                <w:noProof/>
                <w:webHidden/>
              </w:rPr>
            </w:r>
            <w:r w:rsidR="00961C30">
              <w:rPr>
                <w:noProof/>
                <w:webHidden/>
              </w:rPr>
              <w:fldChar w:fldCharType="separate"/>
            </w:r>
            <w:r w:rsidR="00961C30">
              <w:rPr>
                <w:noProof/>
                <w:webHidden/>
              </w:rPr>
              <w:t>18</w:t>
            </w:r>
            <w:r w:rsidR="00961C30">
              <w:rPr>
                <w:noProof/>
                <w:webHidden/>
              </w:rPr>
              <w:fldChar w:fldCharType="end"/>
            </w:r>
          </w:hyperlink>
        </w:p>
        <w:p w14:paraId="6413CE28" w14:textId="45B9C1D4" w:rsidR="00961C30" w:rsidRDefault="00000000">
          <w:pPr>
            <w:pStyle w:val="TOC2"/>
            <w:tabs>
              <w:tab w:val="right" w:leader="dot" w:pos="9182"/>
            </w:tabs>
            <w:rPr>
              <w:rFonts w:asciiTheme="minorHAnsi" w:eastAsiaTheme="minorEastAsia" w:hAnsiTheme="minorHAnsi"/>
              <w:noProof/>
              <w:kern w:val="2"/>
              <w:sz w:val="22"/>
              <w:lang w:eastAsia="en-AU"/>
              <w14:ligatures w14:val="standardContextual"/>
            </w:rPr>
          </w:pPr>
          <w:hyperlink w:anchor="_Toc185328313" w:history="1">
            <w:r w:rsidR="00961C30" w:rsidRPr="00743005">
              <w:rPr>
                <w:rStyle w:val="Hyperlink"/>
                <w:noProof/>
              </w:rPr>
              <w:t>Be transparent and accountable in actions</w:t>
            </w:r>
            <w:r w:rsidR="00961C30">
              <w:rPr>
                <w:noProof/>
                <w:webHidden/>
              </w:rPr>
              <w:tab/>
            </w:r>
            <w:r w:rsidR="00961C30">
              <w:rPr>
                <w:noProof/>
                <w:webHidden/>
              </w:rPr>
              <w:fldChar w:fldCharType="begin"/>
            </w:r>
            <w:r w:rsidR="00961C30">
              <w:rPr>
                <w:noProof/>
                <w:webHidden/>
              </w:rPr>
              <w:instrText xml:space="preserve"> PAGEREF _Toc185328313 \h </w:instrText>
            </w:r>
            <w:r w:rsidR="00961C30">
              <w:rPr>
                <w:noProof/>
                <w:webHidden/>
              </w:rPr>
            </w:r>
            <w:r w:rsidR="00961C30">
              <w:rPr>
                <w:noProof/>
                <w:webHidden/>
              </w:rPr>
              <w:fldChar w:fldCharType="separate"/>
            </w:r>
            <w:r w:rsidR="00961C30">
              <w:rPr>
                <w:noProof/>
                <w:webHidden/>
              </w:rPr>
              <w:t>22</w:t>
            </w:r>
            <w:r w:rsidR="00961C30">
              <w:rPr>
                <w:noProof/>
                <w:webHidden/>
              </w:rPr>
              <w:fldChar w:fldCharType="end"/>
            </w:r>
          </w:hyperlink>
        </w:p>
        <w:p w14:paraId="66D8CBBD" w14:textId="039A4D6D" w:rsidR="00961C30" w:rsidRDefault="00000000">
          <w:pPr>
            <w:pStyle w:val="TOC1"/>
            <w:tabs>
              <w:tab w:val="right" w:leader="dot" w:pos="9182"/>
            </w:tabs>
            <w:rPr>
              <w:rFonts w:asciiTheme="minorHAnsi" w:eastAsiaTheme="minorEastAsia" w:hAnsiTheme="minorHAnsi"/>
              <w:noProof/>
              <w:kern w:val="2"/>
              <w:sz w:val="22"/>
              <w:lang w:eastAsia="en-AU"/>
              <w14:ligatures w14:val="standardContextual"/>
            </w:rPr>
          </w:pPr>
          <w:hyperlink w:anchor="_Toc185328314" w:history="1">
            <w:r w:rsidR="00961C30" w:rsidRPr="00743005">
              <w:rPr>
                <w:rStyle w:val="Hyperlink"/>
                <w:noProof/>
              </w:rPr>
              <w:t>Appendix 1 – Portfolio legislation</w:t>
            </w:r>
            <w:r w:rsidR="00961C30">
              <w:rPr>
                <w:noProof/>
                <w:webHidden/>
              </w:rPr>
              <w:tab/>
            </w:r>
            <w:r w:rsidR="00961C30">
              <w:rPr>
                <w:noProof/>
                <w:webHidden/>
              </w:rPr>
              <w:fldChar w:fldCharType="begin"/>
            </w:r>
            <w:r w:rsidR="00961C30">
              <w:rPr>
                <w:noProof/>
                <w:webHidden/>
              </w:rPr>
              <w:instrText xml:space="preserve"> PAGEREF _Toc185328314 \h </w:instrText>
            </w:r>
            <w:r w:rsidR="00961C30">
              <w:rPr>
                <w:noProof/>
                <w:webHidden/>
              </w:rPr>
            </w:r>
            <w:r w:rsidR="00961C30">
              <w:rPr>
                <w:noProof/>
                <w:webHidden/>
              </w:rPr>
              <w:fldChar w:fldCharType="separate"/>
            </w:r>
            <w:r w:rsidR="00961C30">
              <w:rPr>
                <w:noProof/>
                <w:webHidden/>
              </w:rPr>
              <w:t>27</w:t>
            </w:r>
            <w:r w:rsidR="00961C30">
              <w:rPr>
                <w:noProof/>
                <w:webHidden/>
              </w:rPr>
              <w:fldChar w:fldCharType="end"/>
            </w:r>
          </w:hyperlink>
        </w:p>
        <w:p w14:paraId="48A44D89" w14:textId="260D117D" w:rsidR="00781A25" w:rsidRDefault="00781A25" w:rsidP="00FF5F29">
          <w:pPr>
            <w:ind w:right="120"/>
          </w:pPr>
          <w:r>
            <w:rPr>
              <w:b/>
              <w:bCs/>
              <w:noProof/>
            </w:rPr>
            <w:fldChar w:fldCharType="end"/>
          </w:r>
        </w:p>
      </w:sdtContent>
    </w:sdt>
    <w:p w14:paraId="31811FB6" w14:textId="7CD29894" w:rsidR="0005765C" w:rsidRDefault="0005765C" w:rsidP="00FF5F29">
      <w:pPr>
        <w:spacing w:after="160" w:line="259" w:lineRule="auto"/>
        <w:ind w:right="120"/>
      </w:pPr>
    </w:p>
    <w:p w14:paraId="76177439" w14:textId="60720B62" w:rsidR="004A08A8" w:rsidRDefault="0005765C" w:rsidP="00FF5F29">
      <w:pPr>
        <w:spacing w:after="160" w:line="259" w:lineRule="auto"/>
        <w:ind w:right="120"/>
      </w:pPr>
      <w:r>
        <w:br w:type="page"/>
      </w:r>
    </w:p>
    <w:p w14:paraId="6FFC92BC" w14:textId="75625A04" w:rsidR="0084404D" w:rsidRPr="0052240A" w:rsidRDefault="004A08A8" w:rsidP="00FF5F29">
      <w:pPr>
        <w:pStyle w:val="Heading1"/>
        <w:ind w:right="120"/>
      </w:pPr>
      <w:bookmarkStart w:id="8" w:name="_Toc184395457"/>
      <w:bookmarkStart w:id="9" w:name="_Toc185328307"/>
      <w:r w:rsidRPr="0052240A">
        <w:lastRenderedPageBreak/>
        <w:t>Executive Summary</w:t>
      </w:r>
      <w:bookmarkEnd w:id="8"/>
      <w:bookmarkEnd w:id="9"/>
    </w:p>
    <w:p w14:paraId="08B48F7C" w14:textId="77777777" w:rsidR="00717A13" w:rsidRPr="0052240A" w:rsidRDefault="00717A13" w:rsidP="00FF5F29">
      <w:pPr>
        <w:pStyle w:val="BodyText"/>
        <w:ind w:right="120"/>
      </w:pPr>
    </w:p>
    <w:p w14:paraId="00F1CB66" w14:textId="45EF4EF3" w:rsidR="00DC31F0" w:rsidRPr="0052240A" w:rsidRDefault="00DC31F0" w:rsidP="00FF5F29">
      <w:pPr>
        <w:pStyle w:val="BodyText"/>
        <w:ind w:right="120"/>
        <w:jc w:val="both"/>
      </w:pPr>
      <w:r w:rsidRPr="0052240A">
        <w:t>The Queensland Government’s Regulator Performance Framework requires Queensland Government agencies who deliver regulatory functions to report annually on their performance against five model practices, with a focus on making sure that the policy objectives of regulation are achieved while balancing any regulatory burden on business, including small business.</w:t>
      </w:r>
    </w:p>
    <w:p w14:paraId="0B17218C" w14:textId="77777777" w:rsidR="00DC31F0" w:rsidRPr="0052240A" w:rsidRDefault="00DC31F0" w:rsidP="00FF5F29">
      <w:pPr>
        <w:pStyle w:val="BodyText"/>
        <w:ind w:right="120"/>
        <w:jc w:val="both"/>
      </w:pPr>
    </w:p>
    <w:p w14:paraId="7C631ECF" w14:textId="50264942" w:rsidR="00865FE0" w:rsidRPr="008538FB" w:rsidRDefault="00DC31F0" w:rsidP="00FF5F29">
      <w:pPr>
        <w:pStyle w:val="BodyText"/>
        <w:ind w:right="120"/>
        <w:jc w:val="both"/>
        <w:rPr>
          <w:i/>
          <w:iCs/>
        </w:rPr>
      </w:pPr>
      <w:r w:rsidRPr="0052240A">
        <w:t xml:space="preserve">The Department of Transport and Main Roads (TMR) </w:t>
      </w:r>
      <w:r w:rsidR="002F6F3A">
        <w:t xml:space="preserve">has as its </w:t>
      </w:r>
      <w:r w:rsidRPr="0052240A">
        <w:t>vision</w:t>
      </w:r>
      <w:r w:rsidR="00AA6509">
        <w:t>,</w:t>
      </w:r>
      <w:r w:rsidR="00151ACD" w:rsidRPr="0052240A">
        <w:t xml:space="preserve"> </w:t>
      </w:r>
      <w:proofErr w:type="gramStart"/>
      <w:r w:rsidR="00CD37F0" w:rsidRPr="008538FB">
        <w:rPr>
          <w:i/>
          <w:iCs/>
        </w:rPr>
        <w:t>C</w:t>
      </w:r>
      <w:r w:rsidR="00151ACD" w:rsidRPr="008538FB">
        <w:rPr>
          <w:i/>
          <w:iCs/>
        </w:rPr>
        <w:t>onnected</w:t>
      </w:r>
      <w:proofErr w:type="gramEnd"/>
      <w:r w:rsidR="00151ACD" w:rsidRPr="008538FB">
        <w:rPr>
          <w:i/>
          <w:iCs/>
        </w:rPr>
        <w:t xml:space="preserve"> communities in a sustainable, thriving and inclusive Queensland</w:t>
      </w:r>
      <w:r w:rsidR="00AA6509">
        <w:t xml:space="preserve">, with its </w:t>
      </w:r>
      <w:r w:rsidRPr="0052240A">
        <w:t xml:space="preserve">purpose </w:t>
      </w:r>
      <w:r w:rsidR="00AA6509">
        <w:t xml:space="preserve">being </w:t>
      </w:r>
      <w:r w:rsidR="00CD37F0" w:rsidRPr="008538FB">
        <w:rPr>
          <w:i/>
          <w:iCs/>
        </w:rPr>
        <w:t>T</w:t>
      </w:r>
      <w:r w:rsidR="00151ACD" w:rsidRPr="008538FB">
        <w:rPr>
          <w:i/>
          <w:iCs/>
        </w:rPr>
        <w:t xml:space="preserve">o </w:t>
      </w:r>
      <w:r w:rsidR="00CD37F0" w:rsidRPr="008538FB">
        <w:rPr>
          <w:i/>
          <w:iCs/>
        </w:rPr>
        <w:t>p</w:t>
      </w:r>
      <w:r w:rsidR="00151ACD" w:rsidRPr="008538FB">
        <w:rPr>
          <w:i/>
          <w:iCs/>
        </w:rPr>
        <w:t xml:space="preserve">rovide reliable, resilient and responsive transport networks </w:t>
      </w:r>
      <w:r w:rsidR="0033045E" w:rsidRPr="008538FB">
        <w:rPr>
          <w:i/>
          <w:iCs/>
        </w:rPr>
        <w:t>and</w:t>
      </w:r>
      <w:r w:rsidR="00CD37F0" w:rsidRPr="008538FB">
        <w:rPr>
          <w:i/>
          <w:iCs/>
        </w:rPr>
        <w:t xml:space="preserve"> </w:t>
      </w:r>
      <w:r w:rsidR="006F2E79" w:rsidRPr="008538FB">
        <w:rPr>
          <w:i/>
          <w:iCs/>
        </w:rPr>
        <w:t xml:space="preserve">digital services </w:t>
      </w:r>
      <w:r w:rsidR="00151ACD" w:rsidRPr="008538FB">
        <w:rPr>
          <w:i/>
          <w:iCs/>
        </w:rPr>
        <w:t>that are safe and accessible for everyone.</w:t>
      </w:r>
      <w:r w:rsidRPr="008538FB">
        <w:rPr>
          <w:i/>
          <w:iCs/>
        </w:rPr>
        <w:t xml:space="preserve"> </w:t>
      </w:r>
    </w:p>
    <w:p w14:paraId="3C99D71D" w14:textId="77777777" w:rsidR="00865FE0" w:rsidRDefault="00865FE0" w:rsidP="00FF5F29">
      <w:pPr>
        <w:pStyle w:val="BodyText"/>
        <w:ind w:right="120"/>
        <w:jc w:val="both"/>
      </w:pPr>
    </w:p>
    <w:p w14:paraId="5714C412" w14:textId="3C8CDFEF" w:rsidR="00DC31F0" w:rsidRPr="0052240A" w:rsidRDefault="00153B2B" w:rsidP="00FF5F29">
      <w:pPr>
        <w:pStyle w:val="BodyText"/>
        <w:ind w:right="120"/>
        <w:jc w:val="both"/>
      </w:pPr>
      <w:r>
        <w:t>The Department</w:t>
      </w:r>
      <w:r w:rsidRPr="00865FE0">
        <w:t xml:space="preserve"> </w:t>
      </w:r>
      <w:r w:rsidR="00DC31F0" w:rsidRPr="0052240A">
        <w:t>is responsible for planning, managing</w:t>
      </w:r>
      <w:r w:rsidR="00865FE0">
        <w:t>,</w:t>
      </w:r>
      <w:r w:rsidR="00DC31F0" w:rsidRPr="0052240A">
        <w:t xml:space="preserve"> and delivering</w:t>
      </w:r>
      <w:r w:rsidR="00865FE0">
        <w:t>,</w:t>
      </w:r>
      <w:r w:rsidR="00DC31F0" w:rsidRPr="0052240A">
        <w:t xml:space="preserve"> an integrated transport network across road, rail, air</w:t>
      </w:r>
      <w:r w:rsidR="00865FE0">
        <w:t>,</w:t>
      </w:r>
      <w:r w:rsidR="00DC31F0" w:rsidRPr="0052240A">
        <w:t xml:space="preserve"> and sea for Queensland.</w:t>
      </w:r>
      <w:r w:rsidR="00865FE0">
        <w:t xml:space="preserve"> </w:t>
      </w:r>
      <w:r>
        <w:t xml:space="preserve">TMR </w:t>
      </w:r>
      <w:r w:rsidR="00865FE0" w:rsidRPr="0052240A">
        <w:t>moves and connects people, places, goods</w:t>
      </w:r>
      <w:r w:rsidR="00E0135B">
        <w:t>,</w:t>
      </w:r>
      <w:r w:rsidR="00865FE0" w:rsidRPr="0052240A">
        <w:t xml:space="preserve"> and services, safely, efficiently, and effectively across Queensland</w:t>
      </w:r>
      <w:r w:rsidR="00865FE0">
        <w:t>.</w:t>
      </w:r>
    </w:p>
    <w:p w14:paraId="600B78C1" w14:textId="77777777" w:rsidR="00DC31F0" w:rsidRPr="0052240A" w:rsidRDefault="00DC31F0" w:rsidP="00FF5F29">
      <w:pPr>
        <w:pStyle w:val="BodyText"/>
        <w:ind w:right="120"/>
        <w:jc w:val="both"/>
      </w:pPr>
    </w:p>
    <w:p w14:paraId="316265A8" w14:textId="4E60A992" w:rsidR="00DC31F0" w:rsidRPr="0052240A" w:rsidRDefault="00E0135B" w:rsidP="00FF5F29">
      <w:pPr>
        <w:pStyle w:val="BodyText"/>
        <w:ind w:right="120"/>
        <w:jc w:val="both"/>
      </w:pPr>
      <w:r>
        <w:t xml:space="preserve">The Department </w:t>
      </w:r>
      <w:r w:rsidR="00DC31F0" w:rsidRPr="0052240A">
        <w:t xml:space="preserve">administers a large suite of legislation </w:t>
      </w:r>
      <w:r w:rsidR="00DC31F0" w:rsidRPr="008538FB">
        <w:rPr>
          <w:b/>
          <w:bCs/>
        </w:rPr>
        <w:t>(see Appendix 1)</w:t>
      </w:r>
      <w:r w:rsidR="00DC31F0" w:rsidRPr="0052240A">
        <w:t xml:space="preserve"> relate</w:t>
      </w:r>
      <w:r w:rsidR="00147C14" w:rsidRPr="0052240A">
        <w:t>d</w:t>
      </w:r>
      <w:r w:rsidR="00DC31F0" w:rsidRPr="0052240A">
        <w:t xml:space="preserve"> to </w:t>
      </w:r>
      <w:r w:rsidR="00147C14" w:rsidRPr="0052240A">
        <w:t xml:space="preserve">areas </w:t>
      </w:r>
      <w:r w:rsidR="003C006A" w:rsidRPr="0052240A">
        <w:t>of ministerial</w:t>
      </w:r>
      <w:r w:rsidR="00DC31F0" w:rsidRPr="0052240A">
        <w:t xml:space="preserve"> responsibility including:</w:t>
      </w:r>
    </w:p>
    <w:p w14:paraId="26E2A896" w14:textId="72A4D89F" w:rsidR="00DC31F0" w:rsidRPr="0052240A" w:rsidRDefault="00DC31F0" w:rsidP="00FF5F29">
      <w:pPr>
        <w:pStyle w:val="ListBullet"/>
        <w:ind w:right="120"/>
        <w:jc w:val="both"/>
      </w:pPr>
      <w:r w:rsidRPr="0052240A">
        <w:t>Air Services</w:t>
      </w:r>
    </w:p>
    <w:p w14:paraId="606A5210" w14:textId="2E25DE94" w:rsidR="00DC31F0" w:rsidRPr="0052240A" w:rsidRDefault="00DC31F0" w:rsidP="00FF5F29">
      <w:pPr>
        <w:pStyle w:val="ListBullet"/>
        <w:ind w:right="120"/>
        <w:jc w:val="both"/>
      </w:pPr>
      <w:r w:rsidRPr="0052240A">
        <w:t>Busways</w:t>
      </w:r>
    </w:p>
    <w:p w14:paraId="69DB2C44" w14:textId="7DD89E9E" w:rsidR="00DC31F0" w:rsidRPr="0052240A" w:rsidRDefault="00DC31F0" w:rsidP="00FF5F29">
      <w:pPr>
        <w:pStyle w:val="ListBullet"/>
        <w:ind w:right="120"/>
        <w:jc w:val="both"/>
      </w:pPr>
      <w:r w:rsidRPr="0052240A">
        <w:t>Land Transport and Safety</w:t>
      </w:r>
    </w:p>
    <w:p w14:paraId="183E2198" w14:textId="7A49FED8" w:rsidR="00DC31F0" w:rsidRPr="0052240A" w:rsidRDefault="00DC31F0" w:rsidP="00FF5F29">
      <w:pPr>
        <w:pStyle w:val="ListBullet"/>
        <w:ind w:right="120"/>
        <w:jc w:val="both"/>
      </w:pPr>
      <w:r w:rsidRPr="0052240A">
        <w:t>Main Roads</w:t>
      </w:r>
    </w:p>
    <w:p w14:paraId="229B857C" w14:textId="24A33AB2" w:rsidR="00DC31F0" w:rsidRPr="0052240A" w:rsidRDefault="00DC31F0" w:rsidP="00FF5F29">
      <w:pPr>
        <w:pStyle w:val="ListBullet"/>
        <w:ind w:right="120"/>
        <w:jc w:val="both"/>
      </w:pPr>
      <w:r w:rsidRPr="0052240A">
        <w:t xml:space="preserve">Marine Infrastructure </w:t>
      </w:r>
    </w:p>
    <w:p w14:paraId="53E24334" w14:textId="6E5E2681" w:rsidR="002D53C2" w:rsidRPr="0052240A" w:rsidRDefault="002D53C2" w:rsidP="00FF5F29">
      <w:pPr>
        <w:pStyle w:val="ListBullet"/>
        <w:ind w:right="120"/>
        <w:jc w:val="both"/>
      </w:pPr>
      <w:r w:rsidRPr="0052240A">
        <w:t>Marine Safety</w:t>
      </w:r>
    </w:p>
    <w:p w14:paraId="435CA18A" w14:textId="5A31CEE4" w:rsidR="00DC31F0" w:rsidRPr="0052240A" w:rsidRDefault="00DC31F0" w:rsidP="00FF5F29">
      <w:pPr>
        <w:pStyle w:val="ListBullet"/>
        <w:ind w:right="120"/>
        <w:jc w:val="both"/>
      </w:pPr>
      <w:r w:rsidRPr="0052240A">
        <w:t>Passenger Transport</w:t>
      </w:r>
    </w:p>
    <w:p w14:paraId="53AE0D83" w14:textId="43DAD918" w:rsidR="00DC31F0" w:rsidRPr="0052240A" w:rsidRDefault="00DC31F0" w:rsidP="00FF5F29">
      <w:pPr>
        <w:pStyle w:val="ListBullet"/>
        <w:ind w:right="120"/>
        <w:jc w:val="both"/>
      </w:pPr>
      <w:r w:rsidRPr="0052240A">
        <w:t>Personalised Transport</w:t>
      </w:r>
    </w:p>
    <w:p w14:paraId="57494762" w14:textId="3DC74682" w:rsidR="00DC31F0" w:rsidRPr="0052240A" w:rsidRDefault="00DC31F0" w:rsidP="00FF5F29">
      <w:pPr>
        <w:pStyle w:val="ListBullet"/>
        <w:ind w:right="120"/>
        <w:jc w:val="both"/>
      </w:pPr>
      <w:r w:rsidRPr="0052240A">
        <w:t>Ports</w:t>
      </w:r>
    </w:p>
    <w:p w14:paraId="314470EA" w14:textId="20E8CC6F" w:rsidR="00DC31F0" w:rsidRPr="0052240A" w:rsidRDefault="00DC31F0" w:rsidP="00FF5F29">
      <w:pPr>
        <w:pStyle w:val="ListBullet"/>
        <w:ind w:right="120"/>
        <w:jc w:val="both"/>
      </w:pPr>
      <w:r w:rsidRPr="0052240A">
        <w:t>Railways</w:t>
      </w:r>
    </w:p>
    <w:p w14:paraId="29AC9395" w14:textId="6F5846EE" w:rsidR="00DC31F0" w:rsidRPr="0052240A" w:rsidRDefault="00DC31F0" w:rsidP="00FF5F29">
      <w:pPr>
        <w:pStyle w:val="ListBullet"/>
        <w:ind w:right="120"/>
        <w:jc w:val="both"/>
      </w:pPr>
      <w:r w:rsidRPr="0052240A">
        <w:t xml:space="preserve">Road Safety. </w:t>
      </w:r>
    </w:p>
    <w:p w14:paraId="28A6093B" w14:textId="77777777" w:rsidR="00DC31F0" w:rsidRPr="0052240A" w:rsidRDefault="00DC31F0" w:rsidP="00FF5F29">
      <w:pPr>
        <w:ind w:right="120"/>
        <w:jc w:val="both"/>
      </w:pPr>
    </w:p>
    <w:p w14:paraId="5CA6750C" w14:textId="445F3EBF" w:rsidR="00DC31F0" w:rsidRPr="0052240A" w:rsidRDefault="00DC31F0" w:rsidP="00FF5F29">
      <w:pPr>
        <w:pStyle w:val="BodyText"/>
        <w:ind w:right="120"/>
        <w:jc w:val="both"/>
      </w:pPr>
      <w:r w:rsidRPr="0052240A">
        <w:t xml:space="preserve">The primary intent of transport legislation is to improve the economic, trade and regional development performance of Queensland and the quality of life of Queenslanders, by </w:t>
      </w:r>
      <w:r w:rsidR="00D2663B" w:rsidRPr="0052240A">
        <w:t xml:space="preserve">strategic planning and management of transport resources to achieve </w:t>
      </w:r>
      <w:r w:rsidR="002F3B4D" w:rsidRPr="0052240A">
        <w:t xml:space="preserve">the objectives of </w:t>
      </w:r>
      <w:r w:rsidRPr="0052240A">
        <w:t>overall transport effectiveness and efficiency.</w:t>
      </w:r>
    </w:p>
    <w:p w14:paraId="728906FB" w14:textId="77777777" w:rsidR="00DC31F0" w:rsidRPr="0052240A" w:rsidRDefault="00DC31F0" w:rsidP="00FF5F29">
      <w:pPr>
        <w:ind w:right="120"/>
        <w:jc w:val="both"/>
      </w:pPr>
    </w:p>
    <w:p w14:paraId="78E536DB" w14:textId="4F6CCF4B" w:rsidR="00DC31F0" w:rsidRPr="0052240A" w:rsidRDefault="00E81E60" w:rsidP="00FF5F29">
      <w:pPr>
        <w:pStyle w:val="BodyText"/>
        <w:ind w:right="120"/>
        <w:jc w:val="both"/>
      </w:pPr>
      <w:r w:rsidRPr="0052240A">
        <w:t>The transport</w:t>
      </w:r>
      <w:r w:rsidR="00DC31F0" w:rsidRPr="0052240A">
        <w:t xml:space="preserve"> legislation establishes frameworks for planning and coordination, road safety, marine safety, marine pollution, passenger transport, waterways management, rail safety, aviation</w:t>
      </w:r>
      <w:r w:rsidR="0065548C">
        <w:t>,</w:t>
      </w:r>
      <w:r w:rsidR="00DC31F0" w:rsidRPr="0052240A">
        <w:t xml:space="preserve"> and transport infrastructure</w:t>
      </w:r>
      <w:r w:rsidRPr="0052240A">
        <w:t xml:space="preserve"> to achieve th</w:t>
      </w:r>
      <w:r w:rsidR="00296A34" w:rsidRPr="0052240A">
        <w:t>ese</w:t>
      </w:r>
      <w:r w:rsidRPr="0052240A">
        <w:t xml:space="preserve"> objective</w:t>
      </w:r>
      <w:r w:rsidR="00296A34" w:rsidRPr="0052240A">
        <w:t>s</w:t>
      </w:r>
      <w:r w:rsidR="00DC31F0" w:rsidRPr="0052240A">
        <w:t>.</w:t>
      </w:r>
    </w:p>
    <w:p w14:paraId="6C2F7040" w14:textId="72F22DD3" w:rsidR="00717A13" w:rsidRPr="0052240A" w:rsidRDefault="00717A13" w:rsidP="00FF5F29">
      <w:pPr>
        <w:spacing w:after="160" w:line="259" w:lineRule="auto"/>
        <w:ind w:right="120"/>
      </w:pPr>
      <w:r w:rsidRPr="0052240A">
        <w:br w:type="page"/>
      </w:r>
    </w:p>
    <w:p w14:paraId="4FD4EB1E" w14:textId="77777777" w:rsidR="00717A13" w:rsidRPr="0052240A" w:rsidRDefault="00717A13" w:rsidP="00FF5F29">
      <w:pPr>
        <w:ind w:right="120"/>
      </w:pPr>
    </w:p>
    <w:p w14:paraId="0C76662C" w14:textId="0335D178" w:rsidR="00DC31F0" w:rsidRPr="0052240A" w:rsidRDefault="005A7E17" w:rsidP="00FF5F29">
      <w:pPr>
        <w:pStyle w:val="BodyText"/>
        <w:ind w:right="120"/>
        <w:jc w:val="both"/>
      </w:pPr>
      <w:r>
        <w:t>T</w:t>
      </w:r>
      <w:r w:rsidR="00DC31F0" w:rsidRPr="0052240A">
        <w:t>o achieve regulatory settings that are proportionate to risk and avoid unnecessary burden, TMR develops regulation that</w:t>
      </w:r>
      <w:r w:rsidR="00DE01DD" w:rsidRPr="0052240A">
        <w:t xml:space="preserve"> is</w:t>
      </w:r>
      <w:r w:rsidR="00DC31F0" w:rsidRPr="0052240A">
        <w:t>:</w:t>
      </w:r>
    </w:p>
    <w:p w14:paraId="353A6E24" w14:textId="359AD02C" w:rsidR="00DC31F0" w:rsidRPr="0052240A" w:rsidRDefault="00DC31F0" w:rsidP="00FF5F29">
      <w:pPr>
        <w:pStyle w:val="ListBullet"/>
        <w:ind w:right="120"/>
        <w:jc w:val="both"/>
      </w:pPr>
      <w:r w:rsidRPr="0052240A">
        <w:t xml:space="preserve">evidence based </w:t>
      </w:r>
      <w:r w:rsidR="00DE01DD" w:rsidRPr="0052240A">
        <w:t>(</w:t>
      </w:r>
      <w:r w:rsidRPr="0052240A">
        <w:t>using statistical data and other evidence</w:t>
      </w:r>
      <w:r w:rsidR="00DE01DD" w:rsidRPr="0052240A">
        <w:t>)</w:t>
      </w:r>
      <w:r w:rsidRPr="0052240A">
        <w:t xml:space="preserve"> </w:t>
      </w:r>
    </w:p>
    <w:p w14:paraId="1DA031D9" w14:textId="7ACA69C7" w:rsidR="00DC31F0" w:rsidRPr="0052240A" w:rsidRDefault="00DE01DD" w:rsidP="00FF5F29">
      <w:pPr>
        <w:pStyle w:val="ListBullet"/>
        <w:ind w:right="120"/>
        <w:jc w:val="both"/>
      </w:pPr>
      <w:r w:rsidRPr="0052240A">
        <w:t>b</w:t>
      </w:r>
      <w:r w:rsidR="00DC31F0" w:rsidRPr="0052240A">
        <w:t>ased on research and considered analysis</w:t>
      </w:r>
      <w:r w:rsidR="007D4297">
        <w:t>,</w:t>
      </w:r>
      <w:r w:rsidR="00DC31F0" w:rsidRPr="0052240A">
        <w:t xml:space="preserve"> and </w:t>
      </w:r>
    </w:p>
    <w:p w14:paraId="25A51259" w14:textId="44FEEB11" w:rsidR="00DC31F0" w:rsidRPr="0052240A" w:rsidRDefault="00DC31F0" w:rsidP="00FF5F29">
      <w:pPr>
        <w:pStyle w:val="ListBullet"/>
        <w:ind w:right="120"/>
        <w:jc w:val="both"/>
      </w:pPr>
      <w:r w:rsidRPr="0052240A">
        <w:t>developed in consultation with applicable government stakeholders, road user groups and transport industries.</w:t>
      </w:r>
    </w:p>
    <w:p w14:paraId="7F1C02E4" w14:textId="77777777" w:rsidR="00DC31F0" w:rsidRPr="0052240A" w:rsidRDefault="00DC31F0" w:rsidP="00FF5F29">
      <w:pPr>
        <w:pStyle w:val="BodyText"/>
        <w:ind w:right="120"/>
        <w:jc w:val="both"/>
      </w:pPr>
    </w:p>
    <w:p w14:paraId="48BDA2DE" w14:textId="00983505" w:rsidR="00DC31F0" w:rsidRPr="0052240A" w:rsidRDefault="00DC31F0" w:rsidP="00FF5F29">
      <w:pPr>
        <w:pStyle w:val="BodyText"/>
        <w:ind w:right="120"/>
        <w:jc w:val="both"/>
      </w:pPr>
      <w:r w:rsidRPr="0052240A">
        <w:t>Rigorous policy analysis is undertaken to fully identify all policy options prior to advocating for</w:t>
      </w:r>
      <w:r w:rsidR="007B71FC" w:rsidRPr="0052240A">
        <w:t>,</w:t>
      </w:r>
      <w:r w:rsidRPr="0052240A">
        <w:t xml:space="preserve"> and progressing</w:t>
      </w:r>
      <w:r w:rsidR="007B71FC" w:rsidRPr="0052240A">
        <w:t>,</w:t>
      </w:r>
      <w:r w:rsidRPr="0052240A">
        <w:t xml:space="preserve"> legislative amendment</w:t>
      </w:r>
      <w:r w:rsidR="007B71FC" w:rsidRPr="0052240A">
        <w:t>s</w:t>
      </w:r>
      <w:r w:rsidRPr="0052240A">
        <w:t xml:space="preserve">. The level of analysis undertaken by TMR is commensurate with the complexity of the problems </w:t>
      </w:r>
      <w:r w:rsidR="00DE7EF7" w:rsidRPr="0052240A">
        <w:t>to be solved</w:t>
      </w:r>
      <w:r w:rsidRPr="0052240A">
        <w:t xml:space="preserve"> and includes systematic analysis of potential impacts on stakeholders</w:t>
      </w:r>
      <w:r w:rsidR="00DE7EF7" w:rsidRPr="0052240A">
        <w:t>, including</w:t>
      </w:r>
      <w:r w:rsidRPr="0052240A">
        <w:t xml:space="preserve"> consideration of potential impacts o</w:t>
      </w:r>
      <w:r w:rsidR="005174E0" w:rsidRPr="0052240A">
        <w:t>n</w:t>
      </w:r>
      <w:r w:rsidRPr="0052240A">
        <w:t xml:space="preserve"> human rights that may arise from the regulatory activity and inclusion of appropriate safeguards to minimise these impacts. All amendments are informed by thorough stakeholder consultation and, where possible, data analysis.</w:t>
      </w:r>
    </w:p>
    <w:p w14:paraId="2E1E03E1" w14:textId="15213593" w:rsidR="00DC31F0" w:rsidRPr="0052240A" w:rsidRDefault="00DC31F0" w:rsidP="00FF5F29">
      <w:pPr>
        <w:pStyle w:val="BodyText"/>
        <w:ind w:right="120"/>
        <w:jc w:val="both"/>
      </w:pPr>
    </w:p>
    <w:p w14:paraId="5087916C" w14:textId="7D339102" w:rsidR="00DC31F0" w:rsidRPr="0052240A" w:rsidRDefault="00DC31F0" w:rsidP="00FF5F29">
      <w:pPr>
        <w:pStyle w:val="BodyText"/>
        <w:ind w:right="120"/>
        <w:jc w:val="both"/>
      </w:pPr>
      <w:r w:rsidRPr="0052240A">
        <w:t xml:space="preserve">A wide range of activities are undertaken to </w:t>
      </w:r>
      <w:r w:rsidR="009E78E8" w:rsidRPr="0052240A">
        <w:t xml:space="preserve">achieve </w:t>
      </w:r>
      <w:r w:rsidRPr="0052240A">
        <w:t xml:space="preserve">comprehensive and meaningful engagement with stakeholders </w:t>
      </w:r>
      <w:r w:rsidR="006F5A70" w:rsidRPr="0052240A">
        <w:t>to assist</w:t>
      </w:r>
      <w:r w:rsidRPr="0052240A">
        <w:t xml:space="preserve"> them to understand regulatory compliance requirements. Formal </w:t>
      </w:r>
      <w:r w:rsidR="001534EB">
        <w:t xml:space="preserve">consultation </w:t>
      </w:r>
      <w:r w:rsidRPr="0052240A">
        <w:t xml:space="preserve">mechanisms </w:t>
      </w:r>
      <w:r w:rsidR="006F5A70" w:rsidRPr="0052240A">
        <w:t>such as</w:t>
      </w:r>
      <w:r w:rsidRPr="0052240A">
        <w:t xml:space="preserve"> forums, industry groups, and national transport bodies cover both general transport matters and dedicated projects. Formal consultation plans are </w:t>
      </w:r>
      <w:r w:rsidR="00BC6363" w:rsidRPr="0052240A">
        <w:t xml:space="preserve">also </w:t>
      </w:r>
      <w:r w:rsidRPr="0052240A">
        <w:t xml:space="preserve">developed as part of all proposed legislative amendments. </w:t>
      </w:r>
    </w:p>
    <w:p w14:paraId="433FFF10" w14:textId="77777777" w:rsidR="00DC31F0" w:rsidRPr="0052240A" w:rsidRDefault="00DC31F0" w:rsidP="00FF5F29">
      <w:pPr>
        <w:pStyle w:val="BodyText"/>
        <w:ind w:right="120"/>
        <w:jc w:val="both"/>
      </w:pPr>
    </w:p>
    <w:p w14:paraId="25D35F08" w14:textId="5E958FCC" w:rsidR="00A93D4F" w:rsidRDefault="00513DF7" w:rsidP="00FF5F29">
      <w:pPr>
        <w:pStyle w:val="BodyText"/>
        <w:ind w:right="120"/>
        <w:jc w:val="both"/>
      </w:pPr>
      <w:r>
        <w:t xml:space="preserve">It must be acknowledged that </w:t>
      </w:r>
      <w:r w:rsidR="00A93D4F">
        <w:t>TMR is</w:t>
      </w:r>
      <w:r w:rsidR="00CE195E">
        <w:t xml:space="preserve"> a large and diverse departmen</w:t>
      </w:r>
      <w:r w:rsidR="007F258E">
        <w:t xml:space="preserve">t that operates across the breadth of transport functions </w:t>
      </w:r>
      <w:r w:rsidR="0076058C">
        <w:t>throughout Queensland. By virtue of its size, the complexity of its service deliver</w:t>
      </w:r>
      <w:r w:rsidR="003B7C48">
        <w:t xml:space="preserve">y obligations, and its reach across the State, its daily operation is subject </w:t>
      </w:r>
      <w:r w:rsidR="00BD13A1">
        <w:t>to a multitude of legislative, regulatory and compliance requirements and obligations</w:t>
      </w:r>
      <w:r w:rsidR="00B22558">
        <w:t>,</w:t>
      </w:r>
      <w:r w:rsidR="009E6D19">
        <w:t xml:space="preserve"> to ensure transport services are delivered safely, efficiently</w:t>
      </w:r>
      <w:r w:rsidR="00CB3374">
        <w:t>,</w:t>
      </w:r>
      <w:r w:rsidR="009E6D19">
        <w:t xml:space="preserve"> and effectively. </w:t>
      </w:r>
    </w:p>
    <w:p w14:paraId="1E1F213C" w14:textId="5921FA15" w:rsidR="008C35B2" w:rsidRPr="008C35B2" w:rsidRDefault="008C35B2" w:rsidP="00FF5F29">
      <w:pPr>
        <w:pStyle w:val="BodyText"/>
        <w:ind w:right="120"/>
        <w:jc w:val="both"/>
      </w:pPr>
      <w:r>
        <w:br/>
        <w:t xml:space="preserve">TMR </w:t>
      </w:r>
      <w:r w:rsidR="00204517">
        <w:t xml:space="preserve">is also a large </w:t>
      </w:r>
      <w:r w:rsidR="00881DE3">
        <w:t xml:space="preserve">Queensland Government </w:t>
      </w:r>
      <w:r w:rsidR="00204517">
        <w:t xml:space="preserve">employer, with </w:t>
      </w:r>
      <w:r>
        <w:t>almost 10,000</w:t>
      </w:r>
      <w:r w:rsidR="00AC5C31">
        <w:t xml:space="preserve"> </w:t>
      </w:r>
      <w:r>
        <w:t xml:space="preserve">Queenslanders </w:t>
      </w:r>
      <w:r w:rsidR="00204517">
        <w:t xml:space="preserve">employed </w:t>
      </w:r>
      <w:r>
        <w:t>across the State</w:t>
      </w:r>
      <w:r w:rsidR="00C615CB">
        <w:t>, and</w:t>
      </w:r>
      <w:r w:rsidR="00204517">
        <w:t>,</w:t>
      </w:r>
      <w:r w:rsidR="00C615CB">
        <w:t xml:space="preserve"> as such</w:t>
      </w:r>
      <w:r w:rsidR="00204517">
        <w:t>,</w:t>
      </w:r>
      <w:r w:rsidR="00C615CB">
        <w:t xml:space="preserve"> is subject to extensive </w:t>
      </w:r>
      <w:r w:rsidR="00881DE3">
        <w:t>legislative</w:t>
      </w:r>
      <w:r w:rsidR="005D1B96">
        <w:t>, regulatory</w:t>
      </w:r>
      <w:r w:rsidR="00BB77FD">
        <w:t xml:space="preserve"> and </w:t>
      </w:r>
      <w:r w:rsidR="004923EC">
        <w:t>industrial relations</w:t>
      </w:r>
      <w:r w:rsidR="004A4775">
        <w:t xml:space="preserve"> </w:t>
      </w:r>
      <w:r w:rsidR="005D1B96">
        <w:t xml:space="preserve">compliance </w:t>
      </w:r>
      <w:r w:rsidR="004A4775">
        <w:t xml:space="preserve">requirements and </w:t>
      </w:r>
      <w:r w:rsidR="00C615CB">
        <w:t>workplace health and safety obligations</w:t>
      </w:r>
      <w:r w:rsidR="004923EC">
        <w:t xml:space="preserve">. </w:t>
      </w:r>
    </w:p>
    <w:p w14:paraId="246F77B8" w14:textId="77777777" w:rsidR="00A93D4F" w:rsidRDefault="00A93D4F" w:rsidP="00FF5F29">
      <w:pPr>
        <w:pStyle w:val="BodyText"/>
        <w:ind w:right="120"/>
        <w:jc w:val="both"/>
      </w:pPr>
    </w:p>
    <w:p w14:paraId="59245013" w14:textId="67B97BC8" w:rsidR="00DC31F0" w:rsidRDefault="005B23E4" w:rsidP="00FF5F29">
      <w:pPr>
        <w:pStyle w:val="BodyText"/>
        <w:ind w:right="120"/>
        <w:jc w:val="both"/>
      </w:pPr>
      <w:r w:rsidRPr="00BD0ECB">
        <w:t>This</w:t>
      </w:r>
      <w:r w:rsidR="00F42ACE" w:rsidRPr="00BD0ECB">
        <w:t xml:space="preserve"> report </w:t>
      </w:r>
      <w:r w:rsidR="00EE495F" w:rsidRPr="00BD0ECB">
        <w:t xml:space="preserve">cannot feasibly cover all regulatory </w:t>
      </w:r>
      <w:r w:rsidR="007A5120" w:rsidRPr="00BD0ECB">
        <w:t xml:space="preserve">and compliance </w:t>
      </w:r>
      <w:r w:rsidR="00EE495F" w:rsidRPr="00BD0ECB">
        <w:t xml:space="preserve">actions undertaken </w:t>
      </w:r>
      <w:r w:rsidR="0066290B" w:rsidRPr="00BD0ECB">
        <w:t xml:space="preserve">in a year </w:t>
      </w:r>
      <w:r w:rsidR="00EE495F" w:rsidRPr="00BD0ECB">
        <w:t xml:space="preserve">by a department as </w:t>
      </w:r>
      <w:r w:rsidR="0066290B" w:rsidRPr="00BD0ECB">
        <w:t>large and diverse as TMR,</w:t>
      </w:r>
      <w:r w:rsidR="00BD0ECB" w:rsidRPr="0044056A">
        <w:t xml:space="preserve"> however </w:t>
      </w:r>
      <w:r w:rsidR="00CD37F0">
        <w:t>it does provide</w:t>
      </w:r>
      <w:r w:rsidR="00BD0ECB" w:rsidRPr="0044056A">
        <w:t xml:space="preserve"> representative examples </w:t>
      </w:r>
      <w:r w:rsidR="0066290B" w:rsidRPr="0044056A">
        <w:t xml:space="preserve">of </w:t>
      </w:r>
      <w:r w:rsidR="00FB7633" w:rsidRPr="0044056A">
        <w:t>the breadth and diversity</w:t>
      </w:r>
      <w:r w:rsidR="0066290B" w:rsidRPr="0044056A">
        <w:t xml:space="preserve"> of </w:t>
      </w:r>
      <w:r w:rsidR="00FC2590" w:rsidRPr="0044056A">
        <w:t xml:space="preserve">regulatory compliance </w:t>
      </w:r>
      <w:r w:rsidR="00FB7633" w:rsidRPr="0044056A">
        <w:t>activities undertaken by TMR in the 2023-24 financial year</w:t>
      </w:r>
      <w:r w:rsidR="0044056A" w:rsidRPr="0044056A">
        <w:t>,</w:t>
      </w:r>
      <w:r w:rsidR="0099621E" w:rsidRPr="0044056A">
        <w:t xml:space="preserve"> focussing on those activities that </w:t>
      </w:r>
      <w:r w:rsidR="0044056A" w:rsidRPr="0044056A">
        <w:t>contribute</w:t>
      </w:r>
      <w:r w:rsidR="00DC31F0" w:rsidRPr="0044056A">
        <w:t xml:space="preserve"> to the five model practices of the Regulator Performance Framework.</w:t>
      </w:r>
      <w:r w:rsidR="006E5118">
        <w:tab/>
      </w:r>
    </w:p>
    <w:p w14:paraId="2BF9D9AE" w14:textId="77777777" w:rsidR="00DC31F0" w:rsidRDefault="00DC31F0" w:rsidP="00FF5F29">
      <w:pPr>
        <w:spacing w:after="160" w:line="259" w:lineRule="auto"/>
        <w:ind w:right="120"/>
        <w:jc w:val="both"/>
      </w:pPr>
      <w:r>
        <w:br w:type="page"/>
      </w:r>
    </w:p>
    <w:p w14:paraId="5CA316BE" w14:textId="2945F34F" w:rsidR="00DC31F0" w:rsidRDefault="00DC31F0" w:rsidP="00FF5F29">
      <w:pPr>
        <w:pStyle w:val="Heading1"/>
        <w:ind w:right="120"/>
      </w:pPr>
      <w:bookmarkStart w:id="10" w:name="_Toc184395458"/>
      <w:bookmarkStart w:id="11" w:name="_Toc185328308"/>
      <w:r w:rsidRPr="00DC31F0">
        <w:lastRenderedPageBreak/>
        <w:t>Model Practices</w:t>
      </w:r>
      <w:bookmarkEnd w:id="10"/>
      <w:bookmarkEnd w:id="11"/>
    </w:p>
    <w:p w14:paraId="7B93D9CA" w14:textId="77777777" w:rsidR="00194AFB" w:rsidRPr="00194AFB" w:rsidRDefault="00194AFB" w:rsidP="00FF5F29">
      <w:pPr>
        <w:ind w:right="120"/>
      </w:pPr>
    </w:p>
    <w:p w14:paraId="55CFDEF5" w14:textId="1E3F2993" w:rsidR="00DC31F0" w:rsidRDefault="00DC31F0" w:rsidP="00FF5F29">
      <w:pPr>
        <w:pStyle w:val="Heading2"/>
        <w:ind w:right="120"/>
      </w:pPr>
      <w:bookmarkStart w:id="12" w:name="_Toc184395459"/>
      <w:bookmarkStart w:id="13" w:name="_Toc185328309"/>
      <w:r>
        <w:t xml:space="preserve">Ensure regulatory activity is proportionate to risk and minimises unnecessary </w:t>
      </w:r>
      <w:proofErr w:type="gramStart"/>
      <w:r w:rsidR="00CE00ED">
        <w:t>burden</w:t>
      </w:r>
      <w:bookmarkEnd w:id="12"/>
      <w:bookmarkEnd w:id="13"/>
      <w:proofErr w:type="gramEnd"/>
    </w:p>
    <w:p w14:paraId="0066EC16" w14:textId="77777777" w:rsidR="00F90738" w:rsidRDefault="00F90738" w:rsidP="00FF5F29">
      <w:pPr>
        <w:ind w:right="120"/>
      </w:pPr>
    </w:p>
    <w:p w14:paraId="6D153EB3" w14:textId="2B0881C3" w:rsidR="00E60B79" w:rsidRPr="006E024F" w:rsidRDefault="00E60B79" w:rsidP="00FF5F29">
      <w:pPr>
        <w:ind w:right="120"/>
      </w:pPr>
      <w:r w:rsidRPr="006D6182">
        <w:rPr>
          <w:noProof/>
        </w:rPr>
        <mc:AlternateContent>
          <mc:Choice Requires="wps">
            <w:drawing>
              <wp:anchor distT="0" distB="0" distL="114300" distR="114300" simplePos="0" relativeHeight="251654656" behindDoc="0" locked="0" layoutInCell="1" allowOverlap="1" wp14:anchorId="631354E2" wp14:editId="77AC45AE">
                <wp:simplePos x="0" y="0"/>
                <wp:positionH relativeFrom="margin">
                  <wp:posOffset>0</wp:posOffset>
                </wp:positionH>
                <wp:positionV relativeFrom="paragraph">
                  <wp:posOffset>241300</wp:posOffset>
                </wp:positionV>
                <wp:extent cx="3225600" cy="621102"/>
                <wp:effectExtent l="0" t="0" r="0" b="7620"/>
                <wp:wrapTopAndBottom/>
                <wp:docPr id="2" name="Arrow: Pentagon 2"/>
                <wp:cNvGraphicFramePr/>
                <a:graphic xmlns:a="http://schemas.openxmlformats.org/drawingml/2006/main">
                  <a:graphicData uri="http://schemas.microsoft.com/office/word/2010/wordprocessingShape">
                    <wps:wsp>
                      <wps:cNvSpPr/>
                      <wps:spPr>
                        <a:xfrm>
                          <a:off x="0" y="0"/>
                          <a:ext cx="3225600" cy="621102"/>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0898B" w14:textId="77777777" w:rsidR="00E60B79" w:rsidRDefault="00E60B79" w:rsidP="00E60B79">
                            <w:r>
                              <w:rPr>
                                <w:b/>
                                <w:bCs/>
                                <w:color w:val="FFFFFF" w:themeColor="background1"/>
                                <w:sz w:val="36"/>
                                <w:szCs w:val="36"/>
                              </w:rPr>
                              <w:t>Passenger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1354E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8" type="#_x0000_t15" style="position:absolute;margin-left:0;margin-top:19pt;width:254pt;height:48.9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" adj="19520" fillcolor="#003e69 [3204]" stroked="f" strokeweight="1pt">
                <v:textbox>
                  <w:txbxContent>
                    <w:p w14:paraId="2260898B" w14:textId="77777777" w:rsidR="00E60B79" w:rsidRDefault="00E60B79" w:rsidP="00E60B79">
                      <w:r>
                        <w:rPr>
                          <w:b/>
                          <w:bCs/>
                          <w:color w:val="FFFFFF" w:themeColor="background1"/>
                          <w:sz w:val="36"/>
                          <w:szCs w:val="36"/>
                        </w:rPr>
                        <w:t>Passenger Transport</w:t>
                      </w:r>
                    </w:p>
                  </w:txbxContent>
                </v:textbox>
                <w10:wrap type="topAndBottom" anchorx="margin"/>
              </v:shape>
            </w:pict>
          </mc:Fallback>
        </mc:AlternateContent>
      </w:r>
    </w:p>
    <w:p w14:paraId="64E4407D" w14:textId="77777777" w:rsidR="006F5454" w:rsidRDefault="006F5454" w:rsidP="00FF5F29">
      <w:pPr>
        <w:ind w:right="120"/>
        <w:rPr>
          <w:b/>
          <w:bCs/>
          <w:i/>
          <w:iCs/>
        </w:rPr>
      </w:pPr>
    </w:p>
    <w:p w14:paraId="238AF0E6" w14:textId="77777777" w:rsidR="006F5454" w:rsidRPr="006D6182" w:rsidRDefault="006F5454" w:rsidP="00FF5F29">
      <w:pPr>
        <w:ind w:right="120"/>
        <w:jc w:val="both"/>
        <w:rPr>
          <w:b/>
          <w:bCs/>
          <w:i/>
          <w:iCs/>
        </w:rPr>
      </w:pPr>
      <w:r w:rsidRPr="006D6182">
        <w:rPr>
          <w:b/>
          <w:bCs/>
          <w:i/>
          <w:iCs/>
        </w:rPr>
        <w:t>Maximum taxi fare increase</w:t>
      </w:r>
    </w:p>
    <w:p w14:paraId="24487A34" w14:textId="50BF7498" w:rsidR="006F5454" w:rsidRPr="00E263C5" w:rsidRDefault="006F5454" w:rsidP="00FF5F29">
      <w:pPr>
        <w:pStyle w:val="BodyText"/>
        <w:ind w:right="120"/>
        <w:jc w:val="both"/>
      </w:pPr>
      <w:r w:rsidRPr="006D6182">
        <w:t>TMR regulates taxi fares for rank and hail taxi services</w:t>
      </w:r>
      <w:r w:rsidR="00870C53">
        <w:t>,</w:t>
      </w:r>
      <w:r w:rsidRPr="006D6182">
        <w:t xml:space="preserve"> and for booked services provided to Taxi Subsidy Scheme members or those using a wheelchair accessible taxi to protect vulnerable customers. </w:t>
      </w:r>
      <w:r>
        <w:t>M</w:t>
      </w:r>
      <w:r w:rsidRPr="006D6182">
        <w:t xml:space="preserve">aximum fares are </w:t>
      </w:r>
      <w:r w:rsidRPr="00E263C5">
        <w:t xml:space="preserve">regularly reviewed to ensure they continue to balance appropriate customer protections with the viability of providing a service to ensure services continue to be available and reliable for passengers. </w:t>
      </w:r>
      <w:r w:rsidR="00A53C5A">
        <w:t xml:space="preserve">During the reporting period, </w:t>
      </w:r>
      <w:r w:rsidR="00B9023E" w:rsidRPr="006D6182">
        <w:t>TMR</w:t>
      </w:r>
      <w:r w:rsidR="00A53C5A">
        <w:t xml:space="preserve"> </w:t>
      </w:r>
      <w:r w:rsidR="009B7A01">
        <w:t>use</w:t>
      </w:r>
      <w:r w:rsidR="00FE2167">
        <w:t>d</w:t>
      </w:r>
      <w:r w:rsidR="009B7A01" w:rsidRPr="006D6182">
        <w:t xml:space="preserve"> </w:t>
      </w:r>
      <w:r w:rsidR="00C9510C" w:rsidRPr="006D6182">
        <w:t>cost-based</w:t>
      </w:r>
      <w:r w:rsidR="009B7A01" w:rsidRPr="006D6182">
        <w:t xml:space="preserve"> </w:t>
      </w:r>
      <w:r w:rsidR="00B84F0D" w:rsidRPr="006D6182">
        <w:t>model</w:t>
      </w:r>
      <w:r w:rsidR="00B84F0D">
        <w:t>ling</w:t>
      </w:r>
      <w:r w:rsidR="009B7A01">
        <w:t xml:space="preserve"> </w:t>
      </w:r>
      <w:r w:rsidR="00761C1C">
        <w:t>to support</w:t>
      </w:r>
      <w:r w:rsidR="00FE2167">
        <w:t xml:space="preserve"> </w:t>
      </w:r>
      <w:r w:rsidR="00B9023E" w:rsidRPr="006D6182">
        <w:t>an increase in maximum taxi fares of 5.68 per cent</w:t>
      </w:r>
      <w:r w:rsidR="00B84F0D">
        <w:t xml:space="preserve"> (with</w:t>
      </w:r>
      <w:r w:rsidR="00B9023E" w:rsidRPr="006D6182">
        <w:t xml:space="preserve"> effect from 1 July 2024</w:t>
      </w:r>
      <w:r w:rsidR="00B84F0D">
        <w:t>)</w:t>
      </w:r>
      <w:r w:rsidR="00B9023E" w:rsidRPr="006D6182">
        <w:t>.</w:t>
      </w:r>
    </w:p>
    <w:p w14:paraId="0B84DDC8" w14:textId="77777777" w:rsidR="006F5454" w:rsidRPr="00E263C5" w:rsidRDefault="006F5454" w:rsidP="00FF5F29">
      <w:pPr>
        <w:pStyle w:val="BodyText"/>
        <w:ind w:right="120"/>
        <w:jc w:val="both"/>
      </w:pPr>
    </w:p>
    <w:p w14:paraId="033D00AD" w14:textId="77777777" w:rsidR="006F5454" w:rsidRPr="00E263C5" w:rsidRDefault="006F5454" w:rsidP="00FF5F29">
      <w:pPr>
        <w:pStyle w:val="BodyText"/>
        <w:ind w:right="120"/>
        <w:jc w:val="both"/>
        <w:rPr>
          <w:rFonts w:eastAsia="Times New Roman" w:cs="Times New Roman"/>
          <w:b/>
          <w:i/>
          <w:lang w:eastAsia="en-AU"/>
        </w:rPr>
      </w:pPr>
      <w:proofErr w:type="spellStart"/>
      <w:r w:rsidRPr="00306C10">
        <w:rPr>
          <w:b/>
          <w:bCs/>
          <w:i/>
          <w:iCs/>
        </w:rPr>
        <w:t>Translink's</w:t>
      </w:r>
      <w:proofErr w:type="spellEnd"/>
      <w:r w:rsidRPr="00306C10">
        <w:rPr>
          <w:b/>
          <w:bCs/>
          <w:i/>
          <w:iCs/>
        </w:rPr>
        <w:t xml:space="preserve"> Transit Safety</w:t>
      </w:r>
      <w:r w:rsidRPr="00E263C5">
        <w:rPr>
          <w:b/>
          <w:bCs/>
          <w:i/>
          <w:iCs/>
        </w:rPr>
        <w:t>, Security and Sustainability Unit</w:t>
      </w:r>
    </w:p>
    <w:p w14:paraId="564F971B" w14:textId="25E00A77" w:rsidR="006F5454" w:rsidRDefault="006F5454" w:rsidP="00FF5F29">
      <w:pPr>
        <w:pStyle w:val="BodyText"/>
        <w:shd w:val="clear" w:color="auto" w:fill="FFFFFF" w:themeFill="background1"/>
        <w:ind w:right="120"/>
        <w:jc w:val="both"/>
      </w:pPr>
      <w:r w:rsidRPr="00E263C5">
        <w:t xml:space="preserve">To ensure </w:t>
      </w:r>
      <w:proofErr w:type="spellStart"/>
      <w:r w:rsidRPr="00E263C5">
        <w:t>Translink's</w:t>
      </w:r>
      <w:proofErr w:type="spellEnd"/>
      <w:r w:rsidRPr="00E263C5">
        <w:t xml:space="preserve"> revenue protection activities are proportionate to risk and minimise regulatory burden: </w:t>
      </w:r>
    </w:p>
    <w:p w14:paraId="5BC62EE2" w14:textId="77777777" w:rsidR="00600F34" w:rsidRPr="00600F34" w:rsidRDefault="00600F34" w:rsidP="00FF5F29">
      <w:pPr>
        <w:ind w:right="120"/>
      </w:pPr>
    </w:p>
    <w:p w14:paraId="4664D1BC" w14:textId="58CFD0E1" w:rsidR="006F5454" w:rsidRPr="00E263C5" w:rsidRDefault="00BA202D" w:rsidP="00FF5F29">
      <w:pPr>
        <w:pStyle w:val="ListBullet"/>
        <w:ind w:right="120"/>
        <w:jc w:val="both"/>
      </w:pPr>
      <w:r>
        <w:t>revenue protection</w:t>
      </w:r>
      <w:r w:rsidR="006F5454" w:rsidRPr="00E263C5">
        <w:t xml:space="preserve"> activities are planned based on fare evasion data</w:t>
      </w:r>
      <w:r w:rsidR="00600F34">
        <w:t>, to ensure</w:t>
      </w:r>
      <w:r w:rsidR="006F5454" w:rsidRPr="00E263C5">
        <w:t xml:space="preserve"> deployment of Senior Network Officers target</w:t>
      </w:r>
      <w:r w:rsidR="00600F34">
        <w:t>s</w:t>
      </w:r>
      <w:r w:rsidR="006F5454" w:rsidRPr="00E263C5">
        <w:t xml:space="preserve"> </w:t>
      </w:r>
      <w:r w:rsidR="004E6D66">
        <w:t xml:space="preserve">those </w:t>
      </w:r>
      <w:r w:rsidR="006F5454" w:rsidRPr="00E263C5">
        <w:t>areas on the passenger transport network with the highest levels of fare evasion</w:t>
      </w:r>
      <w:r w:rsidR="004E6D66">
        <w:t xml:space="preserve"> and</w:t>
      </w:r>
      <w:r w:rsidR="006F5454" w:rsidRPr="00E263C5">
        <w:t xml:space="preserve"> minimise</w:t>
      </w:r>
      <w:r w:rsidR="00461EE2">
        <w:t>s</w:t>
      </w:r>
      <w:r w:rsidR="006F5454" w:rsidRPr="00E263C5">
        <w:t xml:space="preserve"> unnecessary inconvenience to compliant </w:t>
      </w:r>
      <w:proofErr w:type="gramStart"/>
      <w:r w:rsidR="006F5454" w:rsidRPr="00E263C5">
        <w:t>customers</w:t>
      </w:r>
      <w:proofErr w:type="gramEnd"/>
    </w:p>
    <w:p w14:paraId="24CEEB7F" w14:textId="3E564508" w:rsidR="006F5454" w:rsidRPr="00E263C5" w:rsidRDefault="006F5454" w:rsidP="00FF5F29">
      <w:pPr>
        <w:pStyle w:val="ListBullet"/>
        <w:ind w:right="120"/>
        <w:jc w:val="both"/>
      </w:pPr>
      <w:r w:rsidRPr="00E263C5">
        <w:t>members of the public detected committing offences are initially issued with a warning notice, with Translink taking the opportunity to educate before issuing penalty notices for later offences</w:t>
      </w:r>
      <w:r w:rsidR="00CC7D0B">
        <w:t>,</w:t>
      </w:r>
      <w:r w:rsidRPr="00E263C5">
        <w:t xml:space="preserve"> and</w:t>
      </w:r>
    </w:p>
    <w:p w14:paraId="312D2494" w14:textId="201B3832" w:rsidR="006F5454" w:rsidRPr="00E263C5" w:rsidRDefault="006F5454" w:rsidP="00FF5F29">
      <w:pPr>
        <w:pStyle w:val="ListBullet"/>
        <w:ind w:right="120"/>
        <w:jc w:val="both"/>
      </w:pPr>
      <w:r w:rsidRPr="00E263C5">
        <w:t>members of the public can write to Queensland Revenue Office's Fines and Investigation team to request a review of all enforcement actions as an alternat</w:t>
      </w:r>
      <w:r w:rsidR="00CC7D0B">
        <w:t>iv</w:t>
      </w:r>
      <w:r w:rsidRPr="00E263C5">
        <w:t>e option to undertaking the time and cost of court action.</w:t>
      </w:r>
    </w:p>
    <w:p w14:paraId="2BE11982" w14:textId="77777777" w:rsidR="006F5454" w:rsidRPr="006D6182" w:rsidRDefault="006F5454" w:rsidP="00FF5F29">
      <w:pPr>
        <w:spacing w:after="160" w:line="259" w:lineRule="auto"/>
        <w:ind w:right="120"/>
      </w:pPr>
      <w:r w:rsidRPr="006D6182">
        <w:br w:type="page"/>
      </w:r>
    </w:p>
    <w:p w14:paraId="38B086D0" w14:textId="77777777" w:rsidR="0013021B" w:rsidRDefault="0013021B" w:rsidP="00FF5F29">
      <w:pPr>
        <w:pStyle w:val="BodyText"/>
        <w:spacing w:beforeLines="122" w:before="292" w:line="278" w:lineRule="auto"/>
        <w:ind w:right="120"/>
        <w:rPr>
          <w:sz w:val="20"/>
        </w:rPr>
      </w:pPr>
      <w:r>
        <w:rPr>
          <w:noProof/>
          <w:sz w:val="20"/>
        </w:rPr>
        <w:lastRenderedPageBreak/>
        <mc:AlternateContent>
          <mc:Choice Requires="wpg">
            <w:drawing>
              <wp:inline distT="0" distB="0" distL="0" distR="0" wp14:anchorId="6448DAD6" wp14:editId="398D6B22">
                <wp:extent cx="3362325" cy="68961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689610"/>
                          <a:chOff x="0" y="-68580"/>
                          <a:chExt cx="3362325" cy="689610"/>
                        </a:xfrm>
                      </wpg:grpSpPr>
                      <wps:wsp>
                        <wps:cNvPr id="8" name="Graphic 8"/>
                        <wps:cNvSpPr/>
                        <wps:spPr>
                          <a:xfrm>
                            <a:off x="0" y="0"/>
                            <a:ext cx="3225165" cy="621030"/>
                          </a:xfrm>
                          <a:custGeom>
                            <a:avLst/>
                            <a:gdLst/>
                            <a:ahLst/>
                            <a:cxnLst/>
                            <a:rect l="l" t="t" r="r" b="b"/>
                            <a:pathLst>
                              <a:path w="3225165" h="621030">
                                <a:moveTo>
                                  <a:pt x="2914650" y="0"/>
                                </a:moveTo>
                                <a:lnTo>
                                  <a:pt x="0" y="0"/>
                                </a:lnTo>
                                <a:lnTo>
                                  <a:pt x="0" y="621030"/>
                                </a:lnTo>
                                <a:lnTo>
                                  <a:pt x="2914650" y="621030"/>
                                </a:lnTo>
                                <a:lnTo>
                                  <a:pt x="3225165" y="310515"/>
                                </a:lnTo>
                                <a:lnTo>
                                  <a:pt x="2914650" y="0"/>
                                </a:lnTo>
                                <a:close/>
                              </a:path>
                            </a:pathLst>
                          </a:custGeom>
                          <a:solidFill>
                            <a:srgbClr val="003B69"/>
                          </a:solidFill>
                        </wps:spPr>
                        <wps:bodyPr wrap="square" lIns="0" tIns="0" rIns="0" bIns="0" rtlCol="0">
                          <a:prstTxWarp prst="textNoShape">
                            <a:avLst/>
                          </a:prstTxWarp>
                          <a:noAutofit/>
                        </wps:bodyPr>
                      </wps:wsp>
                      <wps:wsp>
                        <wps:cNvPr id="9" name="Textbox 9"/>
                        <wps:cNvSpPr txBox="1"/>
                        <wps:spPr>
                          <a:xfrm>
                            <a:off x="137160" y="-68580"/>
                            <a:ext cx="3225165" cy="621030"/>
                          </a:xfrm>
                          <a:prstGeom prst="rect">
                            <a:avLst/>
                          </a:prstGeom>
                        </wps:spPr>
                        <wps:txbx>
                          <w:txbxContent>
                            <w:p w14:paraId="5D5CF0A0" w14:textId="77777777" w:rsidR="0045457B" w:rsidRDefault="0045457B" w:rsidP="0045457B">
                              <w:pPr>
                                <w:rPr>
                                  <w:b/>
                                  <w:color w:val="FFFFFF"/>
                                  <w:sz w:val="36"/>
                                </w:rPr>
                              </w:pPr>
                            </w:p>
                            <w:p w14:paraId="74CB6EA0" w14:textId="7021D7B3" w:rsidR="0013021B" w:rsidRDefault="0013021B" w:rsidP="0045457B">
                              <w:pPr>
                                <w:rPr>
                                  <w:b/>
                                  <w:sz w:val="36"/>
                                </w:rPr>
                              </w:pPr>
                              <w:r>
                                <w:rPr>
                                  <w:b/>
                                  <w:color w:val="FFFFFF"/>
                                  <w:sz w:val="36"/>
                                </w:rPr>
                                <w:t>Port</w:t>
                              </w:r>
                              <w:r>
                                <w:rPr>
                                  <w:b/>
                                  <w:color w:val="FFFFFF"/>
                                  <w:spacing w:val="-2"/>
                                  <w:sz w:val="36"/>
                                </w:rPr>
                                <w:t xml:space="preserve"> </w:t>
                              </w:r>
                              <w:r w:rsidRPr="001F29CB">
                                <w:rPr>
                                  <w:b/>
                                  <w:bCs/>
                                  <w:color w:val="FFFFFF" w:themeColor="background1"/>
                                  <w:sz w:val="36"/>
                                  <w:szCs w:val="36"/>
                                </w:rPr>
                                <w:t>Overlays</w:t>
                              </w:r>
                            </w:p>
                          </w:txbxContent>
                        </wps:txbx>
                        <wps:bodyPr wrap="square" lIns="0" tIns="0" rIns="0" bIns="0" rtlCol="0">
                          <a:noAutofit/>
                        </wps:bodyPr>
                      </wps:wsp>
                    </wpg:wgp>
                  </a:graphicData>
                </a:graphic>
              </wp:inline>
            </w:drawing>
          </mc:Choice>
          <mc:Fallback>
            <w:pict>
              <v:group w14:anchorId="6448DAD6" id="Group 7" o:spid="_x0000_s1029" style="width:264.75pt;height:54.3pt;mso-position-horizontal-relative:char;mso-position-vertical-relative:line" coordorigin=",-685" coordsize="33623,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">
                <v:shape id="Graphic 8" o:spid="_x0000_s1030" style="position:absolute;width:32251;height:6210;visibility:visible;mso-wrap-style:square;v-text-anchor:top" coordsize="3225165,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" path="m2914650,l,,,621030r2914650,l3225165,310515,2914650,xe" fillcolor="#003b69" stroked="f">
                  <v:path arrowok="t"/>
                </v:shape>
                <v:shape id="Textbox 9" o:spid="_x0000_s1031" type="#_x0000_t202" style="position:absolute;left:1371;top:-685;width:32252;height:6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5CF0A0" w14:textId="77777777" w:rsidR="0045457B" w:rsidRDefault="0045457B" w:rsidP="0045457B">
                        <w:pPr>
                          <w:rPr>
                            <w:b/>
                            <w:color w:val="FFFFFF"/>
                            <w:sz w:val="36"/>
                          </w:rPr>
                        </w:pPr>
                      </w:p>
                      <w:p w14:paraId="74CB6EA0" w14:textId="7021D7B3" w:rsidR="0013021B" w:rsidRDefault="0013021B" w:rsidP="0045457B">
                        <w:pPr>
                          <w:rPr>
                            <w:b/>
                            <w:sz w:val="36"/>
                          </w:rPr>
                        </w:pPr>
                        <w:r>
                          <w:rPr>
                            <w:b/>
                            <w:color w:val="FFFFFF"/>
                            <w:sz w:val="36"/>
                          </w:rPr>
                          <w:t>Port</w:t>
                        </w:r>
                        <w:r>
                          <w:rPr>
                            <w:b/>
                            <w:color w:val="FFFFFF"/>
                            <w:spacing w:val="-2"/>
                            <w:sz w:val="36"/>
                          </w:rPr>
                          <w:t xml:space="preserve"> </w:t>
                        </w:r>
                        <w:r w:rsidRPr="001F29CB">
                          <w:rPr>
                            <w:b/>
                            <w:bCs/>
                            <w:color w:val="FFFFFF" w:themeColor="background1"/>
                            <w:sz w:val="36"/>
                            <w:szCs w:val="36"/>
                          </w:rPr>
                          <w:t>Overlays</w:t>
                        </w:r>
                      </w:p>
                    </w:txbxContent>
                  </v:textbox>
                </v:shape>
                <w10:anchorlock/>
              </v:group>
            </w:pict>
          </mc:Fallback>
        </mc:AlternateContent>
      </w:r>
    </w:p>
    <w:p w14:paraId="51C9CED0" w14:textId="2CC80E5D" w:rsidR="0013021B" w:rsidRPr="00195153" w:rsidRDefault="0013021B" w:rsidP="00FF5F29">
      <w:pPr>
        <w:pStyle w:val="BodyText"/>
        <w:spacing w:beforeLines="122" w:before="292" w:line="278" w:lineRule="auto"/>
        <w:ind w:right="120"/>
        <w:jc w:val="both"/>
      </w:pPr>
      <w:r w:rsidRPr="00195153">
        <w:t>The</w:t>
      </w:r>
      <w:r w:rsidRPr="00195153">
        <w:rPr>
          <w:spacing w:val="-2"/>
        </w:rPr>
        <w:t xml:space="preserve"> </w:t>
      </w:r>
      <w:r w:rsidRPr="00195153">
        <w:t>preparation</w:t>
      </w:r>
      <w:r w:rsidRPr="00195153">
        <w:rPr>
          <w:spacing w:val="-4"/>
        </w:rPr>
        <w:t xml:space="preserve"> </w:t>
      </w:r>
      <w:r w:rsidRPr="00195153">
        <w:t>of</w:t>
      </w:r>
      <w:r w:rsidRPr="00195153">
        <w:rPr>
          <w:spacing w:val="-2"/>
        </w:rPr>
        <w:t xml:space="preserve"> </w:t>
      </w:r>
      <w:r w:rsidR="00E153D5" w:rsidRPr="00195153">
        <w:rPr>
          <w:spacing w:val="-2"/>
        </w:rPr>
        <w:t>port</w:t>
      </w:r>
      <w:r w:rsidRPr="00195153">
        <w:rPr>
          <w:spacing w:val="-5"/>
        </w:rPr>
        <w:t xml:space="preserve"> </w:t>
      </w:r>
      <w:r w:rsidR="00E153D5" w:rsidRPr="00195153">
        <w:rPr>
          <w:spacing w:val="-5"/>
        </w:rPr>
        <w:t>o</w:t>
      </w:r>
      <w:r w:rsidRPr="00195153">
        <w:t>verlays</w:t>
      </w:r>
      <w:r w:rsidRPr="00195153">
        <w:rPr>
          <w:spacing w:val="-3"/>
        </w:rPr>
        <w:t xml:space="preserve"> </w:t>
      </w:r>
      <w:r w:rsidRPr="00195153">
        <w:t>(the</w:t>
      </w:r>
      <w:r w:rsidRPr="00195153">
        <w:rPr>
          <w:spacing w:val="-2"/>
        </w:rPr>
        <w:t xml:space="preserve"> </w:t>
      </w:r>
      <w:r w:rsidRPr="00195153">
        <w:t>regulatory</w:t>
      </w:r>
      <w:r w:rsidRPr="00195153">
        <w:rPr>
          <w:spacing w:val="-3"/>
        </w:rPr>
        <w:t xml:space="preserve"> </w:t>
      </w:r>
      <w:r w:rsidRPr="00195153">
        <w:t>instrument</w:t>
      </w:r>
      <w:r w:rsidRPr="00195153">
        <w:rPr>
          <w:spacing w:val="-5"/>
        </w:rPr>
        <w:t xml:space="preserve"> </w:t>
      </w:r>
      <w:r w:rsidRPr="00195153">
        <w:t>that</w:t>
      </w:r>
      <w:r w:rsidRPr="00195153">
        <w:rPr>
          <w:spacing w:val="-2"/>
        </w:rPr>
        <w:t xml:space="preserve"> </w:t>
      </w:r>
      <w:r w:rsidRPr="00195153">
        <w:t>implements</w:t>
      </w:r>
      <w:r w:rsidRPr="00195153">
        <w:rPr>
          <w:spacing w:val="-3"/>
        </w:rPr>
        <w:t xml:space="preserve"> </w:t>
      </w:r>
      <w:r w:rsidRPr="00195153">
        <w:t>a</w:t>
      </w:r>
      <w:r w:rsidRPr="00195153">
        <w:rPr>
          <w:spacing w:val="-2"/>
        </w:rPr>
        <w:t xml:space="preserve"> </w:t>
      </w:r>
      <w:r w:rsidR="00E153D5" w:rsidRPr="00195153">
        <w:rPr>
          <w:spacing w:val="-2"/>
        </w:rPr>
        <w:t>m</w:t>
      </w:r>
      <w:r w:rsidRPr="00195153">
        <w:t>aster</w:t>
      </w:r>
      <w:r w:rsidRPr="00195153">
        <w:rPr>
          <w:spacing w:val="-4"/>
        </w:rPr>
        <w:t xml:space="preserve"> </w:t>
      </w:r>
      <w:r w:rsidR="00E153D5" w:rsidRPr="00195153">
        <w:rPr>
          <w:spacing w:val="-4"/>
        </w:rPr>
        <w:t>p</w:t>
      </w:r>
      <w:r w:rsidRPr="00195153">
        <w:t>lan over a master planned area) aligns with this model practice by:</w:t>
      </w:r>
    </w:p>
    <w:p w14:paraId="460FF16E" w14:textId="41ECAE0E" w:rsidR="0013021B" w:rsidRPr="00195153" w:rsidRDefault="0013021B" w:rsidP="00FF5F29">
      <w:pPr>
        <w:pStyle w:val="ListParagraph0"/>
        <w:widowControl w:val="0"/>
        <w:numPr>
          <w:ilvl w:val="0"/>
          <w:numId w:val="7"/>
        </w:numPr>
        <w:tabs>
          <w:tab w:val="left" w:pos="1134"/>
        </w:tabs>
        <w:autoSpaceDE w:val="0"/>
        <w:autoSpaceDN w:val="0"/>
        <w:spacing w:beforeLines="122" w:before="292" w:line="278" w:lineRule="auto"/>
        <w:ind w:left="709" w:right="120"/>
        <w:jc w:val="both"/>
      </w:pPr>
      <w:r w:rsidRPr="00195153">
        <w:t>operating</w:t>
      </w:r>
      <w:r w:rsidRPr="00195153">
        <w:rPr>
          <w:spacing w:val="-6"/>
        </w:rPr>
        <w:t xml:space="preserve"> </w:t>
      </w:r>
      <w:r w:rsidRPr="00195153">
        <w:t>as</w:t>
      </w:r>
      <w:r w:rsidRPr="00195153">
        <w:rPr>
          <w:spacing w:val="-3"/>
        </w:rPr>
        <w:t xml:space="preserve"> </w:t>
      </w:r>
      <w:r w:rsidRPr="00195153">
        <w:t>part</w:t>
      </w:r>
      <w:r w:rsidRPr="00195153">
        <w:rPr>
          <w:spacing w:val="-2"/>
        </w:rPr>
        <w:t xml:space="preserve"> </w:t>
      </w:r>
      <w:r w:rsidRPr="00195153">
        <w:t>of</w:t>
      </w:r>
      <w:r w:rsidRPr="00195153">
        <w:rPr>
          <w:spacing w:val="-5"/>
        </w:rPr>
        <w:t xml:space="preserve"> </w:t>
      </w:r>
      <w:r w:rsidRPr="00195153">
        <w:t>the</w:t>
      </w:r>
      <w:r w:rsidRPr="00195153">
        <w:rPr>
          <w:spacing w:val="-2"/>
        </w:rPr>
        <w:t xml:space="preserve"> </w:t>
      </w:r>
      <w:r w:rsidRPr="00195153">
        <w:t>broader</w:t>
      </w:r>
      <w:r w:rsidRPr="00195153">
        <w:rPr>
          <w:spacing w:val="-4"/>
        </w:rPr>
        <w:t xml:space="preserve"> </w:t>
      </w:r>
      <w:r w:rsidRPr="00195153">
        <w:t>regulatory</w:t>
      </w:r>
      <w:r w:rsidRPr="00195153">
        <w:rPr>
          <w:spacing w:val="-3"/>
        </w:rPr>
        <w:t xml:space="preserve"> </w:t>
      </w:r>
      <w:r w:rsidRPr="00195153">
        <w:t>planning</w:t>
      </w:r>
      <w:r w:rsidRPr="00195153">
        <w:rPr>
          <w:spacing w:val="-2"/>
        </w:rPr>
        <w:t xml:space="preserve"> </w:t>
      </w:r>
      <w:r w:rsidRPr="00195153">
        <w:t>framework</w:t>
      </w:r>
      <w:r w:rsidRPr="00195153">
        <w:rPr>
          <w:spacing w:val="-5"/>
        </w:rPr>
        <w:t xml:space="preserve"> </w:t>
      </w:r>
      <w:r w:rsidRPr="00195153">
        <w:t>for</w:t>
      </w:r>
      <w:r w:rsidRPr="00195153">
        <w:rPr>
          <w:spacing w:val="-4"/>
        </w:rPr>
        <w:t xml:space="preserve"> </w:t>
      </w:r>
      <w:r w:rsidRPr="00195153">
        <w:t>priority</w:t>
      </w:r>
      <w:r w:rsidRPr="00195153">
        <w:rPr>
          <w:spacing w:val="-2"/>
        </w:rPr>
        <w:t xml:space="preserve"> ports</w:t>
      </w:r>
    </w:p>
    <w:p w14:paraId="6CADEA11" w14:textId="50945D9F" w:rsidR="0013021B" w:rsidRPr="00195153" w:rsidRDefault="0013021B" w:rsidP="00FF5F29">
      <w:pPr>
        <w:pStyle w:val="ListParagraph0"/>
        <w:widowControl w:val="0"/>
        <w:numPr>
          <w:ilvl w:val="0"/>
          <w:numId w:val="7"/>
        </w:numPr>
        <w:tabs>
          <w:tab w:val="left" w:pos="1134"/>
        </w:tabs>
        <w:autoSpaceDE w:val="0"/>
        <w:autoSpaceDN w:val="0"/>
        <w:spacing w:beforeLines="122" w:before="292" w:line="278" w:lineRule="auto"/>
        <w:ind w:left="709" w:right="120"/>
        <w:jc w:val="both"/>
      </w:pPr>
      <w:r w:rsidRPr="00195153">
        <w:t>adopting</w:t>
      </w:r>
      <w:r w:rsidRPr="00195153">
        <w:rPr>
          <w:spacing w:val="-4"/>
        </w:rPr>
        <w:t xml:space="preserve"> </w:t>
      </w:r>
      <w:r w:rsidRPr="00195153">
        <w:t>an</w:t>
      </w:r>
      <w:r w:rsidRPr="00195153">
        <w:rPr>
          <w:spacing w:val="-4"/>
        </w:rPr>
        <w:t xml:space="preserve"> </w:t>
      </w:r>
      <w:r w:rsidRPr="00195153">
        <w:t>evidence-based</w:t>
      </w:r>
      <w:r w:rsidRPr="00195153">
        <w:rPr>
          <w:spacing w:val="-2"/>
        </w:rPr>
        <w:t xml:space="preserve"> </w:t>
      </w:r>
      <w:r w:rsidRPr="00195153">
        <w:t>approach</w:t>
      </w:r>
      <w:r w:rsidRPr="00195153">
        <w:rPr>
          <w:spacing w:val="-2"/>
        </w:rPr>
        <w:t xml:space="preserve"> </w:t>
      </w:r>
      <w:r w:rsidRPr="00195153">
        <w:t>that</w:t>
      </w:r>
      <w:r w:rsidRPr="00195153">
        <w:rPr>
          <w:spacing w:val="-2"/>
        </w:rPr>
        <w:t xml:space="preserve"> </w:t>
      </w:r>
      <w:r w:rsidRPr="00195153">
        <w:t>considers</w:t>
      </w:r>
      <w:r w:rsidRPr="00195153">
        <w:rPr>
          <w:spacing w:val="-5"/>
        </w:rPr>
        <w:t xml:space="preserve"> </w:t>
      </w:r>
      <w:r w:rsidRPr="00195153">
        <w:t>a</w:t>
      </w:r>
      <w:r w:rsidRPr="00195153">
        <w:rPr>
          <w:spacing w:val="-2"/>
        </w:rPr>
        <w:t xml:space="preserve"> </w:t>
      </w:r>
      <w:r w:rsidRPr="00195153">
        <w:t>wide</w:t>
      </w:r>
      <w:r w:rsidRPr="00195153">
        <w:rPr>
          <w:spacing w:val="-2"/>
        </w:rPr>
        <w:t xml:space="preserve"> </w:t>
      </w:r>
      <w:r w:rsidRPr="00195153">
        <w:t>variety</w:t>
      </w:r>
      <w:r w:rsidRPr="00195153">
        <w:rPr>
          <w:spacing w:val="-5"/>
        </w:rPr>
        <w:t xml:space="preserve"> </w:t>
      </w:r>
      <w:r w:rsidRPr="00195153">
        <w:t>of</w:t>
      </w:r>
      <w:r w:rsidRPr="00195153">
        <w:rPr>
          <w:spacing w:val="-5"/>
        </w:rPr>
        <w:t xml:space="preserve"> </w:t>
      </w:r>
      <w:r w:rsidRPr="00195153">
        <w:t>matters</w:t>
      </w:r>
      <w:r w:rsidRPr="00195153">
        <w:rPr>
          <w:spacing w:val="-3"/>
        </w:rPr>
        <w:t xml:space="preserve"> </w:t>
      </w:r>
      <w:r w:rsidRPr="00195153">
        <w:t>and</w:t>
      </w:r>
      <w:r w:rsidRPr="00195153">
        <w:rPr>
          <w:spacing w:val="-2"/>
        </w:rPr>
        <w:t xml:space="preserve"> </w:t>
      </w:r>
      <w:r w:rsidRPr="00195153">
        <w:t>is used to inform decision making</w:t>
      </w:r>
      <w:r w:rsidR="00EF5AD1" w:rsidRPr="00195153">
        <w:t>,</w:t>
      </w:r>
      <w:r w:rsidRPr="00195153">
        <w:t xml:space="preserve"> and</w:t>
      </w:r>
    </w:p>
    <w:p w14:paraId="66F97799" w14:textId="66D88B0E" w:rsidR="0013021B" w:rsidRPr="00195153" w:rsidRDefault="0013021B" w:rsidP="00FF5F29">
      <w:pPr>
        <w:pStyle w:val="ListParagraph0"/>
        <w:widowControl w:val="0"/>
        <w:numPr>
          <w:ilvl w:val="0"/>
          <w:numId w:val="7"/>
        </w:numPr>
        <w:tabs>
          <w:tab w:val="left" w:pos="1134"/>
        </w:tabs>
        <w:autoSpaceDE w:val="0"/>
        <w:autoSpaceDN w:val="0"/>
        <w:spacing w:beforeLines="122" w:before="292" w:line="278" w:lineRule="auto"/>
        <w:ind w:left="709" w:right="120"/>
        <w:jc w:val="both"/>
      </w:pPr>
      <w:r w:rsidRPr="00195153">
        <w:t>adopting</w:t>
      </w:r>
      <w:r w:rsidRPr="00195153">
        <w:rPr>
          <w:spacing w:val="-4"/>
        </w:rPr>
        <w:t xml:space="preserve"> </w:t>
      </w:r>
      <w:r w:rsidRPr="00195153">
        <w:t>a</w:t>
      </w:r>
      <w:r w:rsidRPr="00195153">
        <w:rPr>
          <w:spacing w:val="-2"/>
        </w:rPr>
        <w:t xml:space="preserve"> </w:t>
      </w:r>
      <w:r w:rsidRPr="00195153">
        <w:t>regulation</w:t>
      </w:r>
      <w:r w:rsidRPr="00195153">
        <w:rPr>
          <w:spacing w:val="-2"/>
        </w:rPr>
        <w:t xml:space="preserve"> </w:t>
      </w:r>
      <w:r w:rsidRPr="00195153">
        <w:t>by</w:t>
      </w:r>
      <w:r w:rsidRPr="00195153">
        <w:rPr>
          <w:spacing w:val="-3"/>
        </w:rPr>
        <w:t xml:space="preserve"> </w:t>
      </w:r>
      <w:r w:rsidRPr="00195153">
        <w:t>exception</w:t>
      </w:r>
      <w:r w:rsidRPr="00195153">
        <w:rPr>
          <w:spacing w:val="-4"/>
        </w:rPr>
        <w:t xml:space="preserve"> </w:t>
      </w:r>
      <w:r w:rsidRPr="00195153">
        <w:t>approach</w:t>
      </w:r>
      <w:r w:rsidRPr="00195153">
        <w:rPr>
          <w:spacing w:val="-7"/>
        </w:rPr>
        <w:t xml:space="preserve"> </w:t>
      </w:r>
      <w:r w:rsidRPr="00195153">
        <w:t>where</w:t>
      </w:r>
      <w:r w:rsidRPr="00195153">
        <w:rPr>
          <w:spacing w:val="-2"/>
        </w:rPr>
        <w:t xml:space="preserve"> </w:t>
      </w:r>
      <w:r w:rsidRPr="00195153">
        <w:t>new</w:t>
      </w:r>
      <w:r w:rsidRPr="00195153">
        <w:rPr>
          <w:spacing w:val="-3"/>
        </w:rPr>
        <w:t xml:space="preserve"> </w:t>
      </w:r>
      <w:r w:rsidRPr="00195153">
        <w:t>regulation</w:t>
      </w:r>
      <w:r w:rsidRPr="00195153">
        <w:rPr>
          <w:spacing w:val="-4"/>
        </w:rPr>
        <w:t xml:space="preserve"> </w:t>
      </w:r>
      <w:r w:rsidRPr="00195153">
        <w:t>is</w:t>
      </w:r>
      <w:r w:rsidRPr="00195153">
        <w:rPr>
          <w:spacing w:val="-3"/>
        </w:rPr>
        <w:t xml:space="preserve"> </w:t>
      </w:r>
      <w:r w:rsidRPr="00195153">
        <w:t>only</w:t>
      </w:r>
      <w:r w:rsidRPr="00195153">
        <w:rPr>
          <w:spacing w:val="-3"/>
        </w:rPr>
        <w:t xml:space="preserve"> </w:t>
      </w:r>
      <w:r w:rsidRPr="00195153">
        <w:t>proposed where gaps are identified in the existing regulatory provisions when applying to develop within a master planned area, recognising that existing planning and regulatory frameworks across all levels of government already provide for the comprehensive management of environmental impacts.</w:t>
      </w:r>
    </w:p>
    <w:p w14:paraId="39E2F7BF" w14:textId="54BF1DC9" w:rsidR="0013021B" w:rsidRPr="00195153" w:rsidRDefault="0013021B" w:rsidP="00FF5F29">
      <w:pPr>
        <w:pStyle w:val="BodyText"/>
        <w:spacing w:beforeLines="122" w:before="292" w:line="278" w:lineRule="auto"/>
        <w:ind w:right="120"/>
        <w:jc w:val="both"/>
      </w:pPr>
      <w:r w:rsidRPr="00195153">
        <w:t xml:space="preserve">A draft </w:t>
      </w:r>
      <w:r w:rsidR="00E153D5" w:rsidRPr="00195153">
        <w:t>port</w:t>
      </w:r>
      <w:r w:rsidRPr="00195153">
        <w:t xml:space="preserve"> </w:t>
      </w:r>
      <w:r w:rsidR="00E153D5" w:rsidRPr="00195153">
        <w:t>o</w:t>
      </w:r>
      <w:r w:rsidRPr="00195153">
        <w:t xml:space="preserve">verlay is released alongside the </w:t>
      </w:r>
      <w:r w:rsidR="00D44CFB" w:rsidRPr="00195153">
        <w:t xml:space="preserve">draft </w:t>
      </w:r>
      <w:r w:rsidR="00E153D5" w:rsidRPr="00195153">
        <w:t>m</w:t>
      </w:r>
      <w:r w:rsidRPr="00195153">
        <w:t xml:space="preserve">aster </w:t>
      </w:r>
      <w:r w:rsidR="00E153D5" w:rsidRPr="00195153">
        <w:t>p</w:t>
      </w:r>
      <w:r w:rsidRPr="00195153">
        <w:t>lan so that the community and other stakeholders can consider the potential regulatory effects, prior to finalisation.</w:t>
      </w:r>
      <w:r w:rsidR="00484BD0" w:rsidRPr="00195153">
        <w:t xml:space="preserve"> </w:t>
      </w:r>
      <w:r w:rsidRPr="00195153">
        <w:t xml:space="preserve">Having the draft </w:t>
      </w:r>
      <w:r w:rsidR="00E153D5" w:rsidRPr="00195153">
        <w:t>m</w:t>
      </w:r>
      <w:r w:rsidRPr="00195153">
        <w:t xml:space="preserve">aster </w:t>
      </w:r>
      <w:r w:rsidR="00E153D5" w:rsidRPr="00195153">
        <w:t>p</w:t>
      </w:r>
      <w:r w:rsidRPr="00195153">
        <w:t xml:space="preserve">lan and draft </w:t>
      </w:r>
      <w:r w:rsidR="00E153D5" w:rsidRPr="00195153">
        <w:t>p</w:t>
      </w:r>
      <w:r w:rsidRPr="00195153">
        <w:t xml:space="preserve">ort </w:t>
      </w:r>
      <w:r w:rsidR="00E153D5" w:rsidRPr="00195153">
        <w:t>o</w:t>
      </w:r>
      <w:r w:rsidRPr="00195153">
        <w:t xml:space="preserve">verlay out for public consultation concurrently, ensures that the </w:t>
      </w:r>
      <w:r w:rsidR="00E153D5" w:rsidRPr="00195153">
        <w:t>o</w:t>
      </w:r>
      <w:r w:rsidRPr="00195153">
        <w:t xml:space="preserve">verlay will come into effect as soon as practicable after the </w:t>
      </w:r>
      <w:r w:rsidR="00E153D5" w:rsidRPr="00195153">
        <w:t>m</w:t>
      </w:r>
      <w:r w:rsidRPr="00195153">
        <w:t xml:space="preserve">aster </w:t>
      </w:r>
      <w:r w:rsidR="00E153D5" w:rsidRPr="00195153">
        <w:t>p</w:t>
      </w:r>
      <w:r w:rsidRPr="00195153">
        <w:t>lan is made.</w:t>
      </w:r>
    </w:p>
    <w:p w14:paraId="427F3771" w14:textId="3911B70E" w:rsidR="0040506E" w:rsidRPr="00195153" w:rsidRDefault="0013021B" w:rsidP="00FF5F29">
      <w:pPr>
        <w:pStyle w:val="BodyText"/>
        <w:spacing w:beforeLines="122" w:before="292" w:line="278" w:lineRule="auto"/>
        <w:ind w:right="120"/>
        <w:jc w:val="both"/>
      </w:pPr>
      <w:r w:rsidRPr="00195153">
        <w:t>The</w:t>
      </w:r>
      <w:r w:rsidRPr="00195153">
        <w:rPr>
          <w:spacing w:val="-2"/>
        </w:rPr>
        <w:t xml:space="preserve"> </w:t>
      </w:r>
      <w:r w:rsidRPr="00195153">
        <w:t>preparation</w:t>
      </w:r>
      <w:r w:rsidRPr="00195153">
        <w:rPr>
          <w:spacing w:val="-4"/>
        </w:rPr>
        <w:t xml:space="preserve"> </w:t>
      </w:r>
      <w:r w:rsidRPr="00195153">
        <w:t>of</w:t>
      </w:r>
      <w:r w:rsidRPr="00195153">
        <w:rPr>
          <w:spacing w:val="-2"/>
        </w:rPr>
        <w:t xml:space="preserve"> </w:t>
      </w:r>
      <w:r w:rsidRPr="00195153">
        <w:t>port</w:t>
      </w:r>
      <w:r w:rsidRPr="00195153">
        <w:rPr>
          <w:spacing w:val="-5"/>
        </w:rPr>
        <w:t xml:space="preserve"> </w:t>
      </w:r>
      <w:r w:rsidRPr="00195153">
        <w:t>overlays</w:t>
      </w:r>
      <w:r w:rsidRPr="00195153">
        <w:rPr>
          <w:spacing w:val="-3"/>
        </w:rPr>
        <w:t xml:space="preserve"> </w:t>
      </w:r>
      <w:r w:rsidRPr="00195153">
        <w:t>includes</w:t>
      </w:r>
      <w:r w:rsidRPr="00195153">
        <w:rPr>
          <w:spacing w:val="-5"/>
        </w:rPr>
        <w:t xml:space="preserve"> </w:t>
      </w:r>
      <w:r w:rsidRPr="00195153">
        <w:t>a</w:t>
      </w:r>
      <w:r w:rsidRPr="00195153">
        <w:rPr>
          <w:spacing w:val="-2"/>
        </w:rPr>
        <w:t xml:space="preserve"> </w:t>
      </w:r>
      <w:r w:rsidRPr="00195153">
        <w:t>review</w:t>
      </w:r>
      <w:r w:rsidRPr="00195153">
        <w:rPr>
          <w:spacing w:val="-3"/>
        </w:rPr>
        <w:t xml:space="preserve"> </w:t>
      </w:r>
      <w:r w:rsidRPr="00195153">
        <w:t>by</w:t>
      </w:r>
      <w:r w:rsidRPr="00195153">
        <w:rPr>
          <w:spacing w:val="-3"/>
        </w:rPr>
        <w:t xml:space="preserve"> </w:t>
      </w:r>
      <w:r w:rsidRPr="00195153">
        <w:t>independent</w:t>
      </w:r>
      <w:r w:rsidRPr="00195153">
        <w:rPr>
          <w:spacing w:val="-5"/>
        </w:rPr>
        <w:t xml:space="preserve"> </w:t>
      </w:r>
      <w:r w:rsidRPr="00195153">
        <w:t>planning</w:t>
      </w:r>
      <w:r w:rsidRPr="00195153">
        <w:rPr>
          <w:spacing w:val="-2"/>
        </w:rPr>
        <w:t xml:space="preserve"> </w:t>
      </w:r>
      <w:r w:rsidRPr="00195153">
        <w:t>and</w:t>
      </w:r>
      <w:r w:rsidRPr="00195153">
        <w:rPr>
          <w:spacing w:val="-2"/>
        </w:rPr>
        <w:t xml:space="preserve"> </w:t>
      </w:r>
      <w:r w:rsidRPr="00195153">
        <w:t>legal experts</w:t>
      </w:r>
      <w:r w:rsidR="00D421AE" w:rsidRPr="00195153">
        <w:t>,</w:t>
      </w:r>
      <w:r w:rsidRPr="00195153">
        <w:t xml:space="preserve"> and by an independent environmental advisory panel.</w:t>
      </w:r>
      <w:r w:rsidR="000D09E1" w:rsidRPr="00195153">
        <w:t xml:space="preserve"> </w:t>
      </w:r>
      <w:r w:rsidRPr="00195153">
        <w:t>Feedback</w:t>
      </w:r>
      <w:r w:rsidRPr="00195153">
        <w:rPr>
          <w:spacing w:val="-3"/>
        </w:rPr>
        <w:t xml:space="preserve"> </w:t>
      </w:r>
      <w:r w:rsidRPr="00195153">
        <w:t>from</w:t>
      </w:r>
      <w:r w:rsidRPr="00195153">
        <w:rPr>
          <w:spacing w:val="-1"/>
        </w:rPr>
        <w:t xml:space="preserve"> </w:t>
      </w:r>
      <w:r w:rsidRPr="00195153">
        <w:t>stakeholders</w:t>
      </w:r>
      <w:r w:rsidRPr="00195153">
        <w:rPr>
          <w:spacing w:val="-3"/>
        </w:rPr>
        <w:t xml:space="preserve"> </w:t>
      </w:r>
      <w:r w:rsidRPr="00195153">
        <w:t>received</w:t>
      </w:r>
      <w:r w:rsidRPr="00195153">
        <w:rPr>
          <w:spacing w:val="-2"/>
        </w:rPr>
        <w:t xml:space="preserve"> </w:t>
      </w:r>
      <w:r w:rsidRPr="00195153">
        <w:t>during</w:t>
      </w:r>
      <w:r w:rsidRPr="00195153">
        <w:rPr>
          <w:spacing w:val="-4"/>
        </w:rPr>
        <w:t xml:space="preserve"> </w:t>
      </w:r>
      <w:r w:rsidRPr="00195153">
        <w:t>consultation</w:t>
      </w:r>
      <w:r w:rsidRPr="00195153">
        <w:rPr>
          <w:spacing w:val="-2"/>
        </w:rPr>
        <w:t xml:space="preserve"> </w:t>
      </w:r>
      <w:r w:rsidRPr="00195153">
        <w:t>is</w:t>
      </w:r>
      <w:r w:rsidRPr="00195153">
        <w:rPr>
          <w:spacing w:val="-5"/>
        </w:rPr>
        <w:t xml:space="preserve"> </w:t>
      </w:r>
      <w:r w:rsidRPr="00195153">
        <w:t>used</w:t>
      </w:r>
      <w:r w:rsidRPr="00195153">
        <w:rPr>
          <w:spacing w:val="-2"/>
        </w:rPr>
        <w:t xml:space="preserve"> </w:t>
      </w:r>
      <w:r w:rsidRPr="00195153">
        <w:t>to</w:t>
      </w:r>
      <w:r w:rsidRPr="00195153">
        <w:rPr>
          <w:spacing w:val="-7"/>
        </w:rPr>
        <w:t xml:space="preserve"> </w:t>
      </w:r>
      <w:r w:rsidRPr="00195153">
        <w:t>inform</w:t>
      </w:r>
      <w:r w:rsidRPr="00195153">
        <w:rPr>
          <w:spacing w:val="-4"/>
        </w:rPr>
        <w:t xml:space="preserve"> </w:t>
      </w:r>
      <w:r w:rsidRPr="00195153">
        <w:t>the development of provisions that will have regulatory effect when finalised.</w:t>
      </w:r>
      <w:r w:rsidR="0040506E" w:rsidRPr="00195153">
        <w:t xml:space="preserve"> </w:t>
      </w:r>
    </w:p>
    <w:p w14:paraId="63C8F30F" w14:textId="4B2AC2C7" w:rsidR="00306C10" w:rsidRPr="00195153" w:rsidRDefault="7EF622D3" w:rsidP="00FF5F29">
      <w:pPr>
        <w:pStyle w:val="BodyText"/>
        <w:spacing w:beforeLines="122" w:before="292" w:line="278" w:lineRule="auto"/>
        <w:ind w:right="120"/>
        <w:jc w:val="both"/>
      </w:pPr>
      <w:r w:rsidRPr="00195153">
        <w:rPr>
          <w:rFonts w:eastAsia="Arial" w:cs="Arial"/>
          <w:szCs w:val="24"/>
        </w:rPr>
        <w:t xml:space="preserve">The final </w:t>
      </w:r>
      <w:r w:rsidR="00E153D5" w:rsidRPr="00195153">
        <w:rPr>
          <w:rFonts w:eastAsia="Arial" w:cs="Arial"/>
          <w:szCs w:val="24"/>
        </w:rPr>
        <w:t>o</w:t>
      </w:r>
      <w:r w:rsidRPr="00195153">
        <w:rPr>
          <w:rFonts w:eastAsia="Arial" w:cs="Arial"/>
          <w:szCs w:val="24"/>
        </w:rPr>
        <w:t>verlays for the priority ports of Townsville and Gladstone were released in August 2020</w:t>
      </w:r>
      <w:r w:rsidR="007D2EFE" w:rsidRPr="00195153">
        <w:rPr>
          <w:rFonts w:eastAsia="Arial" w:cs="Arial"/>
          <w:szCs w:val="24"/>
        </w:rPr>
        <w:t xml:space="preserve">, with </w:t>
      </w:r>
      <w:r w:rsidRPr="00195153">
        <w:rPr>
          <w:rFonts w:eastAsia="Arial" w:cs="Arial"/>
          <w:szCs w:val="24"/>
        </w:rPr>
        <w:t xml:space="preserve">final </w:t>
      </w:r>
      <w:r w:rsidR="00E153D5" w:rsidRPr="00195153">
        <w:rPr>
          <w:rFonts w:eastAsia="Arial" w:cs="Arial"/>
          <w:szCs w:val="24"/>
        </w:rPr>
        <w:t>o</w:t>
      </w:r>
      <w:r w:rsidRPr="00195153">
        <w:rPr>
          <w:rFonts w:eastAsia="Arial" w:cs="Arial"/>
          <w:szCs w:val="24"/>
        </w:rPr>
        <w:t xml:space="preserve">verlays for the priority ports of Hay Point/Mackay and Abbot </w:t>
      </w:r>
      <w:r w:rsidRPr="00195153">
        <w:t>Point released in September 2024.</w:t>
      </w:r>
    </w:p>
    <w:p w14:paraId="79377EA2" w14:textId="50BEE0ED" w:rsidR="0013021B" w:rsidRDefault="0013021B" w:rsidP="00FF5F29">
      <w:pPr>
        <w:pStyle w:val="BodyText"/>
        <w:spacing w:beforeLines="122" w:before="292" w:line="278" w:lineRule="auto"/>
        <w:ind w:right="120"/>
        <w:jc w:val="both"/>
      </w:pPr>
      <w:r w:rsidRPr="00195153">
        <w:t>Outside of</w:t>
      </w:r>
      <w:r w:rsidRPr="00195153">
        <w:rPr>
          <w:spacing w:val="-5"/>
        </w:rPr>
        <w:t xml:space="preserve"> </w:t>
      </w:r>
      <w:r w:rsidRPr="00195153">
        <w:t>priority</w:t>
      </w:r>
      <w:r w:rsidRPr="00195153">
        <w:rPr>
          <w:spacing w:val="-5"/>
        </w:rPr>
        <w:t xml:space="preserve"> </w:t>
      </w:r>
      <w:r w:rsidRPr="00195153">
        <w:t>port</w:t>
      </w:r>
      <w:r w:rsidRPr="00195153">
        <w:rPr>
          <w:spacing w:val="-2"/>
        </w:rPr>
        <w:t xml:space="preserve"> </w:t>
      </w:r>
      <w:r w:rsidRPr="00195153">
        <w:t>areas,</w:t>
      </w:r>
      <w:r w:rsidRPr="00195153">
        <w:rPr>
          <w:spacing w:val="-2"/>
        </w:rPr>
        <w:t xml:space="preserve"> </w:t>
      </w:r>
      <w:r w:rsidRPr="00195153">
        <w:t>TMR</w:t>
      </w:r>
      <w:r w:rsidRPr="00195153">
        <w:rPr>
          <w:spacing w:val="-3"/>
        </w:rPr>
        <w:t xml:space="preserve"> </w:t>
      </w:r>
      <w:r w:rsidRPr="00195153">
        <w:t>continues</w:t>
      </w:r>
      <w:r w:rsidRPr="00195153">
        <w:rPr>
          <w:spacing w:val="-3"/>
        </w:rPr>
        <w:t xml:space="preserve"> </w:t>
      </w:r>
      <w:r w:rsidRPr="00195153">
        <w:t>to</w:t>
      </w:r>
      <w:r w:rsidRPr="00195153">
        <w:rPr>
          <w:spacing w:val="-2"/>
        </w:rPr>
        <w:t xml:space="preserve"> </w:t>
      </w:r>
      <w:r w:rsidRPr="00195153">
        <w:t>investigate</w:t>
      </w:r>
      <w:r w:rsidRPr="00195153">
        <w:rPr>
          <w:spacing w:val="-2"/>
        </w:rPr>
        <w:t xml:space="preserve"> </w:t>
      </w:r>
      <w:r w:rsidRPr="00195153">
        <w:t>proposals</w:t>
      </w:r>
      <w:r w:rsidRPr="00195153">
        <w:rPr>
          <w:spacing w:val="-3"/>
        </w:rPr>
        <w:t xml:space="preserve"> </w:t>
      </w:r>
      <w:r w:rsidRPr="00195153">
        <w:t>to</w:t>
      </w:r>
      <w:r w:rsidRPr="00195153">
        <w:rPr>
          <w:spacing w:val="-4"/>
        </w:rPr>
        <w:t xml:space="preserve"> </w:t>
      </w:r>
      <w:r w:rsidRPr="00195153">
        <w:t>declare</w:t>
      </w:r>
      <w:r w:rsidRPr="00195153">
        <w:rPr>
          <w:spacing w:val="-2"/>
        </w:rPr>
        <w:t xml:space="preserve"> </w:t>
      </w:r>
      <w:r w:rsidRPr="00195153">
        <w:t xml:space="preserve">new ports under the </w:t>
      </w:r>
      <w:r w:rsidRPr="00195153">
        <w:rPr>
          <w:i/>
        </w:rPr>
        <w:t>Transport Infrastructure Act 1994</w:t>
      </w:r>
      <w:r w:rsidR="006C30AB" w:rsidRPr="00195153">
        <w:rPr>
          <w:iCs/>
        </w:rPr>
        <w:t>,</w:t>
      </w:r>
      <w:r w:rsidRPr="00195153">
        <w:rPr>
          <w:i/>
        </w:rPr>
        <w:t xml:space="preserve"> </w:t>
      </w:r>
      <w:r w:rsidRPr="00195153">
        <w:t>to support mining developments for projects currently undergoing Environmental Impact Statement processes.</w:t>
      </w:r>
    </w:p>
    <w:p w14:paraId="21B77E60" w14:textId="37A0DE32" w:rsidR="00FF5F29" w:rsidRDefault="00FF5F29" w:rsidP="00FF5F29">
      <w:pPr>
        <w:ind w:right="120"/>
      </w:pPr>
    </w:p>
    <w:p w14:paraId="3A9429A3" w14:textId="77777777" w:rsidR="00FF5F29" w:rsidRDefault="00FF5F29">
      <w:pPr>
        <w:spacing w:after="160" w:line="259" w:lineRule="auto"/>
      </w:pPr>
      <w:r>
        <w:br w:type="page"/>
      </w:r>
    </w:p>
    <w:p w14:paraId="40EEE9EE" w14:textId="7D5EF61A" w:rsidR="00961C30" w:rsidRDefault="00961C30" w:rsidP="00961C30">
      <w:pPr>
        <w:ind w:right="120"/>
      </w:pPr>
      <w:r w:rsidRPr="00FD73D7">
        <w:rPr>
          <w:noProof/>
          <w:highlight w:val="yellow"/>
        </w:rPr>
        <w:lastRenderedPageBreak/>
        <mc:AlternateContent>
          <mc:Choice Requires="wpg">
            <w:drawing>
              <wp:anchor distT="0" distB="0" distL="0" distR="0" simplePos="0" relativeHeight="251622912" behindDoc="1" locked="0" layoutInCell="1" allowOverlap="1" wp14:anchorId="54C5E8E8" wp14:editId="19AA1C58">
                <wp:simplePos x="0" y="0"/>
                <wp:positionH relativeFrom="page">
                  <wp:posOffset>914400</wp:posOffset>
                </wp:positionH>
                <wp:positionV relativeFrom="paragraph">
                  <wp:posOffset>71120</wp:posOffset>
                </wp:positionV>
                <wp:extent cx="3492500" cy="746760"/>
                <wp:effectExtent l="0" t="0" r="0" b="0"/>
                <wp:wrapTopAndBottom/>
                <wp:docPr id="801702404" name="Group 80170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0" cy="746760"/>
                          <a:chOff x="-1" y="0"/>
                          <a:chExt cx="3225166" cy="693576"/>
                        </a:xfrm>
                      </wpg:grpSpPr>
                      <wps:wsp>
                        <wps:cNvPr id="958851800" name="Graphic 11"/>
                        <wps:cNvSpPr/>
                        <wps:spPr>
                          <a:xfrm>
                            <a:off x="0" y="0"/>
                            <a:ext cx="3225165" cy="621030"/>
                          </a:xfrm>
                          <a:custGeom>
                            <a:avLst/>
                            <a:gdLst/>
                            <a:ahLst/>
                            <a:cxnLst/>
                            <a:rect l="l" t="t" r="r" b="b"/>
                            <a:pathLst>
                              <a:path w="3225165" h="621030">
                                <a:moveTo>
                                  <a:pt x="2914650" y="0"/>
                                </a:moveTo>
                                <a:lnTo>
                                  <a:pt x="0" y="0"/>
                                </a:lnTo>
                                <a:lnTo>
                                  <a:pt x="0" y="621030"/>
                                </a:lnTo>
                                <a:lnTo>
                                  <a:pt x="2914650" y="621030"/>
                                </a:lnTo>
                                <a:lnTo>
                                  <a:pt x="3225165" y="310515"/>
                                </a:lnTo>
                                <a:lnTo>
                                  <a:pt x="2914650" y="0"/>
                                </a:lnTo>
                                <a:close/>
                              </a:path>
                            </a:pathLst>
                          </a:custGeom>
                          <a:solidFill>
                            <a:srgbClr val="003B69"/>
                          </a:solidFill>
                        </wps:spPr>
                        <wps:bodyPr wrap="square" lIns="0" tIns="0" rIns="0" bIns="0" rtlCol="0">
                          <a:prstTxWarp prst="textNoShape">
                            <a:avLst/>
                          </a:prstTxWarp>
                          <a:noAutofit/>
                        </wps:bodyPr>
                      </wps:wsp>
                      <wps:wsp>
                        <wps:cNvPr id="1931967437" name="Textbox 12"/>
                        <wps:cNvSpPr txBox="1"/>
                        <wps:spPr>
                          <a:xfrm>
                            <a:off x="-1" y="125342"/>
                            <a:ext cx="2958749" cy="568234"/>
                          </a:xfrm>
                          <a:prstGeom prst="rect">
                            <a:avLst/>
                          </a:prstGeom>
                        </wps:spPr>
                        <wps:txbx>
                          <w:txbxContent>
                            <w:p w14:paraId="3B5FF7F8" w14:textId="54352513" w:rsidR="0013021B" w:rsidRDefault="0045457B" w:rsidP="0045457B">
                              <w:pPr>
                                <w:rPr>
                                  <w:b/>
                                  <w:sz w:val="36"/>
                                </w:rPr>
                              </w:pPr>
                              <w:r>
                                <w:rPr>
                                  <w:b/>
                                  <w:color w:val="FFFFFF"/>
                                  <w:sz w:val="36"/>
                                </w:rPr>
                                <w:t xml:space="preserve"> </w:t>
                              </w:r>
                              <w:r w:rsidR="0013021B">
                                <w:rPr>
                                  <w:b/>
                                  <w:color w:val="FFFFFF"/>
                                  <w:sz w:val="36"/>
                                </w:rPr>
                                <w:t>Rail</w:t>
                              </w:r>
                              <w:r w:rsidR="0013021B" w:rsidRPr="0045457B">
                                <w:rPr>
                                  <w:b/>
                                  <w:color w:val="FFFFFF"/>
                                  <w:sz w:val="36"/>
                                </w:rPr>
                                <w:t xml:space="preserve"> Accommodation</w:t>
                              </w:r>
                              <w:r w:rsidR="0013021B" w:rsidRPr="0045457B">
                                <w:rPr>
                                  <w:b/>
                                  <w:bCs/>
                                  <w:i/>
                                  <w:iCs/>
                                  <w:color w:val="FFFFFF" w:themeColor="background1"/>
                                  <w:sz w:val="36"/>
                                  <w:szCs w:val="36"/>
                                </w:rPr>
                                <w:t xml:space="preserve"> </w:t>
                              </w:r>
                              <w:r w:rsidR="00F72900">
                                <w:rPr>
                                  <w:b/>
                                  <w:color w:val="FFFFFF"/>
                                  <w:sz w:val="36"/>
                                </w:rPr>
                                <w:t>W</w:t>
                              </w:r>
                              <w:r w:rsidR="0013021B">
                                <w:rPr>
                                  <w:b/>
                                  <w:color w:val="FFFFFF"/>
                                  <w:spacing w:val="-2"/>
                                  <w:sz w:val="36"/>
                                </w:rPr>
                                <w:t>orks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C5E8E8" id="Group 801702404" o:spid="_x0000_s1032" style="position:absolute;margin-left:1in;margin-top:5.6pt;width:275pt;height:58.8pt;z-index:-251693568;mso-wrap-distance-left:0;mso-wrap-distance-right:0;mso-position-horizontal-relative:page;mso-position-vertical-relative:text;mso-width-relative:margin;mso-height-relative:margin" coordorigin="" coordsize="3225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">
                <v:shape id="Graphic 11" o:spid="_x0000_s1033" style="position:absolute;width:32251;height:6210;visibility:visible;mso-wrap-style:square;v-text-anchor:top" coordsize="3225165,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" path="m2914650,l,,,621030r2914650,l3225165,310515,2914650,xe" fillcolor="#003b69" stroked="f">
                  <v:path arrowok="t"/>
                </v:shape>
                <v:shape id="Textbox 12" o:spid="_x0000_s1034" type="#_x0000_t202" style="position:absolute;top:1253;width:29587;height: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" filled="f" stroked="f">
                  <v:textbox inset="0,0,0,0">
                    <w:txbxContent>
                      <w:p w14:paraId="3B5FF7F8" w14:textId="54352513" w:rsidR="0013021B" w:rsidRDefault="0045457B" w:rsidP="0045457B">
                        <w:pPr>
                          <w:rPr>
                            <w:b/>
                            <w:sz w:val="36"/>
                          </w:rPr>
                        </w:pPr>
                        <w:r>
                          <w:rPr>
                            <w:b/>
                            <w:color w:val="FFFFFF"/>
                            <w:sz w:val="36"/>
                          </w:rPr>
                          <w:t xml:space="preserve"> </w:t>
                        </w:r>
                        <w:r w:rsidR="0013021B">
                          <w:rPr>
                            <w:b/>
                            <w:color w:val="FFFFFF"/>
                            <w:sz w:val="36"/>
                          </w:rPr>
                          <w:t>Rail</w:t>
                        </w:r>
                        <w:r w:rsidR="0013021B" w:rsidRPr="0045457B">
                          <w:rPr>
                            <w:b/>
                            <w:color w:val="FFFFFF"/>
                            <w:sz w:val="36"/>
                          </w:rPr>
                          <w:t xml:space="preserve"> Accommodation</w:t>
                        </w:r>
                        <w:r w:rsidR="0013021B" w:rsidRPr="0045457B">
                          <w:rPr>
                            <w:b/>
                            <w:bCs/>
                            <w:i/>
                            <w:iCs/>
                            <w:color w:val="FFFFFF" w:themeColor="background1"/>
                            <w:sz w:val="36"/>
                            <w:szCs w:val="36"/>
                          </w:rPr>
                          <w:t xml:space="preserve"> </w:t>
                        </w:r>
                        <w:r w:rsidR="00F72900">
                          <w:rPr>
                            <w:b/>
                            <w:color w:val="FFFFFF"/>
                            <w:sz w:val="36"/>
                          </w:rPr>
                          <w:t>W</w:t>
                        </w:r>
                        <w:r w:rsidR="0013021B">
                          <w:rPr>
                            <w:b/>
                            <w:color w:val="FFFFFF"/>
                            <w:spacing w:val="-2"/>
                            <w:sz w:val="36"/>
                          </w:rPr>
                          <w:t>orks</w:t>
                        </w:r>
                      </w:p>
                    </w:txbxContent>
                  </v:textbox>
                </v:shape>
                <w10:wrap type="topAndBottom" anchorx="page"/>
              </v:group>
            </w:pict>
          </mc:Fallback>
        </mc:AlternateContent>
      </w:r>
    </w:p>
    <w:p w14:paraId="0915CA7E" w14:textId="27F85844" w:rsidR="0013021B" w:rsidRDefault="0013021B" w:rsidP="009F7C75">
      <w:pPr>
        <w:ind w:right="120"/>
        <w:jc w:val="both"/>
      </w:pPr>
      <w:r>
        <w:t>Amendments</w:t>
      </w:r>
      <w:r>
        <w:rPr>
          <w:spacing w:val="-3"/>
        </w:rPr>
        <w:t xml:space="preserve"> </w:t>
      </w:r>
      <w:r>
        <w:t>were</w:t>
      </w:r>
      <w:r>
        <w:rPr>
          <w:spacing w:val="-4"/>
        </w:rPr>
        <w:t xml:space="preserve"> </w:t>
      </w:r>
      <w:r>
        <w:t>made</w:t>
      </w:r>
      <w:r>
        <w:rPr>
          <w:spacing w:val="-2"/>
        </w:rPr>
        <w:t xml:space="preserve"> </w:t>
      </w:r>
      <w:r>
        <w:t>to</w:t>
      </w:r>
      <w:r>
        <w:rPr>
          <w:spacing w:val="-2"/>
        </w:rPr>
        <w:t xml:space="preserve"> </w:t>
      </w:r>
      <w:r>
        <w:t>the</w:t>
      </w:r>
      <w:r>
        <w:rPr>
          <w:spacing w:val="-2"/>
        </w:rPr>
        <w:t xml:space="preserve"> </w:t>
      </w:r>
      <w:r>
        <w:rPr>
          <w:i/>
        </w:rPr>
        <w:t>Transport</w:t>
      </w:r>
      <w:r>
        <w:rPr>
          <w:i/>
          <w:spacing w:val="-2"/>
        </w:rPr>
        <w:t xml:space="preserve"> </w:t>
      </w:r>
      <w:r>
        <w:rPr>
          <w:i/>
        </w:rPr>
        <w:t>Infrastructure</w:t>
      </w:r>
      <w:r>
        <w:rPr>
          <w:i/>
          <w:spacing w:val="-4"/>
        </w:rPr>
        <w:t xml:space="preserve"> </w:t>
      </w:r>
      <w:r>
        <w:rPr>
          <w:i/>
        </w:rPr>
        <w:t>Act</w:t>
      </w:r>
      <w:r>
        <w:rPr>
          <w:i/>
          <w:spacing w:val="-5"/>
        </w:rPr>
        <w:t xml:space="preserve"> </w:t>
      </w:r>
      <w:r>
        <w:rPr>
          <w:i/>
        </w:rPr>
        <w:t>1994</w:t>
      </w:r>
      <w:r>
        <w:rPr>
          <w:i/>
          <w:spacing w:val="-3"/>
        </w:rPr>
        <w:t xml:space="preserve"> </w:t>
      </w:r>
      <w:r>
        <w:t>to</w:t>
      </w:r>
      <w:r>
        <w:rPr>
          <w:spacing w:val="-4"/>
        </w:rPr>
        <w:t xml:space="preserve"> </w:t>
      </w:r>
      <w:r>
        <w:t>clarify</w:t>
      </w:r>
      <w:r>
        <w:rPr>
          <w:spacing w:val="-3"/>
        </w:rPr>
        <w:t xml:space="preserve"> </w:t>
      </w:r>
      <w:r>
        <w:t>the</w:t>
      </w:r>
      <w:r>
        <w:rPr>
          <w:spacing w:val="-4"/>
        </w:rPr>
        <w:t xml:space="preserve"> </w:t>
      </w:r>
      <w:r>
        <w:t>process</w:t>
      </w:r>
      <w:r>
        <w:rPr>
          <w:spacing w:val="-5"/>
        </w:rPr>
        <w:t xml:space="preserve"> </w:t>
      </w:r>
      <w:r>
        <w:t>by which TMR can access private land to make good</w:t>
      </w:r>
      <w:r w:rsidR="00E713FE">
        <w:t xml:space="preserve"> the</w:t>
      </w:r>
      <w:r>
        <w:t xml:space="preserve"> impacts from construction, known as </w:t>
      </w:r>
      <w:proofErr w:type="gramStart"/>
      <w:r>
        <w:t>accommodation</w:t>
      </w:r>
      <w:proofErr w:type="gramEnd"/>
      <w:r>
        <w:t xml:space="preserve"> works for rail infrastructure projects. Examples of accommodation works include reinstating fencing, gardens or driveways or reconnecting services. The amendments clarify notification and consultation requirements for landowners in a</w:t>
      </w:r>
      <w:r w:rsidR="00C8230E">
        <w:t xml:space="preserve"> </w:t>
      </w:r>
      <w:r>
        <w:t>streamlined process and replace the need to negotiate access agreements with each landowner. The amendments provide greater certainty and deliver cost and time savings for</w:t>
      </w:r>
      <w:r>
        <w:rPr>
          <w:spacing w:val="-4"/>
        </w:rPr>
        <w:t xml:space="preserve"> </w:t>
      </w:r>
      <w:r>
        <w:t>landowners</w:t>
      </w:r>
      <w:r>
        <w:rPr>
          <w:spacing w:val="-5"/>
        </w:rPr>
        <w:t xml:space="preserve"> </w:t>
      </w:r>
      <w:r>
        <w:t>and</w:t>
      </w:r>
      <w:r>
        <w:rPr>
          <w:spacing w:val="-4"/>
        </w:rPr>
        <w:t xml:space="preserve"> </w:t>
      </w:r>
      <w:r>
        <w:t>TMR</w:t>
      </w:r>
      <w:r>
        <w:rPr>
          <w:spacing w:val="-3"/>
        </w:rPr>
        <w:t xml:space="preserve"> </w:t>
      </w:r>
      <w:r>
        <w:t>in</w:t>
      </w:r>
      <w:r>
        <w:rPr>
          <w:spacing w:val="-2"/>
        </w:rPr>
        <w:t xml:space="preserve"> </w:t>
      </w:r>
      <w:r>
        <w:t>delivering</w:t>
      </w:r>
      <w:r>
        <w:rPr>
          <w:spacing w:val="-4"/>
        </w:rPr>
        <w:t xml:space="preserve"> </w:t>
      </w:r>
      <w:r>
        <w:t>accommodation</w:t>
      </w:r>
      <w:r>
        <w:rPr>
          <w:spacing w:val="-2"/>
        </w:rPr>
        <w:t xml:space="preserve"> </w:t>
      </w:r>
      <w:r>
        <w:t>works</w:t>
      </w:r>
      <w:r>
        <w:rPr>
          <w:spacing w:val="-3"/>
        </w:rPr>
        <w:t xml:space="preserve"> </w:t>
      </w:r>
      <w:r>
        <w:t>to</w:t>
      </w:r>
      <w:r>
        <w:rPr>
          <w:spacing w:val="-4"/>
        </w:rPr>
        <w:t xml:space="preserve"> </w:t>
      </w:r>
      <w:r>
        <w:t>deal</w:t>
      </w:r>
      <w:r>
        <w:rPr>
          <w:spacing w:val="-3"/>
        </w:rPr>
        <w:t xml:space="preserve"> </w:t>
      </w:r>
      <w:r>
        <w:t>with</w:t>
      </w:r>
      <w:r>
        <w:rPr>
          <w:spacing w:val="-2"/>
        </w:rPr>
        <w:t xml:space="preserve"> </w:t>
      </w:r>
      <w:r>
        <w:t>the</w:t>
      </w:r>
      <w:r>
        <w:rPr>
          <w:spacing w:val="-4"/>
        </w:rPr>
        <w:t xml:space="preserve"> </w:t>
      </w:r>
      <w:r>
        <w:t>construction impacts of projects.</w:t>
      </w:r>
    </w:p>
    <w:p w14:paraId="14EC91BA" w14:textId="529F5433" w:rsidR="001F08BE" w:rsidRDefault="001F08BE">
      <w:pPr>
        <w:spacing w:after="160" w:line="259" w:lineRule="auto"/>
      </w:pPr>
      <w:r>
        <w:br w:type="page"/>
      </w:r>
    </w:p>
    <w:p w14:paraId="0DF55052" w14:textId="2E0E1C7C" w:rsidR="00961C30" w:rsidRPr="00A76CA0" w:rsidRDefault="00A534A5" w:rsidP="00961C30">
      <w:pPr>
        <w:spacing w:line="260" w:lineRule="atLeast"/>
        <w:ind w:right="120"/>
        <w:rPr>
          <w:sz w:val="36"/>
          <w:szCs w:val="32"/>
        </w:rPr>
      </w:pPr>
      <w:r w:rsidRPr="006D6182">
        <w:rPr>
          <w:noProof/>
        </w:rPr>
        <w:lastRenderedPageBreak/>
        <mc:AlternateContent>
          <mc:Choice Requires="wps">
            <w:drawing>
              <wp:anchor distT="0" distB="0" distL="114300" distR="114300" simplePos="0" relativeHeight="251675136" behindDoc="0" locked="0" layoutInCell="1" allowOverlap="1" wp14:anchorId="167A13EE" wp14:editId="5B4CABEE">
                <wp:simplePos x="0" y="0"/>
                <wp:positionH relativeFrom="margin">
                  <wp:posOffset>-11430</wp:posOffset>
                </wp:positionH>
                <wp:positionV relativeFrom="paragraph">
                  <wp:posOffset>57785</wp:posOffset>
                </wp:positionV>
                <wp:extent cx="3225600" cy="621102"/>
                <wp:effectExtent l="0" t="0" r="0" b="7620"/>
                <wp:wrapTopAndBottom/>
                <wp:docPr id="102473203" name="Arrow: Pentagon 102473203"/>
                <wp:cNvGraphicFramePr/>
                <a:graphic xmlns:a="http://schemas.openxmlformats.org/drawingml/2006/main">
                  <a:graphicData uri="http://schemas.microsoft.com/office/word/2010/wordprocessingShape">
                    <wps:wsp>
                      <wps:cNvSpPr/>
                      <wps:spPr>
                        <a:xfrm>
                          <a:off x="0" y="0"/>
                          <a:ext cx="3225600" cy="621102"/>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09CB" w14:textId="374EA80A" w:rsidR="00A534A5" w:rsidRPr="00F72900" w:rsidRDefault="00A534A5" w:rsidP="00A534A5">
                            <w:pPr>
                              <w:rPr>
                                <w:i/>
                                <w:iCs/>
                              </w:rPr>
                            </w:pPr>
                            <w:r w:rsidRPr="00F72900">
                              <w:rPr>
                                <w:b/>
                                <w:bCs/>
                                <w:i/>
                                <w:iCs/>
                                <w:color w:val="FFFFFF" w:themeColor="background1"/>
                                <w:sz w:val="36"/>
                                <w:szCs w:val="36"/>
                              </w:rPr>
                              <w:t>Tow Truck Act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7A13EE" id="Arrow: Pentagon 102473203" o:spid="_x0000_s1035" type="#_x0000_t15" style="position:absolute;margin-left:-.9pt;margin-top:4.55pt;width:254pt;height:48.9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" adj="19520" fillcolor="#003e69 [3204]" stroked="f" strokeweight="1pt">
                <v:textbox>
                  <w:txbxContent>
                    <w:p w14:paraId="141C09CB" w14:textId="374EA80A" w:rsidR="00A534A5" w:rsidRPr="00F72900" w:rsidRDefault="00A534A5" w:rsidP="00A534A5">
                      <w:pPr>
                        <w:rPr>
                          <w:i/>
                          <w:iCs/>
                        </w:rPr>
                      </w:pPr>
                      <w:r w:rsidRPr="00F72900">
                        <w:rPr>
                          <w:b/>
                          <w:bCs/>
                          <w:i/>
                          <w:iCs/>
                          <w:color w:val="FFFFFF" w:themeColor="background1"/>
                          <w:sz w:val="36"/>
                          <w:szCs w:val="36"/>
                        </w:rPr>
                        <w:t>Tow Truck Act 2023</w:t>
                      </w:r>
                    </w:p>
                  </w:txbxContent>
                </v:textbox>
                <w10:wrap type="topAndBottom" anchorx="margin"/>
              </v:shape>
            </w:pict>
          </mc:Fallback>
        </mc:AlternateContent>
      </w:r>
    </w:p>
    <w:p w14:paraId="474AA75E" w14:textId="276CA4A7" w:rsidR="00A57DAE" w:rsidRPr="00A536F6" w:rsidRDefault="00A57DAE" w:rsidP="00FF5F29">
      <w:pPr>
        <w:pStyle w:val="BodyText"/>
        <w:shd w:val="clear" w:color="auto" w:fill="FFFFFF" w:themeFill="background1"/>
        <w:ind w:right="120"/>
        <w:jc w:val="both"/>
      </w:pPr>
      <w:r w:rsidRPr="00A536F6">
        <w:t xml:space="preserve">On 26 October 2023, the Queensland Parliament passed the </w:t>
      </w:r>
      <w:r w:rsidRPr="00A536F6">
        <w:rPr>
          <w:i/>
          <w:iCs/>
        </w:rPr>
        <w:t>Tow Truck Act 2023</w:t>
      </w:r>
      <w:r w:rsidRPr="00A536F6">
        <w:t xml:space="preserve"> replacing the </w:t>
      </w:r>
      <w:r w:rsidRPr="00A536F6">
        <w:rPr>
          <w:i/>
          <w:iCs/>
        </w:rPr>
        <w:t xml:space="preserve">Tow Truck Act 1973 </w:t>
      </w:r>
      <w:r w:rsidRPr="00A536F6">
        <w:t xml:space="preserve">(1973 Act). </w:t>
      </w:r>
    </w:p>
    <w:p w14:paraId="1603AA20" w14:textId="77777777" w:rsidR="00A57DAE" w:rsidRPr="00A536F6" w:rsidRDefault="00A57DAE" w:rsidP="00FF5F29">
      <w:pPr>
        <w:pStyle w:val="BodyText"/>
        <w:shd w:val="clear" w:color="auto" w:fill="FFFFFF" w:themeFill="background1"/>
        <w:ind w:right="120"/>
        <w:jc w:val="both"/>
      </w:pPr>
    </w:p>
    <w:p w14:paraId="25A25376" w14:textId="5CFCD20D" w:rsidR="00A57DAE" w:rsidRPr="00A536F6" w:rsidRDefault="00A57DAE" w:rsidP="00FF5F29">
      <w:pPr>
        <w:pStyle w:val="BodyText"/>
        <w:shd w:val="clear" w:color="auto" w:fill="FFFFFF" w:themeFill="background1"/>
        <w:ind w:right="120"/>
        <w:jc w:val="both"/>
      </w:pPr>
      <w:r w:rsidRPr="00A536F6">
        <w:t xml:space="preserve">Following the release of the </w:t>
      </w:r>
      <w:r w:rsidRPr="00A536F6">
        <w:rPr>
          <w:i/>
          <w:iCs/>
        </w:rPr>
        <w:t xml:space="preserve">Independent Investigation into the Towing Industry: Removal of Vehicles from Private Property, </w:t>
      </w:r>
      <w:r w:rsidRPr="00A536F6">
        <w:t xml:space="preserve">TMR committed to reviewing the 1973 Act and the </w:t>
      </w:r>
      <w:r w:rsidR="006A7D3F" w:rsidRPr="000863BC">
        <w:rPr>
          <w:i/>
          <w:iCs/>
        </w:rPr>
        <w:t xml:space="preserve">Tow Truck Regulation </w:t>
      </w:r>
      <w:r w:rsidRPr="000863BC">
        <w:rPr>
          <w:i/>
          <w:iCs/>
        </w:rPr>
        <w:t>2009</w:t>
      </w:r>
      <w:r w:rsidRPr="00A536F6">
        <w:t xml:space="preserve"> to:</w:t>
      </w:r>
    </w:p>
    <w:p w14:paraId="5F68946E" w14:textId="2F20487B" w:rsidR="00A57DAE" w:rsidRPr="00A536F6" w:rsidRDefault="00A57DAE" w:rsidP="00FF5F29">
      <w:pPr>
        <w:pStyle w:val="ListBullet"/>
        <w:ind w:right="120"/>
        <w:jc w:val="both"/>
      </w:pPr>
      <w:r w:rsidRPr="00A536F6">
        <w:t xml:space="preserve">ensure the broader regulatory framework is simple, precise and </w:t>
      </w:r>
      <w:proofErr w:type="gramStart"/>
      <w:r w:rsidRPr="00A536F6">
        <w:t>accessible</w:t>
      </w:r>
      <w:proofErr w:type="gramEnd"/>
    </w:p>
    <w:p w14:paraId="4A133380" w14:textId="234D88CA" w:rsidR="00A57DAE" w:rsidRPr="00A536F6" w:rsidRDefault="00A57DAE" w:rsidP="00FF5F29">
      <w:pPr>
        <w:pStyle w:val="ListBullet"/>
        <w:ind w:right="120"/>
        <w:jc w:val="both"/>
      </w:pPr>
      <w:r w:rsidRPr="00A536F6">
        <w:t>ensure that, in relation to the towing services and geographic areas covered by the legislation, the regulatory framework is appropriately targeted</w:t>
      </w:r>
      <w:r w:rsidR="004F77A4">
        <w:t>,</w:t>
      </w:r>
      <w:r w:rsidRPr="00A536F6">
        <w:t xml:space="preserve"> and</w:t>
      </w:r>
    </w:p>
    <w:p w14:paraId="5DAB92C9" w14:textId="77777777" w:rsidR="00A57DAE" w:rsidRPr="00A536F6" w:rsidRDefault="00A57DAE" w:rsidP="00FF5F29">
      <w:pPr>
        <w:pStyle w:val="ListBullet"/>
        <w:ind w:right="120"/>
        <w:jc w:val="both"/>
      </w:pPr>
      <w:r w:rsidRPr="00A536F6">
        <w:t>review all offence penalties to ensure they reflect the seriousness of the relevant offences.</w:t>
      </w:r>
    </w:p>
    <w:p w14:paraId="1A2B0855" w14:textId="77777777" w:rsidR="00A57DAE" w:rsidRPr="00A536F6" w:rsidRDefault="00A57DAE" w:rsidP="00FF5F29">
      <w:pPr>
        <w:ind w:right="120"/>
        <w:jc w:val="both"/>
      </w:pPr>
    </w:p>
    <w:p w14:paraId="7FEB5A26" w14:textId="77777777" w:rsidR="00A57DAE" w:rsidRDefault="00A57DAE" w:rsidP="00FF5F29">
      <w:pPr>
        <w:ind w:right="120"/>
        <w:jc w:val="both"/>
      </w:pPr>
      <w:r w:rsidRPr="00A536F6">
        <w:t xml:space="preserve">In 2019, a comprehensive review of Queensland’s tow truck scheme and the governing legislation was conducted by TMR. The </w:t>
      </w:r>
      <w:r w:rsidRPr="00A536F6">
        <w:rPr>
          <w:i/>
          <w:iCs/>
        </w:rPr>
        <w:t>Tow Truck Act 2023</w:t>
      </w:r>
      <w:r w:rsidRPr="00A536F6">
        <w:t xml:space="preserve"> gives effect to the findings of the review by delivering a more modern tow truck scheme in Queensland, designed to improve road safety and deliver improved outcomes for motorists, property owners and industry professionals.</w:t>
      </w:r>
      <w:r>
        <w:t xml:space="preserve"> </w:t>
      </w:r>
    </w:p>
    <w:p w14:paraId="77EA2F77" w14:textId="6E2BE3DC" w:rsidR="001F08BE" w:rsidRDefault="001F08BE">
      <w:pPr>
        <w:spacing w:after="160" w:line="259" w:lineRule="auto"/>
      </w:pPr>
      <w:r>
        <w:br w:type="page"/>
      </w:r>
    </w:p>
    <w:p w14:paraId="38F3C547" w14:textId="528D1A57" w:rsidR="0042710A" w:rsidRDefault="00194AFB" w:rsidP="00FF5F29">
      <w:pPr>
        <w:pStyle w:val="Heading2"/>
        <w:ind w:right="120"/>
        <w:rPr>
          <w:rFonts w:eastAsia="Times New Roman" w:cs="Times New Roman"/>
          <w:szCs w:val="24"/>
          <w:lang w:eastAsia="en-AU"/>
        </w:rPr>
      </w:pPr>
      <w:bookmarkStart w:id="14" w:name="_Toc184395460"/>
      <w:bookmarkStart w:id="15" w:name="_Toc185328310"/>
      <w:r w:rsidRPr="00194AFB">
        <w:lastRenderedPageBreak/>
        <w:t xml:space="preserve">Consult and engage meaningfully with </w:t>
      </w:r>
      <w:proofErr w:type="gramStart"/>
      <w:r w:rsidRPr="00194AFB">
        <w:t>stakeholders</w:t>
      </w:r>
      <w:bookmarkEnd w:id="14"/>
      <w:bookmarkEnd w:id="15"/>
      <w:proofErr w:type="gramEnd"/>
    </w:p>
    <w:p w14:paraId="67722A13" w14:textId="77777777" w:rsidR="000F4982" w:rsidRPr="006E024F" w:rsidRDefault="000F4982" w:rsidP="00FF5F29">
      <w:pPr>
        <w:ind w:right="120"/>
      </w:pPr>
      <w:r w:rsidRPr="006D6182">
        <w:rPr>
          <w:noProof/>
        </w:rPr>
        <mc:AlternateContent>
          <mc:Choice Requires="wps">
            <w:drawing>
              <wp:anchor distT="0" distB="0" distL="114300" distR="114300" simplePos="0" relativeHeight="251658752" behindDoc="0" locked="0" layoutInCell="1" allowOverlap="1" wp14:anchorId="21C517F6" wp14:editId="28E71B13">
                <wp:simplePos x="0" y="0"/>
                <wp:positionH relativeFrom="margin">
                  <wp:posOffset>28575</wp:posOffset>
                </wp:positionH>
                <wp:positionV relativeFrom="paragraph">
                  <wp:posOffset>260350</wp:posOffset>
                </wp:positionV>
                <wp:extent cx="3225600" cy="621102"/>
                <wp:effectExtent l="0" t="0" r="0" b="7620"/>
                <wp:wrapTopAndBottom/>
                <wp:docPr id="2076199810" name="Arrow: Pentagon 2076199810"/>
                <wp:cNvGraphicFramePr/>
                <a:graphic xmlns:a="http://schemas.openxmlformats.org/drawingml/2006/main">
                  <a:graphicData uri="http://schemas.microsoft.com/office/word/2010/wordprocessingShape">
                    <wps:wsp>
                      <wps:cNvSpPr/>
                      <wps:spPr>
                        <a:xfrm>
                          <a:off x="0" y="0"/>
                          <a:ext cx="3225600" cy="621102"/>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4AEC4" w14:textId="77777777" w:rsidR="000F4982" w:rsidRDefault="000F4982" w:rsidP="000F4982">
                            <w:r>
                              <w:rPr>
                                <w:b/>
                                <w:bCs/>
                                <w:color w:val="FFFFFF" w:themeColor="background1"/>
                                <w:sz w:val="36"/>
                                <w:szCs w:val="36"/>
                              </w:rPr>
                              <w:t xml:space="preserve">Passenger </w:t>
                            </w:r>
                            <w:r w:rsidRPr="00381476">
                              <w:rPr>
                                <w:b/>
                                <w:bCs/>
                                <w:color w:val="FFFFFF" w:themeColor="background1"/>
                                <w:sz w:val="36"/>
                                <w:szCs w:val="36"/>
                              </w:rPr>
                              <w:t>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C517F6" id="Arrow: Pentagon 2076199810" o:spid="_x0000_s1036" type="#_x0000_t15" style="position:absolute;margin-left:2.25pt;margin-top:20.5pt;width:254pt;height:48.9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" adj="19520" fillcolor="#003e69 [3204]" stroked="f" strokeweight="1pt">
                <v:textbox>
                  <w:txbxContent>
                    <w:p w14:paraId="47A4AEC4" w14:textId="77777777" w:rsidR="000F4982" w:rsidRDefault="000F4982" w:rsidP="000F4982">
                      <w:r>
                        <w:rPr>
                          <w:b/>
                          <w:bCs/>
                          <w:color w:val="FFFFFF" w:themeColor="background1"/>
                          <w:sz w:val="36"/>
                          <w:szCs w:val="36"/>
                        </w:rPr>
                        <w:t xml:space="preserve">Passenger </w:t>
                      </w:r>
                      <w:r w:rsidRPr="00381476">
                        <w:rPr>
                          <w:b/>
                          <w:bCs/>
                          <w:color w:val="FFFFFF" w:themeColor="background1"/>
                          <w:sz w:val="36"/>
                          <w:szCs w:val="36"/>
                        </w:rPr>
                        <w:t>Transport</w:t>
                      </w:r>
                    </w:p>
                  </w:txbxContent>
                </v:textbox>
                <w10:wrap type="topAndBottom" anchorx="margin"/>
              </v:shape>
            </w:pict>
          </mc:Fallback>
        </mc:AlternateContent>
      </w:r>
    </w:p>
    <w:p w14:paraId="7E8569C7" w14:textId="77777777" w:rsidR="005D1A10" w:rsidRPr="006D6182" w:rsidRDefault="005D1A10" w:rsidP="00FF5F29">
      <w:pPr>
        <w:pStyle w:val="BodyText"/>
        <w:shd w:val="clear" w:color="auto" w:fill="FFFFFF" w:themeFill="background1"/>
        <w:spacing w:before="360"/>
        <w:ind w:right="120"/>
        <w:rPr>
          <w:b/>
          <w:bCs/>
          <w:i/>
          <w:iCs/>
        </w:rPr>
      </w:pPr>
      <w:r w:rsidRPr="006D6182">
        <w:rPr>
          <w:b/>
          <w:bCs/>
          <w:i/>
          <w:iCs/>
        </w:rPr>
        <w:t xml:space="preserve">Accessibility Reference Group </w:t>
      </w:r>
    </w:p>
    <w:p w14:paraId="5F37F2B3" w14:textId="77777777" w:rsidR="005D1A10" w:rsidRPr="006D6182" w:rsidRDefault="005D1A10" w:rsidP="00FF5F29">
      <w:pPr>
        <w:pStyle w:val="BodyText"/>
        <w:shd w:val="clear" w:color="auto" w:fill="FFFFFF" w:themeFill="background1"/>
        <w:ind w:right="120"/>
        <w:jc w:val="both"/>
      </w:pPr>
      <w:r w:rsidRPr="006D6182">
        <w:t xml:space="preserve">TMR's Accessibility Reference Group meets five times each calendar year and provides a forum for government, industry, and representatives from the disability sector to discuss concerns relating to the accessibility of the Queensland passenger transport network for people with disability. </w:t>
      </w:r>
    </w:p>
    <w:p w14:paraId="00669D2A" w14:textId="77777777" w:rsidR="005D1A10" w:rsidRPr="006D6182" w:rsidRDefault="005D1A10" w:rsidP="00FF5F29">
      <w:pPr>
        <w:ind w:right="120"/>
        <w:jc w:val="both"/>
      </w:pPr>
    </w:p>
    <w:p w14:paraId="172BFBDC" w14:textId="73F4390B" w:rsidR="00D52057" w:rsidRDefault="005D1A10" w:rsidP="00FF5F29">
      <w:pPr>
        <w:pStyle w:val="BodyText"/>
        <w:shd w:val="clear" w:color="auto" w:fill="FFFFFF" w:themeFill="background1"/>
        <w:ind w:right="120"/>
        <w:jc w:val="both"/>
      </w:pPr>
      <w:r w:rsidRPr="006D6182">
        <w:t xml:space="preserve">The Accessibility Reference Group met in July, </w:t>
      </w:r>
      <w:proofErr w:type="gramStart"/>
      <w:r w:rsidRPr="006D6182">
        <w:t>October</w:t>
      </w:r>
      <w:proofErr w:type="gramEnd"/>
      <w:r w:rsidRPr="006D6182">
        <w:t xml:space="preserve"> and December 2023 and again in February and April 2024. Key topics discussed at these meetings included: </w:t>
      </w:r>
    </w:p>
    <w:p w14:paraId="6BA4953E" w14:textId="77777777" w:rsidR="001F08BE" w:rsidRPr="001F08BE" w:rsidRDefault="001F08BE" w:rsidP="001F08BE"/>
    <w:p w14:paraId="787FA5FE" w14:textId="1F67049D" w:rsidR="005D1A10" w:rsidRPr="006D6182" w:rsidRDefault="005D1A10" w:rsidP="00FF5F29">
      <w:pPr>
        <w:pStyle w:val="ListBullet"/>
        <w:ind w:right="120"/>
        <w:jc w:val="both"/>
      </w:pPr>
      <w:r w:rsidRPr="006D6182">
        <w:rPr>
          <w:rFonts w:eastAsia="Arial" w:cs="Arial"/>
          <w:szCs w:val="24"/>
        </w:rPr>
        <w:t>Queensland Train Manufacturing Program and New Generation Rollingstock update</w:t>
      </w:r>
    </w:p>
    <w:p w14:paraId="540FFD6E" w14:textId="2C99B2A4" w:rsidR="005D1A10" w:rsidRPr="006D6182" w:rsidRDefault="005D1A10" w:rsidP="00FF5F29">
      <w:pPr>
        <w:pStyle w:val="ListBullet"/>
        <w:ind w:right="120"/>
        <w:jc w:val="both"/>
        <w:rPr>
          <w:rFonts w:eastAsia="Arial" w:cs="Arial"/>
          <w:szCs w:val="24"/>
          <w:lang w:val="en-US"/>
        </w:rPr>
      </w:pPr>
      <w:proofErr w:type="spellStart"/>
      <w:r w:rsidRPr="006D6182">
        <w:rPr>
          <w:rFonts w:eastAsia="Arial" w:cs="Arial"/>
          <w:szCs w:val="24"/>
          <w:lang w:val="en-US"/>
        </w:rPr>
        <w:t>Personalised</w:t>
      </w:r>
      <w:proofErr w:type="spellEnd"/>
      <w:r w:rsidRPr="006D6182">
        <w:rPr>
          <w:rFonts w:eastAsia="Arial" w:cs="Arial"/>
          <w:szCs w:val="24"/>
          <w:lang w:val="en-US"/>
        </w:rPr>
        <w:t xml:space="preserve"> Transport Accessibility, including updates from the Accessible Taxi Services Working Group</w:t>
      </w:r>
    </w:p>
    <w:p w14:paraId="047A3E0E" w14:textId="64DDD0A2" w:rsidR="005D1A10" w:rsidRPr="006D6182" w:rsidRDefault="005D1A10" w:rsidP="00FF5F29">
      <w:pPr>
        <w:pStyle w:val="ListBullet"/>
        <w:ind w:right="120"/>
      </w:pPr>
      <w:r w:rsidRPr="006D6182">
        <w:rPr>
          <w:rFonts w:eastAsia="Arial" w:cs="Arial"/>
          <w:szCs w:val="24"/>
          <w:lang w:val="en-US"/>
        </w:rPr>
        <w:t>The Practical Driving Test Assessment</w:t>
      </w:r>
    </w:p>
    <w:p w14:paraId="60AB5170" w14:textId="4A817E79" w:rsidR="005D1A10" w:rsidRPr="006D6182" w:rsidRDefault="005D1A10" w:rsidP="00FF5F29">
      <w:pPr>
        <w:pStyle w:val="ListBullet"/>
        <w:ind w:right="120"/>
        <w:rPr>
          <w:rFonts w:eastAsia="Arial" w:cs="Arial"/>
          <w:szCs w:val="24"/>
          <w:lang w:val="en-US"/>
        </w:rPr>
      </w:pPr>
      <w:r w:rsidRPr="006D6182">
        <w:rPr>
          <w:rFonts w:eastAsia="Arial" w:cs="Arial"/>
          <w:szCs w:val="24"/>
          <w:lang w:val="en-US"/>
        </w:rPr>
        <w:t>Bus all door boarding</w:t>
      </w:r>
    </w:p>
    <w:p w14:paraId="276011ED" w14:textId="2E474D5B" w:rsidR="005D1A10" w:rsidRPr="006D6182" w:rsidRDefault="005D1A10" w:rsidP="00FF5F29">
      <w:pPr>
        <w:pStyle w:val="ListBullet"/>
        <w:ind w:right="120"/>
      </w:pPr>
      <w:r w:rsidRPr="006D6182">
        <w:rPr>
          <w:rFonts w:eastAsia="Arial" w:cs="Arial"/>
          <w:szCs w:val="24"/>
        </w:rPr>
        <w:t>Direct Sunshine Coas</w:t>
      </w:r>
      <w:r w:rsidR="00CD1D72">
        <w:rPr>
          <w:rFonts w:eastAsia="Arial" w:cs="Arial"/>
          <w:szCs w:val="24"/>
        </w:rPr>
        <w:t>t</w:t>
      </w:r>
      <w:r w:rsidRPr="006D6182">
        <w:rPr>
          <w:rFonts w:eastAsia="Arial" w:cs="Arial"/>
          <w:szCs w:val="24"/>
        </w:rPr>
        <w:t xml:space="preserve"> Rail Line</w:t>
      </w:r>
    </w:p>
    <w:p w14:paraId="2B9C7B94" w14:textId="0857C623" w:rsidR="005D1A10" w:rsidRPr="006D6182" w:rsidRDefault="005D1A10" w:rsidP="00FF5F29">
      <w:pPr>
        <w:pStyle w:val="ListBullet"/>
        <w:ind w:right="120"/>
      </w:pPr>
      <w:r w:rsidRPr="006D6182">
        <w:rPr>
          <w:rFonts w:eastAsia="Arial" w:cs="Arial"/>
          <w:szCs w:val="24"/>
          <w:lang w:val="en-US"/>
        </w:rPr>
        <w:t>TMR Disability Action Plan</w:t>
      </w:r>
    </w:p>
    <w:p w14:paraId="2D3DA55F" w14:textId="27C6A49B" w:rsidR="005D1A10" w:rsidRPr="006D6182" w:rsidRDefault="005D1A10" w:rsidP="00FF5F29">
      <w:pPr>
        <w:pStyle w:val="ListBullet"/>
        <w:ind w:right="120"/>
      </w:pPr>
      <w:r w:rsidRPr="006D6182">
        <w:rPr>
          <w:rFonts w:eastAsia="Arial" w:cs="Arial"/>
          <w:szCs w:val="24"/>
          <w:lang w:val="en-US"/>
        </w:rPr>
        <w:t>NDIS Review</w:t>
      </w:r>
    </w:p>
    <w:p w14:paraId="30FE07BA" w14:textId="179278B9" w:rsidR="005D1A10" w:rsidRPr="006D6182" w:rsidRDefault="005D1A10" w:rsidP="00FF5F29">
      <w:pPr>
        <w:pStyle w:val="ListBullet"/>
        <w:ind w:right="120"/>
      </w:pPr>
      <w:r w:rsidRPr="006D6182">
        <w:t>Specialist Sch</w:t>
      </w:r>
      <w:r w:rsidR="000507D0">
        <w:t>o</w:t>
      </w:r>
      <w:r w:rsidRPr="006D6182">
        <w:t>ol Transport</w:t>
      </w:r>
    </w:p>
    <w:p w14:paraId="1C7B38B9" w14:textId="77777777" w:rsidR="005D1A10" w:rsidRPr="006D6182" w:rsidRDefault="005D1A10" w:rsidP="00FF5F29">
      <w:pPr>
        <w:pStyle w:val="ListBullet"/>
        <w:ind w:right="120"/>
      </w:pPr>
      <w:r w:rsidRPr="006D6182">
        <w:t>Taxi Subsidy Scheme</w:t>
      </w:r>
    </w:p>
    <w:p w14:paraId="3E3BD5FE" w14:textId="77777777" w:rsidR="005D1A10" w:rsidRPr="006D6182" w:rsidRDefault="005D1A10" w:rsidP="00FF5F29">
      <w:pPr>
        <w:pStyle w:val="ListBullet"/>
        <w:ind w:right="120"/>
      </w:pPr>
      <w:r w:rsidRPr="006D6182">
        <w:t>Rail and Transit Legibility Program</w:t>
      </w:r>
    </w:p>
    <w:p w14:paraId="188D4160" w14:textId="77777777" w:rsidR="005D1A10" w:rsidRPr="006D6182" w:rsidRDefault="005D1A10" w:rsidP="00FF5F29">
      <w:pPr>
        <w:pStyle w:val="ListBullet"/>
        <w:ind w:right="120"/>
      </w:pPr>
      <w:r w:rsidRPr="006D6182">
        <w:t>Zero Emission Buses</w:t>
      </w:r>
    </w:p>
    <w:p w14:paraId="7E11BA04" w14:textId="77777777" w:rsidR="005D1A10" w:rsidRPr="006D6182" w:rsidRDefault="005D1A10" w:rsidP="00FF5F29">
      <w:pPr>
        <w:pStyle w:val="ListBullet"/>
        <w:ind w:right="120"/>
        <w:rPr>
          <w:rFonts w:eastAsia="Arial" w:cs="Arial"/>
          <w:szCs w:val="24"/>
          <w:lang w:val="en-US"/>
        </w:rPr>
      </w:pPr>
      <w:r w:rsidRPr="006D6182">
        <w:rPr>
          <w:rFonts w:eastAsia="Arial" w:cs="Arial"/>
          <w:szCs w:val="24"/>
          <w:lang w:val="en-US"/>
        </w:rPr>
        <w:t>Electric Vehicles Charging Stations</w:t>
      </w:r>
    </w:p>
    <w:p w14:paraId="091A29DC" w14:textId="77777777" w:rsidR="005D1A10" w:rsidRPr="006D6182" w:rsidRDefault="005D1A10" w:rsidP="00FF5F29">
      <w:pPr>
        <w:pStyle w:val="ListBullet"/>
        <w:ind w:right="120"/>
      </w:pPr>
      <w:r w:rsidRPr="006D6182">
        <w:t>Digital Licence app</w:t>
      </w:r>
    </w:p>
    <w:p w14:paraId="4BC4A0E2" w14:textId="77777777" w:rsidR="005D1A10" w:rsidRPr="006D6182" w:rsidRDefault="005D1A10" w:rsidP="00FF5F29">
      <w:pPr>
        <w:pStyle w:val="ListBullet"/>
        <w:ind w:right="120"/>
      </w:pPr>
      <w:r w:rsidRPr="006D6182">
        <w:t>On Demand Transport</w:t>
      </w:r>
    </w:p>
    <w:p w14:paraId="515CCE46" w14:textId="77777777" w:rsidR="005D1A10" w:rsidRPr="006D6182" w:rsidRDefault="005D1A10" w:rsidP="00FF5F29">
      <w:pPr>
        <w:pStyle w:val="ListBullet"/>
        <w:ind w:right="120"/>
      </w:pPr>
      <w:r w:rsidRPr="006D6182">
        <w:t>Inclusive mapping</w:t>
      </w:r>
    </w:p>
    <w:p w14:paraId="70623AE7" w14:textId="77777777" w:rsidR="005D1A10" w:rsidRPr="006D6182" w:rsidRDefault="005D1A10" w:rsidP="00FF5F29">
      <w:pPr>
        <w:pStyle w:val="ListBullet"/>
        <w:ind w:right="120"/>
      </w:pPr>
      <w:r w:rsidRPr="006D6182">
        <w:t>Proof of Concept testing</w:t>
      </w:r>
    </w:p>
    <w:p w14:paraId="037AAA34" w14:textId="3E759D8C" w:rsidR="005D1A10" w:rsidRPr="006D6182" w:rsidRDefault="005D1A10" w:rsidP="00FF5F29">
      <w:pPr>
        <w:pStyle w:val="ListBullet"/>
        <w:ind w:right="120"/>
      </w:pPr>
      <w:proofErr w:type="spellStart"/>
      <w:r w:rsidRPr="006D6182">
        <w:t>Waymap</w:t>
      </w:r>
      <w:proofErr w:type="spellEnd"/>
      <w:r w:rsidR="000507D0">
        <w:t>, and</w:t>
      </w:r>
    </w:p>
    <w:p w14:paraId="13E05127" w14:textId="77777777" w:rsidR="005D1A10" w:rsidRPr="006D6182" w:rsidRDefault="005D1A10" w:rsidP="00FF5F29">
      <w:pPr>
        <w:pStyle w:val="ListBullet"/>
        <w:ind w:right="120"/>
      </w:pPr>
      <w:proofErr w:type="spellStart"/>
      <w:r w:rsidRPr="006D6182">
        <w:t>SeeMe</w:t>
      </w:r>
      <w:proofErr w:type="spellEnd"/>
    </w:p>
    <w:p w14:paraId="1F960ADB" w14:textId="77777777" w:rsidR="005D1A10" w:rsidRPr="006D6182" w:rsidRDefault="005D1A10" w:rsidP="00FF5F29">
      <w:pPr>
        <w:pStyle w:val="ListBullet"/>
        <w:numPr>
          <w:ilvl w:val="0"/>
          <w:numId w:val="0"/>
        </w:numPr>
        <w:ind w:right="120"/>
      </w:pPr>
    </w:p>
    <w:p w14:paraId="0DCDBECC" w14:textId="7F5CA59E" w:rsidR="00FD73D7" w:rsidRPr="001F08BE" w:rsidRDefault="005D1A10" w:rsidP="001F08BE">
      <w:pPr>
        <w:pStyle w:val="BodyText"/>
        <w:shd w:val="clear" w:color="auto" w:fill="FFFFFF" w:themeFill="background1"/>
        <w:ind w:right="120"/>
        <w:rPr>
          <w:b/>
          <w:bCs/>
          <w:i/>
          <w:iCs/>
        </w:rPr>
      </w:pPr>
      <w:r w:rsidRPr="006D6182">
        <w:rPr>
          <w:b/>
          <w:bCs/>
          <w:i/>
          <w:iCs/>
        </w:rPr>
        <w:t>Personalised Transport Industry Insights and Delivery Group</w:t>
      </w:r>
    </w:p>
    <w:p w14:paraId="44181ADB" w14:textId="77777777" w:rsidR="005D1A10" w:rsidRPr="006D6182" w:rsidRDefault="005D1A10" w:rsidP="00FF5F29">
      <w:pPr>
        <w:pStyle w:val="BodyText"/>
        <w:shd w:val="clear" w:color="auto" w:fill="FFFFFF" w:themeFill="background1"/>
        <w:ind w:right="120"/>
        <w:jc w:val="both"/>
      </w:pPr>
      <w:r w:rsidRPr="006D6182">
        <w:t xml:space="preserve">TMR’s personalised transport industry reference group, the Insights and Delivery Group, has continued to meet every four months to ensure effective engagement between key personalised transport industry stakeholders. The group includes </w:t>
      </w:r>
      <w:r w:rsidRPr="006D6182">
        <w:lastRenderedPageBreak/>
        <w:t>membership from the taxi, limousine, and ride-booking industries. The purpose of the group is to:</w:t>
      </w:r>
    </w:p>
    <w:p w14:paraId="6BCB2018" w14:textId="6F34BAD2" w:rsidR="005D1A10" w:rsidRPr="006D6182" w:rsidRDefault="005D1A10" w:rsidP="00FF5F29">
      <w:pPr>
        <w:pStyle w:val="ListBullet"/>
        <w:ind w:right="120"/>
        <w:jc w:val="both"/>
      </w:pPr>
      <w:r w:rsidRPr="006D6182">
        <w:t>provide advice about</w:t>
      </w:r>
      <w:r w:rsidR="00397C07">
        <w:t>,</w:t>
      </w:r>
      <w:r w:rsidRPr="006D6182">
        <w:t xml:space="preserve"> and investigate emerging issues affecting</w:t>
      </w:r>
      <w:r w:rsidR="00397C07">
        <w:t>,</w:t>
      </w:r>
      <w:r w:rsidRPr="006D6182">
        <w:t xml:space="preserve"> the personalised transport industry and its service </w:t>
      </w:r>
      <w:proofErr w:type="gramStart"/>
      <w:r w:rsidRPr="006D6182">
        <w:t>delivery</w:t>
      </w:r>
      <w:proofErr w:type="gramEnd"/>
    </w:p>
    <w:p w14:paraId="6A9B1F12" w14:textId="54F009BE" w:rsidR="005D1A10" w:rsidRPr="006D6182" w:rsidRDefault="005D1A10" w:rsidP="00FF5F29">
      <w:pPr>
        <w:pStyle w:val="ListBullet"/>
        <w:ind w:right="120"/>
        <w:jc w:val="both"/>
      </w:pPr>
      <w:r w:rsidRPr="006D6182">
        <w:t xml:space="preserve">collaborate on developing industry-led solutions to issues and challenges in the industry to support beneficial customer </w:t>
      </w:r>
      <w:proofErr w:type="gramStart"/>
      <w:r w:rsidRPr="006D6182">
        <w:t>outcomes</w:t>
      </w:r>
      <w:proofErr w:type="gramEnd"/>
    </w:p>
    <w:p w14:paraId="5C03D42C" w14:textId="56FC1ED6" w:rsidR="005D1A10" w:rsidRPr="006D6182" w:rsidRDefault="005D1A10" w:rsidP="00FF5F29">
      <w:pPr>
        <w:pStyle w:val="ListBullet"/>
        <w:ind w:right="120"/>
        <w:jc w:val="both"/>
      </w:pPr>
      <w:r w:rsidRPr="006D6182">
        <w:t>share best practice approaches to issues adopted within the industry</w:t>
      </w:r>
      <w:r w:rsidR="007408E2">
        <w:t xml:space="preserve">, </w:t>
      </w:r>
      <w:r w:rsidRPr="006D6182">
        <w:t>and</w:t>
      </w:r>
    </w:p>
    <w:p w14:paraId="14E6760A" w14:textId="3FBFCC7E" w:rsidR="005D1A10" w:rsidRDefault="005D1A10" w:rsidP="00FF5F29">
      <w:pPr>
        <w:pStyle w:val="ListBullet"/>
        <w:ind w:right="120"/>
        <w:jc w:val="both"/>
      </w:pPr>
      <w:r w:rsidRPr="006D6182">
        <w:t>provide feedback and constructive input on regulatory proposals being considered by TMR.</w:t>
      </w:r>
    </w:p>
    <w:p w14:paraId="684B1D78" w14:textId="343C06AE" w:rsidR="005D1A10" w:rsidRPr="006D6182" w:rsidRDefault="005D1A10" w:rsidP="00FF5F29">
      <w:pPr>
        <w:pStyle w:val="BodyText"/>
        <w:shd w:val="clear" w:color="auto" w:fill="FFFFFF" w:themeFill="background1"/>
        <w:ind w:right="120"/>
        <w:jc w:val="both"/>
      </w:pPr>
      <w:r w:rsidRPr="006D6182">
        <w:t xml:space="preserve">The group has discussed a wide range of issues affecting the personalised transport sector, including driver fatigue, regulatory compliance and passenger and driver safety. The group has agreed to collaborate with the Queensland University of Technology on a research project </w:t>
      </w:r>
      <w:r>
        <w:t>about</w:t>
      </w:r>
      <w:r w:rsidRPr="006D6182">
        <w:t xml:space="preserve"> the safety of personalised transport drivers and customers. Th</w:t>
      </w:r>
      <w:r>
        <w:t>e group</w:t>
      </w:r>
      <w:r w:rsidRPr="006D6182">
        <w:t xml:space="preserve"> is an important engagement forum to ensure that TMR and the personalised transport industry can share key information and collaborate </w:t>
      </w:r>
      <w:r w:rsidR="00D45111">
        <w:t>to identify and resolve</w:t>
      </w:r>
      <w:r w:rsidRPr="006D6182">
        <w:t xml:space="preserve"> issues arising in the sector. </w:t>
      </w:r>
    </w:p>
    <w:p w14:paraId="24B67B82" w14:textId="77777777" w:rsidR="005D1A10" w:rsidRPr="006D6182" w:rsidRDefault="005D1A10" w:rsidP="00FF5F29">
      <w:pPr>
        <w:pStyle w:val="BodyText"/>
        <w:shd w:val="clear" w:color="auto" w:fill="FFFFFF" w:themeFill="background1"/>
        <w:ind w:right="120"/>
        <w:jc w:val="both"/>
        <w:rPr>
          <w:b/>
          <w:bCs/>
          <w:i/>
          <w:iCs/>
        </w:rPr>
      </w:pPr>
    </w:p>
    <w:p w14:paraId="07ACE7D2" w14:textId="77777777" w:rsidR="005D1A10" w:rsidRPr="006D6182" w:rsidRDefault="005D1A10" w:rsidP="00FF5F29">
      <w:pPr>
        <w:pStyle w:val="BodyText"/>
        <w:shd w:val="clear" w:color="auto" w:fill="FFFFFF" w:themeFill="background1"/>
        <w:ind w:right="120"/>
        <w:jc w:val="both"/>
        <w:rPr>
          <w:b/>
          <w:bCs/>
          <w:i/>
          <w:iCs/>
        </w:rPr>
      </w:pPr>
      <w:r w:rsidRPr="006D6182">
        <w:rPr>
          <w:b/>
          <w:bCs/>
          <w:i/>
          <w:iCs/>
        </w:rPr>
        <w:t>Accessible Taxi Services Working Group</w:t>
      </w:r>
    </w:p>
    <w:p w14:paraId="0F46229B" w14:textId="77777777" w:rsidR="005D1A10" w:rsidRPr="006D6182" w:rsidRDefault="005D1A10" w:rsidP="00FF5F29">
      <w:pPr>
        <w:pStyle w:val="BodyText"/>
        <w:shd w:val="clear" w:color="auto" w:fill="FFFFFF" w:themeFill="background1"/>
        <w:ind w:right="120"/>
        <w:jc w:val="both"/>
      </w:pPr>
      <w:r w:rsidRPr="006D6182">
        <w:t xml:space="preserve">TMR meets regularly with representatives of the taxi industry and people with disability to deliver an action plan to improve accessible taxi services for people with disability and to improve communication between these sectors in the following key areas: </w:t>
      </w:r>
    </w:p>
    <w:p w14:paraId="10AA5A72" w14:textId="430D0392" w:rsidR="005D1A10" w:rsidRPr="006D6182" w:rsidRDefault="005D1A10" w:rsidP="00FF5F29">
      <w:pPr>
        <w:pStyle w:val="ListBullet"/>
        <w:ind w:right="120"/>
        <w:jc w:val="both"/>
      </w:pPr>
      <w:r w:rsidRPr="006D6182">
        <w:t xml:space="preserve">driver training and education </w:t>
      </w:r>
    </w:p>
    <w:p w14:paraId="725C7B7D" w14:textId="654EC0CB" w:rsidR="005D1A10" w:rsidRPr="006D6182" w:rsidRDefault="005D1A10" w:rsidP="00FF5F29">
      <w:pPr>
        <w:pStyle w:val="ListBullet"/>
        <w:ind w:right="120"/>
        <w:jc w:val="both"/>
      </w:pPr>
      <w:r w:rsidRPr="006D6182">
        <w:t xml:space="preserve">driver incentives </w:t>
      </w:r>
    </w:p>
    <w:p w14:paraId="60FA4D77" w14:textId="194713E6" w:rsidR="005D1A10" w:rsidRPr="006D6182" w:rsidRDefault="005D1A10" w:rsidP="00FF5F29">
      <w:pPr>
        <w:pStyle w:val="ListBullet"/>
        <w:ind w:right="120"/>
        <w:jc w:val="both"/>
      </w:pPr>
      <w:r w:rsidRPr="006D6182">
        <w:t xml:space="preserve">booking systems and communication </w:t>
      </w:r>
    </w:p>
    <w:p w14:paraId="7D7AAD29" w14:textId="7D2AAEC3" w:rsidR="005D1A10" w:rsidRPr="006D6182" w:rsidRDefault="005D1A10" w:rsidP="00FF5F29">
      <w:pPr>
        <w:pStyle w:val="ListBullet"/>
        <w:ind w:right="120"/>
        <w:jc w:val="both"/>
      </w:pPr>
      <w:r w:rsidRPr="006D6182">
        <w:t>regulatory requirements</w:t>
      </w:r>
      <w:r w:rsidR="00CC6209">
        <w:t>,</w:t>
      </w:r>
      <w:r w:rsidRPr="006D6182">
        <w:t xml:space="preserve"> and </w:t>
      </w:r>
    </w:p>
    <w:p w14:paraId="7359EDB8" w14:textId="3B8D2C1E" w:rsidR="005D1A10" w:rsidRPr="006D6182" w:rsidRDefault="005D1A10" w:rsidP="00FF5F29">
      <w:pPr>
        <w:pStyle w:val="ListBullet"/>
        <w:ind w:right="120"/>
        <w:jc w:val="both"/>
      </w:pPr>
      <w:r w:rsidRPr="006D6182">
        <w:t>supply of wheelchair accessible taxis.</w:t>
      </w:r>
    </w:p>
    <w:p w14:paraId="4A3B2C95" w14:textId="77777777" w:rsidR="0010496C" w:rsidRDefault="0010496C" w:rsidP="00FF5F29">
      <w:pPr>
        <w:pStyle w:val="BodyText"/>
        <w:ind w:right="120"/>
        <w:jc w:val="both"/>
        <w:rPr>
          <w:b/>
          <w:bCs/>
          <w:i/>
          <w:iCs/>
        </w:rPr>
      </w:pPr>
    </w:p>
    <w:p w14:paraId="5C01A17B" w14:textId="408505C5" w:rsidR="005D1A10" w:rsidRPr="006D6182" w:rsidRDefault="005D1A10" w:rsidP="00FF5F29">
      <w:pPr>
        <w:pStyle w:val="BodyText"/>
        <w:ind w:right="120"/>
        <w:jc w:val="both"/>
        <w:rPr>
          <w:b/>
          <w:bCs/>
          <w:i/>
          <w:iCs/>
        </w:rPr>
      </w:pPr>
      <w:r w:rsidRPr="006D6182">
        <w:rPr>
          <w:b/>
          <w:bCs/>
          <w:i/>
          <w:iCs/>
        </w:rPr>
        <w:t>Queensland Bus Safety Forum</w:t>
      </w:r>
    </w:p>
    <w:p w14:paraId="459CCC6A" w14:textId="77777777" w:rsidR="005D1A10" w:rsidRPr="006D6182" w:rsidRDefault="005D1A10" w:rsidP="00FF5F29">
      <w:pPr>
        <w:pStyle w:val="BodyText"/>
        <w:ind w:right="120"/>
        <w:jc w:val="both"/>
        <w:rPr>
          <w:szCs w:val="20"/>
        </w:rPr>
      </w:pPr>
      <w:r w:rsidRPr="006D6182">
        <w:rPr>
          <w:szCs w:val="20"/>
        </w:rPr>
        <w:t xml:space="preserve">The Queensland Bus Safety Forum meets three times each year to provide opportunities for its members to consider and discuss bus driver and bus passenger transport safety related issues. Membership of the forum includes industry body representatives, bus drivers, academics, and representatives of government agencies. The focus areas for the forum are: </w:t>
      </w:r>
    </w:p>
    <w:p w14:paraId="2B5AEB75" w14:textId="1BE1FB31" w:rsidR="005D1A10" w:rsidRPr="006D6182" w:rsidRDefault="005D1A10" w:rsidP="00FF5F29">
      <w:pPr>
        <w:pStyle w:val="ListBullet"/>
        <w:ind w:right="120"/>
        <w:jc w:val="both"/>
      </w:pPr>
      <w:r w:rsidRPr="006D6182">
        <w:t>delivering safe services for customers</w:t>
      </w:r>
    </w:p>
    <w:p w14:paraId="5A079F06" w14:textId="476E5567" w:rsidR="005D1A10" w:rsidRPr="006D6182" w:rsidRDefault="005D1A10" w:rsidP="00FF5F29">
      <w:pPr>
        <w:pStyle w:val="ListBullet"/>
        <w:ind w:right="120"/>
        <w:jc w:val="both"/>
      </w:pPr>
      <w:r w:rsidRPr="006D6182">
        <w:t xml:space="preserve">sharing industry best practice to manage bus safety risk for service delivery partners and </w:t>
      </w:r>
      <w:proofErr w:type="gramStart"/>
      <w:r w:rsidRPr="006D6182">
        <w:t>staff</w:t>
      </w:r>
      <w:proofErr w:type="gramEnd"/>
    </w:p>
    <w:p w14:paraId="716C99DF" w14:textId="19F1760B" w:rsidR="005D1A10" w:rsidRPr="006D6182" w:rsidRDefault="005D1A10" w:rsidP="00FF5F29">
      <w:pPr>
        <w:pStyle w:val="ListBullet"/>
        <w:ind w:right="120"/>
        <w:jc w:val="both"/>
      </w:pPr>
      <w:r w:rsidRPr="006D6182">
        <w:t>compliance and enforcement</w:t>
      </w:r>
      <w:r w:rsidR="00372625">
        <w:t>,</w:t>
      </w:r>
      <w:r w:rsidRPr="006D6182">
        <w:t xml:space="preserve"> and</w:t>
      </w:r>
    </w:p>
    <w:p w14:paraId="6E57E10B" w14:textId="77777777" w:rsidR="005D1A10" w:rsidRPr="006D6182" w:rsidRDefault="005D1A10" w:rsidP="00FF5F29">
      <w:pPr>
        <w:pStyle w:val="ListBullet"/>
        <w:ind w:right="120"/>
        <w:jc w:val="both"/>
      </w:pPr>
      <w:r w:rsidRPr="006D6182">
        <w:t>education and awareness.</w:t>
      </w:r>
    </w:p>
    <w:p w14:paraId="3C614587" w14:textId="77777777" w:rsidR="005D1A10" w:rsidRPr="006D6182" w:rsidRDefault="005D1A10" w:rsidP="00FF5F29">
      <w:pPr>
        <w:pStyle w:val="ListBullet"/>
        <w:numPr>
          <w:ilvl w:val="0"/>
          <w:numId w:val="0"/>
        </w:numPr>
        <w:ind w:right="120"/>
        <w:jc w:val="both"/>
      </w:pPr>
    </w:p>
    <w:p w14:paraId="7AB5207C" w14:textId="77777777" w:rsidR="005D1A10" w:rsidRPr="006D6182" w:rsidRDefault="005D1A10" w:rsidP="00FF5F29">
      <w:pPr>
        <w:spacing w:after="120" w:line="260" w:lineRule="atLeast"/>
        <w:ind w:right="120"/>
        <w:jc w:val="both"/>
        <w:rPr>
          <w:rFonts w:eastAsia="Arial" w:cs="Arial"/>
          <w:color w:val="080C0F" w:themeColor="text1"/>
        </w:rPr>
      </w:pPr>
      <w:r w:rsidRPr="006D6182">
        <w:rPr>
          <w:rFonts w:eastAsia="Arial" w:cs="Arial"/>
          <w:color w:val="080C0F" w:themeColor="text1"/>
        </w:rPr>
        <w:t xml:space="preserve">The forum met in August 2023, November </w:t>
      </w:r>
      <w:proofErr w:type="gramStart"/>
      <w:r w:rsidRPr="006D6182">
        <w:rPr>
          <w:rFonts w:eastAsia="Arial" w:cs="Arial"/>
          <w:color w:val="080C0F" w:themeColor="text1"/>
        </w:rPr>
        <w:t>2023</w:t>
      </w:r>
      <w:proofErr w:type="gramEnd"/>
      <w:r w:rsidRPr="006D6182">
        <w:rPr>
          <w:rFonts w:eastAsia="Arial" w:cs="Arial"/>
          <w:color w:val="080C0F" w:themeColor="text1"/>
        </w:rPr>
        <w:t xml:space="preserve"> and April 2024 to discuss:</w:t>
      </w:r>
    </w:p>
    <w:p w14:paraId="11AC2A17" w14:textId="5F4A4076" w:rsidR="005D1A10" w:rsidRPr="006D6182" w:rsidRDefault="005D1A10" w:rsidP="00FF5F29">
      <w:pPr>
        <w:pStyle w:val="ListBullet"/>
        <w:ind w:right="120"/>
        <w:jc w:val="both"/>
      </w:pPr>
      <w:r w:rsidRPr="006D6182">
        <w:t xml:space="preserve">improving school student behaviour on buses </w:t>
      </w:r>
    </w:p>
    <w:p w14:paraId="14D75D58" w14:textId="635712C1" w:rsidR="005D1A10" w:rsidRPr="006D6182" w:rsidRDefault="005D1A10" w:rsidP="00FF5F29">
      <w:pPr>
        <w:pStyle w:val="ListBullet"/>
        <w:ind w:right="120"/>
        <w:jc w:val="both"/>
      </w:pPr>
      <w:r w:rsidRPr="006D6182">
        <w:t>new road-based passenger transport safety management framework</w:t>
      </w:r>
      <w:r w:rsidR="00372625">
        <w:t>,</w:t>
      </w:r>
      <w:r w:rsidRPr="006D6182">
        <w:t xml:space="preserve"> and </w:t>
      </w:r>
    </w:p>
    <w:p w14:paraId="2524BA29" w14:textId="77777777" w:rsidR="005D1A10" w:rsidRPr="006D6182" w:rsidRDefault="005D1A10" w:rsidP="00FF5F29">
      <w:pPr>
        <w:pStyle w:val="ListBullet"/>
        <w:ind w:right="120"/>
        <w:jc w:val="both"/>
      </w:pPr>
      <w:r w:rsidRPr="006D6182">
        <w:t>transit security.</w:t>
      </w:r>
    </w:p>
    <w:p w14:paraId="4A53CE5F" w14:textId="77777777" w:rsidR="005D1A10" w:rsidRPr="006D6182" w:rsidRDefault="005D1A10" w:rsidP="00FF5F29">
      <w:pPr>
        <w:pStyle w:val="BodyText"/>
        <w:shd w:val="clear" w:color="auto" w:fill="FFFFFF" w:themeFill="background1"/>
        <w:ind w:right="120"/>
        <w:jc w:val="both"/>
        <w:rPr>
          <w:b/>
          <w:bCs/>
          <w:i/>
          <w:iCs/>
        </w:rPr>
      </w:pPr>
      <w:r w:rsidRPr="006D6182">
        <w:rPr>
          <w:b/>
          <w:bCs/>
          <w:i/>
          <w:iCs/>
        </w:rPr>
        <w:lastRenderedPageBreak/>
        <w:t>General stakeholder engagement practices</w:t>
      </w:r>
    </w:p>
    <w:p w14:paraId="0C20FEF0" w14:textId="54FEA5D0" w:rsidR="005D1A10" w:rsidRPr="00E263C5" w:rsidRDefault="005D1A10" w:rsidP="00FF5F29">
      <w:pPr>
        <w:pStyle w:val="BodyText"/>
        <w:shd w:val="clear" w:color="auto" w:fill="FFFFFF" w:themeFill="background1"/>
        <w:ind w:right="120"/>
        <w:jc w:val="both"/>
      </w:pPr>
      <w:r w:rsidRPr="00E263C5">
        <w:t xml:space="preserve">Meaningful stakeholder engagement and consultation is integral to </w:t>
      </w:r>
      <w:proofErr w:type="spellStart"/>
      <w:r w:rsidRPr="00E263C5">
        <w:t>Translink's</w:t>
      </w:r>
      <w:proofErr w:type="spellEnd"/>
      <w:r w:rsidRPr="00E263C5">
        <w:t xml:space="preserve"> regulatory activities. For example, the Gold Coast Light Rail </w:t>
      </w:r>
      <w:r w:rsidR="00D421AE">
        <w:t xml:space="preserve">(GCLR) </w:t>
      </w:r>
      <w:r w:rsidRPr="00E263C5">
        <w:t xml:space="preserve">team has a comprehensive governance framework in place which ensures that either party (whether Translink or the operator) can raise issues and that those issues are dealt with in a timely manner. The governance framework includes three levels of state/operator interfaces and the additional stages of the GCLR Project are overseen by an internal departmental supervisory board. </w:t>
      </w:r>
    </w:p>
    <w:p w14:paraId="68E0EA4B" w14:textId="77777777" w:rsidR="005D1A10" w:rsidRPr="00E263C5" w:rsidRDefault="005D1A10" w:rsidP="00FF5F29">
      <w:pPr>
        <w:ind w:right="120"/>
        <w:jc w:val="both"/>
      </w:pPr>
    </w:p>
    <w:p w14:paraId="1789266D" w14:textId="31ED61F4" w:rsidR="005D1A10" w:rsidRPr="00E263C5" w:rsidRDefault="005D1A10" w:rsidP="00FF5F29">
      <w:pPr>
        <w:pStyle w:val="BodyText"/>
        <w:shd w:val="clear" w:color="auto" w:fill="FFFFFF" w:themeFill="background1"/>
        <w:ind w:right="120"/>
        <w:jc w:val="both"/>
      </w:pPr>
      <w:r w:rsidRPr="00E263C5">
        <w:t xml:space="preserve">As a further example, </w:t>
      </w:r>
      <w:proofErr w:type="spellStart"/>
      <w:r w:rsidRPr="00E263C5">
        <w:t>Translink's</w:t>
      </w:r>
      <w:proofErr w:type="spellEnd"/>
      <w:r w:rsidRPr="00E263C5">
        <w:t xml:space="preserve"> Passenger Transport Contracts (PTC) section works closely with delivery partners in relation to the contractual framework. On occasion, PTC is the conduit to provide information to delivery partners at the request of other areas within TMR who are responsible </w:t>
      </w:r>
      <w:r w:rsidR="00A24538">
        <w:t xml:space="preserve">for </w:t>
      </w:r>
      <w:r w:rsidRPr="00E263C5">
        <w:t>consult</w:t>
      </w:r>
      <w:r w:rsidR="00A24538">
        <w:t>ing</w:t>
      </w:r>
      <w:r w:rsidRPr="00E263C5">
        <w:t xml:space="preserve"> and engag</w:t>
      </w:r>
      <w:r w:rsidR="00A24538">
        <w:t>ing</w:t>
      </w:r>
      <w:r w:rsidRPr="00E263C5">
        <w:t xml:space="preserve"> on the regulatory framework. Should any amendments to regulations necessitate contractual amendments, PTC would then negotiate with delivery partners to ensure that any required contractual documentation is amended as needed (including the Operations Manual).</w:t>
      </w:r>
    </w:p>
    <w:p w14:paraId="0393DBA6" w14:textId="77777777" w:rsidR="005D1A10" w:rsidRPr="00E263C5" w:rsidRDefault="005D1A10" w:rsidP="00FF5F29">
      <w:pPr>
        <w:ind w:right="120"/>
        <w:jc w:val="both"/>
      </w:pPr>
    </w:p>
    <w:p w14:paraId="5A5E1DAF" w14:textId="7BBED4EA" w:rsidR="005D1A10" w:rsidRPr="00E263C5" w:rsidRDefault="005D1A10" w:rsidP="00FF5F29">
      <w:pPr>
        <w:pStyle w:val="BodyText"/>
        <w:shd w:val="clear" w:color="auto" w:fill="FFFFFF" w:themeFill="background1"/>
        <w:ind w:right="120"/>
        <w:jc w:val="both"/>
      </w:pPr>
      <w:r w:rsidRPr="00E263C5">
        <w:t>The Commercial Partnerships Team within Translink engage heavily with external stakeholders in relation to the Aviation Service Contracts, the Transport for Brisbane Service Contract, the Zero Emission Bus Program</w:t>
      </w:r>
      <w:r w:rsidR="00A771E0">
        <w:t>,</w:t>
      </w:r>
      <w:r w:rsidRPr="00E263C5">
        <w:t xml:space="preserve"> and various procurements. These stakeholders include:</w:t>
      </w:r>
    </w:p>
    <w:p w14:paraId="67A5AD1F" w14:textId="7968F024" w:rsidR="005D1A10" w:rsidRPr="00E263C5" w:rsidRDefault="005D1A10" w:rsidP="00FF5F29">
      <w:pPr>
        <w:pStyle w:val="ListBullet"/>
        <w:ind w:right="120"/>
        <w:jc w:val="both"/>
      </w:pPr>
      <w:r w:rsidRPr="00E263C5">
        <w:t>passengers</w:t>
      </w:r>
    </w:p>
    <w:p w14:paraId="59EF6357" w14:textId="49D18C10" w:rsidR="005D1A10" w:rsidRPr="00E263C5" w:rsidRDefault="005D1A10" w:rsidP="00FF5F29">
      <w:pPr>
        <w:pStyle w:val="ListBullet"/>
        <w:ind w:right="120"/>
        <w:jc w:val="both"/>
      </w:pPr>
      <w:r w:rsidRPr="00E263C5">
        <w:t>metropolitan and regional councils</w:t>
      </w:r>
    </w:p>
    <w:p w14:paraId="4FC2DBB8" w14:textId="06F72CBD" w:rsidR="005D1A10" w:rsidRPr="00E263C5" w:rsidRDefault="005D1A10" w:rsidP="00FF5F29">
      <w:pPr>
        <w:pStyle w:val="ListBullet"/>
        <w:ind w:right="120"/>
        <w:jc w:val="both"/>
      </w:pPr>
      <w:r w:rsidRPr="00E263C5">
        <w:t xml:space="preserve">service delivery </w:t>
      </w:r>
      <w:proofErr w:type="gramStart"/>
      <w:r w:rsidRPr="00E263C5">
        <w:t>partners</w:t>
      </w:r>
      <w:proofErr w:type="gramEnd"/>
    </w:p>
    <w:p w14:paraId="0173F6E4" w14:textId="537C09DA" w:rsidR="005D1A10" w:rsidRPr="00E263C5" w:rsidRDefault="005D1A10" w:rsidP="00FF5F29">
      <w:pPr>
        <w:pStyle w:val="ListBullet"/>
        <w:ind w:right="120"/>
        <w:jc w:val="both"/>
      </w:pPr>
      <w:r w:rsidRPr="00E263C5">
        <w:t>industry and advocacy groups</w:t>
      </w:r>
    </w:p>
    <w:p w14:paraId="3BABE347" w14:textId="1537AC18" w:rsidR="005D1A10" w:rsidRPr="00E263C5" w:rsidRDefault="005D1A10" w:rsidP="00FF5F29">
      <w:pPr>
        <w:pStyle w:val="ListBullet"/>
        <w:ind w:right="120"/>
        <w:jc w:val="both"/>
      </w:pPr>
      <w:r w:rsidRPr="00E263C5">
        <w:t>organisations in the public transport procurement supply chain (manufacturers, energy providers, financial institutions)</w:t>
      </w:r>
      <w:r w:rsidR="001945A4">
        <w:t>,</w:t>
      </w:r>
      <w:r w:rsidR="008C3D6F">
        <w:t xml:space="preserve"> </w:t>
      </w:r>
      <w:r w:rsidRPr="00E263C5">
        <w:t>and</w:t>
      </w:r>
    </w:p>
    <w:p w14:paraId="4C3ADC81" w14:textId="77777777" w:rsidR="005D1A10" w:rsidRPr="00E263C5" w:rsidRDefault="005D1A10" w:rsidP="00FF5F29">
      <w:pPr>
        <w:pStyle w:val="ListBullet"/>
        <w:ind w:right="120"/>
        <w:jc w:val="both"/>
      </w:pPr>
      <w:r w:rsidRPr="00E263C5">
        <w:t>other state and federal government departments and authorities (for example, the Civil Aviation Safety Authority).</w:t>
      </w:r>
    </w:p>
    <w:p w14:paraId="092A262C" w14:textId="77777777" w:rsidR="005D1A10" w:rsidRPr="00E263C5" w:rsidRDefault="005D1A10" w:rsidP="00FF5F29">
      <w:pPr>
        <w:pStyle w:val="BodyText"/>
        <w:shd w:val="clear" w:color="auto" w:fill="FFFFFF" w:themeFill="background1"/>
        <w:ind w:right="120"/>
        <w:jc w:val="both"/>
      </w:pPr>
    </w:p>
    <w:p w14:paraId="31070947" w14:textId="77777777" w:rsidR="005D1A10" w:rsidRPr="00E263C5" w:rsidRDefault="005D1A10" w:rsidP="00FF5F29">
      <w:pPr>
        <w:pStyle w:val="BodyText"/>
        <w:shd w:val="clear" w:color="auto" w:fill="FFFFFF" w:themeFill="background1"/>
        <w:ind w:right="120"/>
        <w:jc w:val="both"/>
      </w:pPr>
      <w:r w:rsidRPr="00E263C5">
        <w:t>Examples of this engagement include:</w:t>
      </w:r>
    </w:p>
    <w:p w14:paraId="75FBB178" w14:textId="52F2CEC1" w:rsidR="005D1A10" w:rsidRPr="00E263C5" w:rsidRDefault="005D1A10" w:rsidP="00FF5F29">
      <w:pPr>
        <w:pStyle w:val="ListBullet"/>
        <w:ind w:right="120"/>
        <w:jc w:val="both"/>
      </w:pPr>
      <w:r w:rsidRPr="00E263C5">
        <w:t>annual Community Consultative Forums related to the Aviation Service Contracts</w:t>
      </w:r>
    </w:p>
    <w:p w14:paraId="53D45023" w14:textId="47F2AC70" w:rsidR="005D1A10" w:rsidRPr="00E263C5" w:rsidRDefault="005D1A10" w:rsidP="00FF5F29">
      <w:pPr>
        <w:pStyle w:val="ListBullet"/>
        <w:ind w:right="120"/>
        <w:jc w:val="both"/>
      </w:pPr>
      <w:r w:rsidRPr="00E263C5">
        <w:t xml:space="preserve">Contract sub-committee meetings, joint working </w:t>
      </w:r>
      <w:proofErr w:type="gramStart"/>
      <w:r w:rsidRPr="00E263C5">
        <w:t>groups</w:t>
      </w:r>
      <w:proofErr w:type="gramEnd"/>
      <w:r w:rsidRPr="00E263C5">
        <w:t xml:space="preserve"> and other meetings between Translink and Transport for Brisbane</w:t>
      </w:r>
    </w:p>
    <w:p w14:paraId="13133F2F" w14:textId="54032366" w:rsidR="005D1A10" w:rsidRPr="00E263C5" w:rsidRDefault="005D1A10" w:rsidP="00FF5F29">
      <w:pPr>
        <w:pStyle w:val="ListBullet"/>
        <w:ind w:right="120"/>
        <w:jc w:val="both"/>
      </w:pPr>
      <w:r w:rsidRPr="00E263C5">
        <w:t>engagement sessions as part of the Zero Emission Bus Program planning and procurement activities</w:t>
      </w:r>
      <w:r w:rsidR="002D6D86">
        <w:t>,</w:t>
      </w:r>
      <w:r w:rsidRPr="00E263C5">
        <w:t xml:space="preserve"> and</w:t>
      </w:r>
    </w:p>
    <w:p w14:paraId="646BBA33" w14:textId="77777777" w:rsidR="005D1A10" w:rsidRPr="00E263C5" w:rsidRDefault="005D1A10" w:rsidP="00FF5F29">
      <w:pPr>
        <w:pStyle w:val="ListBullet"/>
        <w:ind w:right="120"/>
        <w:jc w:val="both"/>
      </w:pPr>
      <w:r w:rsidRPr="00E263C5">
        <w:t>interjurisdictional working groups on matters such as the implementation of zero emission buses across the eastern states.</w:t>
      </w:r>
    </w:p>
    <w:p w14:paraId="13D32559" w14:textId="23FE54E0" w:rsidR="001F08BE" w:rsidRDefault="001F08BE">
      <w:pPr>
        <w:spacing w:after="160" w:line="259" w:lineRule="auto"/>
      </w:pPr>
      <w:r>
        <w:br w:type="page"/>
      </w:r>
    </w:p>
    <w:p w14:paraId="62C79E10" w14:textId="77777777" w:rsidR="005D1A10" w:rsidRDefault="005D1A10" w:rsidP="00FF5F29">
      <w:pPr>
        <w:pStyle w:val="BodyText"/>
        <w:shd w:val="clear" w:color="auto" w:fill="FFFFFF" w:themeFill="background1"/>
        <w:ind w:right="120"/>
        <w:jc w:val="both"/>
        <w:rPr>
          <w:b/>
          <w:bCs/>
          <w:i/>
          <w:iCs/>
        </w:rPr>
      </w:pPr>
      <w:proofErr w:type="spellStart"/>
      <w:r w:rsidRPr="00E263C5">
        <w:rPr>
          <w:b/>
          <w:bCs/>
          <w:i/>
          <w:iCs/>
        </w:rPr>
        <w:lastRenderedPageBreak/>
        <w:t>Translink’s</w:t>
      </w:r>
      <w:proofErr w:type="spellEnd"/>
      <w:r w:rsidRPr="00E263C5">
        <w:rPr>
          <w:b/>
          <w:bCs/>
          <w:i/>
          <w:iCs/>
        </w:rPr>
        <w:t xml:space="preserve"> Safety, Security and Sustainability (TSSS) Unit</w:t>
      </w:r>
    </w:p>
    <w:p w14:paraId="1F07B637" w14:textId="77777777" w:rsidR="005D1A10" w:rsidRPr="00E263C5" w:rsidRDefault="005D1A10" w:rsidP="00FF5F29">
      <w:pPr>
        <w:pStyle w:val="BodyText"/>
        <w:ind w:right="120"/>
        <w:jc w:val="both"/>
      </w:pPr>
      <w:proofErr w:type="spellStart"/>
      <w:r w:rsidRPr="00E263C5">
        <w:t>Translink's</w:t>
      </w:r>
      <w:proofErr w:type="spellEnd"/>
      <w:r w:rsidRPr="00E263C5">
        <w:t xml:space="preserve"> revenue protection activities also provide examples where meaningful stakeholder engagement and consultation is undertaken as:</w:t>
      </w:r>
    </w:p>
    <w:p w14:paraId="05E60CC3" w14:textId="18DB1A50" w:rsidR="005D1A10" w:rsidRPr="00E263C5" w:rsidRDefault="005D1A10" w:rsidP="00FF5F29">
      <w:pPr>
        <w:pStyle w:val="ListBullet"/>
        <w:ind w:right="120"/>
        <w:jc w:val="both"/>
      </w:pPr>
      <w:proofErr w:type="spellStart"/>
      <w:r w:rsidRPr="00E263C5">
        <w:t>Translink’s</w:t>
      </w:r>
      <w:proofErr w:type="spellEnd"/>
      <w:r w:rsidRPr="00E263C5">
        <w:t xml:space="preserve"> TSSS team regularly meets with other agencies including Queensland Police Service (QPS), Queensland Rail enforcement</w:t>
      </w:r>
      <w:r w:rsidR="0036148E">
        <w:t>,</w:t>
      </w:r>
      <w:r w:rsidRPr="00E263C5">
        <w:t xml:space="preserve"> and interstate jurisdictions responsible for enforcement of passenger transport </w:t>
      </w:r>
      <w:proofErr w:type="gramStart"/>
      <w:r w:rsidRPr="00E263C5">
        <w:t>legislation</w:t>
      </w:r>
      <w:proofErr w:type="gramEnd"/>
    </w:p>
    <w:p w14:paraId="658451D4" w14:textId="288D1D25" w:rsidR="005D1A10" w:rsidRPr="00E263C5" w:rsidRDefault="005D1A10" w:rsidP="00FF5F29">
      <w:pPr>
        <w:pStyle w:val="ListBullet"/>
        <w:ind w:right="120"/>
        <w:jc w:val="both"/>
      </w:pPr>
      <w:r w:rsidRPr="00E263C5">
        <w:t xml:space="preserve">Translink has engaged in a joint training program with QPS to ensure that contemporary methodologies are utilised when conducting enforcement </w:t>
      </w:r>
      <w:proofErr w:type="gramStart"/>
      <w:r w:rsidRPr="00E263C5">
        <w:t>activities</w:t>
      </w:r>
      <w:proofErr w:type="gramEnd"/>
    </w:p>
    <w:p w14:paraId="20442CAD" w14:textId="2D7674CC" w:rsidR="005D1A10" w:rsidRPr="00E263C5" w:rsidRDefault="005D1A10" w:rsidP="00FF5F29">
      <w:pPr>
        <w:pStyle w:val="ListBullet"/>
        <w:ind w:right="120"/>
        <w:jc w:val="both"/>
      </w:pPr>
      <w:r w:rsidRPr="00E263C5">
        <w:t>Translink conducts multiple joint deployments and operations with all regulatory agencies responsible for enforcement of passenger transport legislation</w:t>
      </w:r>
      <w:r w:rsidR="00A47768">
        <w:t xml:space="preserve">, </w:t>
      </w:r>
      <w:r w:rsidRPr="00E263C5">
        <w:t>and</w:t>
      </w:r>
    </w:p>
    <w:p w14:paraId="7272A995" w14:textId="604B38DB" w:rsidR="005D1A10" w:rsidRDefault="005D1A10" w:rsidP="00FF5F29">
      <w:pPr>
        <w:pStyle w:val="ListBullet"/>
        <w:ind w:right="120"/>
        <w:jc w:val="both"/>
      </w:pPr>
      <w:r w:rsidRPr="00E263C5">
        <w:t>Translink engages with schools and community groups through educational programs to ensure opportunities for a two-way flow of information including feedback on how revenue protection is managed by Translink.</w:t>
      </w:r>
    </w:p>
    <w:p w14:paraId="3F3DEC52" w14:textId="459FE027" w:rsidR="001F08BE" w:rsidRDefault="001F08BE">
      <w:pPr>
        <w:spacing w:after="160" w:line="259" w:lineRule="auto"/>
      </w:pPr>
      <w:r>
        <w:br w:type="page"/>
      </w:r>
    </w:p>
    <w:p w14:paraId="53ADB2DF" w14:textId="1C3360BD" w:rsidR="0042710A" w:rsidRDefault="00DA4485" w:rsidP="00FF5F29">
      <w:pPr>
        <w:ind w:right="120"/>
        <w:rPr>
          <w:rFonts w:ascii="Segoe UI" w:hAnsi="Segoe UI" w:cs="Segoe UI"/>
          <w:sz w:val="18"/>
          <w:szCs w:val="18"/>
        </w:rPr>
      </w:pPr>
      <w:r>
        <w:rPr>
          <w:rStyle w:val="wacimagecontainer"/>
          <w:rFonts w:ascii="Segoe UI" w:hAnsi="Segoe UI" w:cs="Segoe UI"/>
          <w:noProof/>
          <w:sz w:val="18"/>
          <w:szCs w:val="18"/>
        </w:rPr>
        <w:lastRenderedPageBreak/>
        <w:drawing>
          <wp:anchor distT="0" distB="0" distL="114300" distR="114300" simplePos="0" relativeHeight="251650560" behindDoc="0" locked="0" layoutInCell="1" allowOverlap="1" wp14:anchorId="2963EB98" wp14:editId="75410C04">
            <wp:simplePos x="0" y="0"/>
            <wp:positionH relativeFrom="column">
              <wp:posOffset>88323</wp:posOffset>
            </wp:positionH>
            <wp:positionV relativeFrom="paragraph">
              <wp:posOffset>97732</wp:posOffset>
            </wp:positionV>
            <wp:extent cx="2624455" cy="368300"/>
            <wp:effectExtent l="0" t="0" r="0" b="0"/>
            <wp:wrapNone/>
            <wp:docPr id="4"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455" cy="368300"/>
                    </a:xfrm>
                    <a:prstGeom prst="rect">
                      <a:avLst/>
                    </a:prstGeom>
                    <a:noFill/>
                    <a:ln>
                      <a:noFill/>
                    </a:ln>
                  </pic:spPr>
                </pic:pic>
              </a:graphicData>
            </a:graphic>
          </wp:anchor>
        </w:drawing>
      </w:r>
      <w:r w:rsidR="0042710A">
        <w:rPr>
          <w:rStyle w:val="wacimagecontainer"/>
          <w:rFonts w:ascii="Segoe UI" w:hAnsi="Segoe UI" w:cs="Segoe UI"/>
          <w:noProof/>
          <w:sz w:val="18"/>
          <w:szCs w:val="18"/>
        </w:rPr>
        <w:drawing>
          <wp:inline distT="0" distB="0" distL="0" distR="0" wp14:anchorId="06ED249F" wp14:editId="05DE1187">
            <wp:extent cx="3204000" cy="629213"/>
            <wp:effectExtent l="0" t="0" r="0" b="0"/>
            <wp:docPr id="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000" cy="629213"/>
                    </a:xfrm>
                    <a:prstGeom prst="rect">
                      <a:avLst/>
                    </a:prstGeom>
                    <a:noFill/>
                    <a:ln>
                      <a:noFill/>
                    </a:ln>
                  </pic:spPr>
                </pic:pic>
              </a:graphicData>
            </a:graphic>
          </wp:inline>
        </w:drawing>
      </w:r>
    </w:p>
    <w:p w14:paraId="203FC629" w14:textId="77777777" w:rsidR="00961C30" w:rsidRPr="00961C30" w:rsidRDefault="00961C30" w:rsidP="00FF5F29">
      <w:pPr>
        <w:pStyle w:val="BodyText"/>
        <w:spacing w:before="122" w:line="278" w:lineRule="auto"/>
        <w:ind w:right="120"/>
        <w:contextualSpacing/>
        <w:jc w:val="both"/>
        <w:rPr>
          <w:sz w:val="28"/>
          <w:szCs w:val="24"/>
        </w:rPr>
      </w:pPr>
    </w:p>
    <w:p w14:paraId="2AFAD790" w14:textId="45065D8D" w:rsidR="0042710A" w:rsidRDefault="0042710A" w:rsidP="00FF5F29">
      <w:pPr>
        <w:pStyle w:val="BodyText"/>
        <w:spacing w:before="122" w:line="278" w:lineRule="auto"/>
        <w:ind w:right="120"/>
        <w:contextualSpacing/>
        <w:jc w:val="both"/>
      </w:pPr>
      <w:r w:rsidRPr="00004E70">
        <w:t xml:space="preserve">The </w:t>
      </w:r>
      <w:r w:rsidRPr="6F990A58">
        <w:rPr>
          <w:i/>
        </w:rPr>
        <w:t>Sustainable Ports Development Act 2015</w:t>
      </w:r>
      <w:r w:rsidRPr="00004E70">
        <w:t xml:space="preserve"> requires formal public consultation </w:t>
      </w:r>
      <w:r w:rsidRPr="00ED1855">
        <w:t>process</w:t>
      </w:r>
      <w:r w:rsidR="5EA6FF7A" w:rsidRPr="00ED1855">
        <w:t>es</w:t>
      </w:r>
      <w:r w:rsidRPr="00ED1855">
        <w:t xml:space="preserve"> be</w:t>
      </w:r>
      <w:r w:rsidRPr="00004E70">
        <w:t xml:space="preserve"> conducted during the preparation of port master plans and overlays</w:t>
      </w:r>
      <w:r w:rsidR="008C3D6F">
        <w:t xml:space="preserve">, and that </w:t>
      </w:r>
      <w:r w:rsidRPr="00004E70">
        <w:t>relevant local government and port authorities are included when preparing port master plans and overlays.</w:t>
      </w:r>
      <w:r w:rsidR="008C3D6F">
        <w:t xml:space="preserve"> </w:t>
      </w:r>
      <w:r w:rsidRPr="00004E70">
        <w:t xml:space="preserve">In addition to mandatory formal public consultation, </w:t>
      </w:r>
      <w:r w:rsidR="00DD0260">
        <w:t xml:space="preserve">TMR, </w:t>
      </w:r>
      <w:r w:rsidRPr="00004E70">
        <w:t>when developing master plans and port overlays:</w:t>
      </w:r>
    </w:p>
    <w:p w14:paraId="4F7024A6" w14:textId="3C1C768F" w:rsidR="009C54B9" w:rsidRDefault="009C54B9" w:rsidP="00FF5F29">
      <w:pPr>
        <w:pStyle w:val="BodyText"/>
        <w:spacing w:before="122" w:line="278" w:lineRule="auto"/>
        <w:ind w:right="120"/>
        <w:contextualSpacing/>
        <w:jc w:val="both"/>
      </w:pPr>
    </w:p>
    <w:p w14:paraId="742C78BD" w14:textId="77C2AD50" w:rsidR="0042710A" w:rsidRPr="00004E70" w:rsidRDefault="0042710A" w:rsidP="00FF5F29">
      <w:pPr>
        <w:pStyle w:val="BodyText"/>
        <w:numPr>
          <w:ilvl w:val="0"/>
          <w:numId w:val="11"/>
        </w:numPr>
        <w:spacing w:before="122" w:line="278" w:lineRule="auto"/>
        <w:ind w:right="120"/>
        <w:contextualSpacing/>
        <w:jc w:val="both"/>
      </w:pPr>
      <w:r w:rsidRPr="00004E70">
        <w:t xml:space="preserve">works closely with port authorities, local governments and other key stakeholders including industry, traditional owners, community and environmental </w:t>
      </w:r>
      <w:proofErr w:type="gramStart"/>
      <w:r w:rsidRPr="00004E70">
        <w:t>groups</w:t>
      </w:r>
      <w:proofErr w:type="gramEnd"/>
    </w:p>
    <w:p w14:paraId="6920EB29" w14:textId="6DC954CA" w:rsidR="0042710A" w:rsidRPr="00004E70" w:rsidRDefault="0042710A" w:rsidP="00FF5F29">
      <w:pPr>
        <w:pStyle w:val="BodyText"/>
        <w:numPr>
          <w:ilvl w:val="0"/>
          <w:numId w:val="11"/>
        </w:numPr>
        <w:spacing w:before="122" w:line="278" w:lineRule="auto"/>
        <w:ind w:right="120"/>
        <w:contextualSpacing/>
        <w:jc w:val="both"/>
      </w:pPr>
      <w:r w:rsidRPr="00004E70">
        <w:t>makes timely information about priority port master planning processes and activities available subject to privacy/confidentiality restrictions</w:t>
      </w:r>
      <w:r w:rsidR="001E570E">
        <w:t>,</w:t>
      </w:r>
      <w:r w:rsidRPr="00004E70">
        <w:t xml:space="preserve"> and</w:t>
      </w:r>
    </w:p>
    <w:p w14:paraId="2EEA7184" w14:textId="783139B8" w:rsidR="0042710A" w:rsidRPr="00004E70" w:rsidRDefault="0042710A" w:rsidP="00E72D19">
      <w:pPr>
        <w:pStyle w:val="BodyText"/>
        <w:numPr>
          <w:ilvl w:val="0"/>
          <w:numId w:val="11"/>
        </w:numPr>
        <w:spacing w:before="122" w:line="278" w:lineRule="auto"/>
        <w:ind w:right="120"/>
        <w:contextualSpacing/>
      </w:pPr>
      <w:r w:rsidRPr="00004E70">
        <w:t>seeks public submissions at key points of the master planning and port overlay making processes.</w:t>
      </w:r>
      <w:r w:rsidR="00DA4485">
        <w:br/>
      </w:r>
    </w:p>
    <w:p w14:paraId="4FB7AD4F" w14:textId="2DBBF75E" w:rsidR="0042710A" w:rsidRDefault="0042710A" w:rsidP="00FF5F29">
      <w:pPr>
        <w:pStyle w:val="BodyText"/>
        <w:spacing w:before="122" w:line="278" w:lineRule="auto"/>
        <w:ind w:right="120"/>
        <w:contextualSpacing/>
        <w:jc w:val="both"/>
        <w:rPr>
          <w:color w:val="0562C1"/>
          <w:spacing w:val="-2"/>
          <w:u w:val="single" w:color="0562C1"/>
        </w:rPr>
      </w:pPr>
      <w:r w:rsidRPr="00004E70">
        <w:t xml:space="preserve">A guideline on port master planning </w:t>
      </w:r>
      <w:r w:rsidR="003813F2">
        <w:t xml:space="preserve">that outlines </w:t>
      </w:r>
      <w:r w:rsidRPr="00004E70">
        <w:t xml:space="preserve">requirements for consultation and engagement has been published and is publicly available at </w:t>
      </w:r>
      <w:hyperlink r:id="rId11" w:tgtFrame="_blank" w:history="1">
        <w:r w:rsidRPr="002258D6">
          <w:rPr>
            <w:color w:val="0562C1"/>
            <w:spacing w:val="-2"/>
            <w:u w:val="single" w:color="0562C1"/>
          </w:rPr>
          <w:t>https://www.tmr.qld.gov.au/business-industry/Transport-sectors/Ports/Sustainable-port-development-and-operation/Master-planning-for-priority-ports</w:t>
        </w:r>
      </w:hyperlink>
    </w:p>
    <w:p w14:paraId="35F6E1F6" w14:textId="0A80E486" w:rsidR="001F08BE" w:rsidRDefault="001F08BE">
      <w:pPr>
        <w:spacing w:after="160" w:line="259" w:lineRule="auto"/>
      </w:pPr>
      <w:r>
        <w:br w:type="page"/>
      </w:r>
    </w:p>
    <w:p w14:paraId="41A2896E" w14:textId="18128405" w:rsidR="00961C30" w:rsidRPr="00A76CA0" w:rsidRDefault="00961C30" w:rsidP="00A76CA0">
      <w:pPr>
        <w:pStyle w:val="BodyText"/>
        <w:spacing w:before="100" w:beforeAutospacing="1" w:line="240" w:lineRule="auto"/>
        <w:ind w:right="119"/>
        <w:contextualSpacing/>
        <w:jc w:val="both"/>
        <w:rPr>
          <w:sz w:val="12"/>
          <w:szCs w:val="10"/>
        </w:rPr>
      </w:pPr>
      <w:r>
        <w:rPr>
          <w:noProof/>
        </w:rPr>
        <w:lastRenderedPageBreak/>
        <mc:AlternateContent>
          <mc:Choice Requires="wpg">
            <w:drawing>
              <wp:anchor distT="0" distB="0" distL="114300" distR="114300" simplePos="0" relativeHeight="251632128" behindDoc="0" locked="0" layoutInCell="1" allowOverlap="1" wp14:anchorId="195F5F5A" wp14:editId="79C4D606">
                <wp:simplePos x="0" y="0"/>
                <wp:positionH relativeFrom="column">
                  <wp:posOffset>0</wp:posOffset>
                </wp:positionH>
                <wp:positionV relativeFrom="paragraph">
                  <wp:posOffset>42545</wp:posOffset>
                </wp:positionV>
                <wp:extent cx="3308350" cy="753745"/>
                <wp:effectExtent l="0" t="0" r="0" b="0"/>
                <wp:wrapTopAndBottom/>
                <wp:docPr id="78958441" name="Group 1"/>
                <wp:cNvGraphicFramePr/>
                <a:graphic xmlns:a="http://schemas.openxmlformats.org/drawingml/2006/main">
                  <a:graphicData uri="http://schemas.microsoft.com/office/word/2010/wordprocessingGroup">
                    <wpg:wgp>
                      <wpg:cNvGrpSpPr/>
                      <wpg:grpSpPr>
                        <a:xfrm>
                          <a:off x="0" y="0"/>
                          <a:ext cx="3308350" cy="753745"/>
                          <a:chOff x="0" y="0"/>
                          <a:chExt cx="3310434" cy="756758"/>
                        </a:xfrm>
                      </wpg:grpSpPr>
                      <wps:wsp>
                        <wps:cNvPr id="27" name="Graphic 27"/>
                        <wps:cNvSpPr/>
                        <wps:spPr>
                          <a:xfrm>
                            <a:off x="0" y="0"/>
                            <a:ext cx="3224694" cy="622129"/>
                          </a:xfrm>
                          <a:custGeom>
                            <a:avLst/>
                            <a:gdLst/>
                            <a:ahLst/>
                            <a:cxnLst/>
                            <a:rect l="l" t="t" r="r" b="b"/>
                            <a:pathLst>
                              <a:path w="3225165" h="622300">
                                <a:moveTo>
                                  <a:pt x="2914015" y="0"/>
                                </a:moveTo>
                                <a:lnTo>
                                  <a:pt x="0" y="0"/>
                                </a:lnTo>
                                <a:lnTo>
                                  <a:pt x="0" y="622300"/>
                                </a:lnTo>
                                <a:lnTo>
                                  <a:pt x="2914015" y="622300"/>
                                </a:lnTo>
                                <a:lnTo>
                                  <a:pt x="3225165" y="311150"/>
                                </a:lnTo>
                                <a:lnTo>
                                  <a:pt x="2914015" y="0"/>
                                </a:lnTo>
                                <a:close/>
                              </a:path>
                            </a:pathLst>
                          </a:custGeom>
                          <a:solidFill>
                            <a:srgbClr val="003B69"/>
                          </a:solidFill>
                        </wps:spPr>
                        <wps:bodyPr wrap="square" lIns="0" tIns="0" rIns="0" bIns="0" rtlCol="0">
                          <a:prstTxWarp prst="textNoShape">
                            <a:avLst/>
                          </a:prstTxWarp>
                          <a:noAutofit/>
                        </wps:bodyPr>
                      </wps:wsp>
                      <wps:wsp>
                        <wps:cNvPr id="28" name="Textbox 28"/>
                        <wps:cNvSpPr txBox="1"/>
                        <wps:spPr>
                          <a:xfrm>
                            <a:off x="104773" y="142680"/>
                            <a:ext cx="3205661" cy="614078"/>
                          </a:xfrm>
                          <a:prstGeom prst="rect">
                            <a:avLst/>
                          </a:prstGeom>
                        </wps:spPr>
                        <wps:txbx>
                          <w:txbxContent>
                            <w:p w14:paraId="2E2368F7" w14:textId="4DF5827B" w:rsidR="0091497D" w:rsidRPr="0045457B" w:rsidRDefault="0091497D" w:rsidP="0045457B">
                              <w:pPr>
                                <w:rPr>
                                  <w:b/>
                                  <w:bCs/>
                                  <w:color w:val="FFFFFF" w:themeColor="background1"/>
                                  <w:sz w:val="36"/>
                                  <w:szCs w:val="36"/>
                                </w:rPr>
                              </w:pPr>
                              <w:r w:rsidRPr="0045457B">
                                <w:rPr>
                                  <w:b/>
                                  <w:bCs/>
                                  <w:color w:val="FFFFFF" w:themeColor="background1"/>
                                  <w:sz w:val="36"/>
                                  <w:szCs w:val="36"/>
                                </w:rPr>
                                <w:t>Active Transport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5F5F5A" id="Group 1" o:spid="_x0000_s1037" style="position:absolute;left:0;text-align:left;margin-left:0;margin-top:3.35pt;width:260.5pt;height:59.35pt;z-index:251632128;mso-position-horizontal-relative:text;mso-position-vertical-relative:text;mso-width-relative:margin;mso-height-relative:margin" coordsize="3310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">
                <v:shape id="Graphic 27" o:spid="_x0000_s1038" style="position:absolute;width:32246;height:6221;visibility:visible;mso-wrap-style:square;v-text-anchor:top" coordsize="3225165,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" path="m2914015,l,,,622300r2914015,l3225165,311150,2914015,xe" fillcolor="#003b69" stroked="f">
                  <v:path arrowok="t"/>
                </v:shape>
                <v:shape id="Textbox 28" o:spid="_x0000_s1039" type="#_x0000_t202" style="position:absolute;left:1047;top:1426;width:32057;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E2368F7" w14:textId="4DF5827B" w:rsidR="0091497D" w:rsidRPr="0045457B" w:rsidRDefault="0091497D" w:rsidP="0045457B">
                        <w:pPr>
                          <w:rPr>
                            <w:b/>
                            <w:bCs/>
                            <w:color w:val="FFFFFF" w:themeColor="background1"/>
                            <w:sz w:val="36"/>
                            <w:szCs w:val="36"/>
                          </w:rPr>
                        </w:pPr>
                        <w:r w:rsidRPr="0045457B">
                          <w:rPr>
                            <w:b/>
                            <w:bCs/>
                            <w:color w:val="FFFFFF" w:themeColor="background1"/>
                            <w:sz w:val="36"/>
                            <w:szCs w:val="36"/>
                          </w:rPr>
                          <w:t>Active Transport</w:t>
                        </w:r>
                      </w:p>
                    </w:txbxContent>
                  </v:textbox>
                </v:shape>
                <w10:wrap type="topAndBottom"/>
              </v:group>
            </w:pict>
          </mc:Fallback>
        </mc:AlternateContent>
      </w:r>
    </w:p>
    <w:p w14:paraId="4B8B0E1B" w14:textId="224C8457" w:rsidR="0091497D" w:rsidRPr="00ED1855" w:rsidRDefault="0091497D" w:rsidP="00FF5F29">
      <w:pPr>
        <w:pStyle w:val="BodyText"/>
        <w:spacing w:beforeLines="122" w:before="292"/>
        <w:ind w:right="120"/>
        <w:contextualSpacing/>
        <w:jc w:val="both"/>
      </w:pPr>
      <w:r>
        <w:t>TMR engages proactively with representative organisations and the Queensland community</w:t>
      </w:r>
      <w:r>
        <w:rPr>
          <w:spacing w:val="-3"/>
        </w:rPr>
        <w:t xml:space="preserve"> </w:t>
      </w:r>
      <w:r>
        <w:t>in</w:t>
      </w:r>
      <w:r>
        <w:rPr>
          <w:spacing w:val="-2"/>
        </w:rPr>
        <w:t xml:space="preserve"> </w:t>
      </w:r>
      <w:r>
        <w:t>relation</w:t>
      </w:r>
      <w:r>
        <w:rPr>
          <w:spacing w:val="-4"/>
        </w:rPr>
        <w:t xml:space="preserve"> </w:t>
      </w:r>
      <w:r>
        <w:t>to</w:t>
      </w:r>
      <w:r>
        <w:rPr>
          <w:spacing w:val="-2"/>
        </w:rPr>
        <w:t xml:space="preserve"> </w:t>
      </w:r>
      <w:r>
        <w:t>active</w:t>
      </w:r>
      <w:r>
        <w:rPr>
          <w:spacing w:val="-4"/>
        </w:rPr>
        <w:t xml:space="preserve"> </w:t>
      </w:r>
      <w:r>
        <w:t>transport</w:t>
      </w:r>
      <w:r>
        <w:rPr>
          <w:spacing w:val="-2"/>
        </w:rPr>
        <w:t xml:space="preserve"> </w:t>
      </w:r>
      <w:r>
        <w:t>policy</w:t>
      </w:r>
      <w:r w:rsidR="00350353" w:rsidRPr="00ED1855">
        <w:t>, planning</w:t>
      </w:r>
      <w:r w:rsidRPr="00ED1855">
        <w:rPr>
          <w:spacing w:val="-3"/>
        </w:rPr>
        <w:t xml:space="preserve"> </w:t>
      </w:r>
      <w:r w:rsidRPr="00ED1855">
        <w:t>and</w:t>
      </w:r>
      <w:r w:rsidRPr="00ED1855">
        <w:rPr>
          <w:spacing w:val="-4"/>
        </w:rPr>
        <w:t xml:space="preserve"> </w:t>
      </w:r>
      <w:r w:rsidRPr="00ED1855">
        <w:t>infrastructure</w:t>
      </w:r>
      <w:r w:rsidRPr="00ED1855">
        <w:rPr>
          <w:spacing w:val="-4"/>
        </w:rPr>
        <w:t xml:space="preserve"> </w:t>
      </w:r>
      <w:r w:rsidRPr="00ED1855">
        <w:t>delivery.</w:t>
      </w:r>
      <w:r w:rsidRPr="00ED1855">
        <w:rPr>
          <w:spacing w:val="-2"/>
        </w:rPr>
        <w:t xml:space="preserve"> </w:t>
      </w:r>
      <w:r w:rsidRPr="00ED1855">
        <w:t xml:space="preserve">Examples </w:t>
      </w:r>
      <w:r w:rsidRPr="00ED1855">
        <w:rPr>
          <w:spacing w:val="-2"/>
        </w:rPr>
        <w:t>include:</w:t>
      </w:r>
    </w:p>
    <w:p w14:paraId="2FE261D1" w14:textId="1771D3FA" w:rsidR="00A85161" w:rsidRPr="005C7094" w:rsidRDefault="00AC5699" w:rsidP="00FF5F29">
      <w:pPr>
        <w:pStyle w:val="ListParagraph0"/>
        <w:widowControl w:val="0"/>
        <w:numPr>
          <w:ilvl w:val="1"/>
          <w:numId w:val="10"/>
        </w:numPr>
        <w:tabs>
          <w:tab w:val="left" w:pos="709"/>
        </w:tabs>
        <w:autoSpaceDE w:val="0"/>
        <w:autoSpaceDN w:val="0"/>
        <w:spacing w:beforeLines="122" w:before="292" w:line="240" w:lineRule="auto"/>
        <w:ind w:left="425" w:right="120" w:hanging="357"/>
        <w:jc w:val="both"/>
      </w:pPr>
      <w:r>
        <w:t>S</w:t>
      </w:r>
      <w:r w:rsidR="0091497D" w:rsidRPr="00ED1855">
        <w:t xml:space="preserve">takeholder engagement forums and summits </w:t>
      </w:r>
      <w:r w:rsidR="009978B0">
        <w:t xml:space="preserve">were </w:t>
      </w:r>
      <w:r w:rsidR="0091497D" w:rsidRPr="00ED1855">
        <w:t>held to shape Queensland Government</w:t>
      </w:r>
      <w:r w:rsidR="0091497D" w:rsidRPr="003A7F3C">
        <w:rPr>
          <w:spacing w:val="-3"/>
        </w:rPr>
        <w:t xml:space="preserve"> </w:t>
      </w:r>
      <w:r w:rsidR="0091497D" w:rsidRPr="00ED1855">
        <w:t>strategy</w:t>
      </w:r>
      <w:r w:rsidR="0091497D" w:rsidRPr="003A7F3C">
        <w:rPr>
          <w:spacing w:val="-6"/>
        </w:rPr>
        <w:t xml:space="preserve"> </w:t>
      </w:r>
      <w:r w:rsidR="0091497D" w:rsidRPr="00ED1855">
        <w:t>development</w:t>
      </w:r>
      <w:r w:rsidR="0091497D" w:rsidRPr="003A7F3C">
        <w:rPr>
          <w:spacing w:val="-3"/>
        </w:rPr>
        <w:t xml:space="preserve"> </w:t>
      </w:r>
      <w:r w:rsidR="0091497D" w:rsidRPr="00ED1855">
        <w:t>for</w:t>
      </w:r>
      <w:r w:rsidR="0091497D" w:rsidRPr="003A7F3C">
        <w:rPr>
          <w:spacing w:val="-5"/>
        </w:rPr>
        <w:t xml:space="preserve"> </w:t>
      </w:r>
      <w:r w:rsidR="0091497D" w:rsidRPr="00ED1855">
        <w:t>the</w:t>
      </w:r>
      <w:r w:rsidR="0091497D" w:rsidRPr="003A7F3C">
        <w:rPr>
          <w:spacing w:val="-3"/>
        </w:rPr>
        <w:t xml:space="preserve"> </w:t>
      </w:r>
      <w:r w:rsidR="0091497D" w:rsidRPr="003A7F3C">
        <w:rPr>
          <w:i/>
        </w:rPr>
        <w:t>Queensland</w:t>
      </w:r>
      <w:r w:rsidR="0091497D" w:rsidRPr="003A7F3C">
        <w:rPr>
          <w:i/>
          <w:spacing w:val="-4"/>
        </w:rPr>
        <w:t xml:space="preserve"> </w:t>
      </w:r>
      <w:r w:rsidR="0091497D" w:rsidRPr="003A7F3C">
        <w:rPr>
          <w:i/>
        </w:rPr>
        <w:t>Cycling</w:t>
      </w:r>
      <w:r w:rsidR="0091497D" w:rsidRPr="003A7F3C">
        <w:rPr>
          <w:i/>
          <w:spacing w:val="-5"/>
        </w:rPr>
        <w:t xml:space="preserve"> </w:t>
      </w:r>
      <w:r w:rsidR="0091497D" w:rsidRPr="003A7F3C">
        <w:rPr>
          <w:i/>
        </w:rPr>
        <w:t>Strategy</w:t>
      </w:r>
      <w:r w:rsidR="0091497D" w:rsidRPr="003A7F3C">
        <w:rPr>
          <w:i/>
          <w:spacing w:val="-4"/>
        </w:rPr>
        <w:t xml:space="preserve"> </w:t>
      </w:r>
      <w:r w:rsidR="0091497D" w:rsidRPr="003A7F3C">
        <w:rPr>
          <w:i/>
        </w:rPr>
        <w:t xml:space="preserve">2017–2027 </w:t>
      </w:r>
      <w:r w:rsidR="0091497D" w:rsidRPr="00ED1855">
        <w:t xml:space="preserve">and </w:t>
      </w:r>
      <w:r w:rsidR="0091497D" w:rsidRPr="003A7F3C">
        <w:rPr>
          <w:i/>
        </w:rPr>
        <w:t xml:space="preserve">Queensland Walking Strategy 2019–2029 </w:t>
      </w:r>
      <w:r w:rsidR="0091497D" w:rsidRPr="00ED1855">
        <w:t xml:space="preserve">and supporting two-year action </w:t>
      </w:r>
      <w:proofErr w:type="gramStart"/>
      <w:r w:rsidR="0091497D" w:rsidRPr="003A7F3C">
        <w:rPr>
          <w:spacing w:val="-2"/>
        </w:rPr>
        <w:t>plans</w:t>
      </w:r>
      <w:proofErr w:type="gramEnd"/>
    </w:p>
    <w:p w14:paraId="58961E2D" w14:textId="77777777" w:rsidR="005C7094" w:rsidRPr="005C7094" w:rsidRDefault="005C7094" w:rsidP="00FF5F29">
      <w:pPr>
        <w:pStyle w:val="ListParagraph0"/>
        <w:widowControl w:val="0"/>
        <w:tabs>
          <w:tab w:val="left" w:pos="709"/>
        </w:tabs>
        <w:autoSpaceDE w:val="0"/>
        <w:autoSpaceDN w:val="0"/>
        <w:spacing w:beforeLines="122" w:before="292" w:line="240" w:lineRule="auto"/>
        <w:ind w:left="425" w:right="120"/>
        <w:jc w:val="both"/>
      </w:pPr>
    </w:p>
    <w:p w14:paraId="1A5AB9A5" w14:textId="62020067" w:rsidR="00C155AD" w:rsidRDefault="0091497D" w:rsidP="00E72D19">
      <w:pPr>
        <w:pStyle w:val="ListParagraph0"/>
        <w:widowControl w:val="0"/>
        <w:numPr>
          <w:ilvl w:val="1"/>
          <w:numId w:val="10"/>
        </w:numPr>
        <w:tabs>
          <w:tab w:val="left" w:pos="709"/>
        </w:tabs>
        <w:autoSpaceDE w:val="0"/>
        <w:autoSpaceDN w:val="0"/>
        <w:spacing w:beforeLines="122" w:before="292" w:line="240" w:lineRule="auto"/>
        <w:ind w:left="425" w:right="120" w:hanging="357"/>
      </w:pPr>
      <w:r w:rsidRPr="00ED1855">
        <w:t>Action</w:t>
      </w:r>
      <w:r w:rsidRPr="005C7094">
        <w:t xml:space="preserve"> </w:t>
      </w:r>
      <w:r w:rsidRPr="00ED1855">
        <w:t>plans</w:t>
      </w:r>
      <w:r w:rsidRPr="005C7094">
        <w:t xml:space="preserve"> </w:t>
      </w:r>
      <w:r w:rsidRPr="00ED1855">
        <w:t>for</w:t>
      </w:r>
      <w:r w:rsidRPr="005C7094">
        <w:t xml:space="preserve"> </w:t>
      </w:r>
      <w:r w:rsidRPr="00ED1855">
        <w:t>cycling</w:t>
      </w:r>
      <w:r w:rsidRPr="005C7094">
        <w:t xml:space="preserve"> </w:t>
      </w:r>
      <w:r w:rsidRPr="00ED1855">
        <w:t>and</w:t>
      </w:r>
      <w:r w:rsidRPr="005C7094">
        <w:t xml:space="preserve"> </w:t>
      </w:r>
      <w:r w:rsidRPr="00ED1855">
        <w:t>walking</w:t>
      </w:r>
      <w:r w:rsidRPr="005C7094">
        <w:t xml:space="preserve"> </w:t>
      </w:r>
      <w:r w:rsidR="005C595D" w:rsidRPr="00ED1855">
        <w:t>are</w:t>
      </w:r>
      <w:r w:rsidRPr="00ED1855">
        <w:t xml:space="preserve"> developed with input from community groups, representative organisations, local government and other Queensland Government agencies in the health, tourism,</w:t>
      </w:r>
      <w:r w:rsidRPr="005C7094">
        <w:t xml:space="preserve"> </w:t>
      </w:r>
      <w:r w:rsidRPr="00ED1855">
        <w:t>education,</w:t>
      </w:r>
      <w:r w:rsidRPr="005C7094">
        <w:t xml:space="preserve"> </w:t>
      </w:r>
      <w:r w:rsidRPr="00ED1855">
        <w:t>planning,</w:t>
      </w:r>
      <w:r w:rsidRPr="005C7094">
        <w:t xml:space="preserve"> </w:t>
      </w:r>
      <w:r w:rsidRPr="00ED1855">
        <w:t>policing</w:t>
      </w:r>
      <w:r w:rsidR="003D295F">
        <w:t>,</w:t>
      </w:r>
      <w:r w:rsidRPr="005C7094">
        <w:t xml:space="preserve"> </w:t>
      </w:r>
      <w:r w:rsidRPr="00ED1855">
        <w:t>and</w:t>
      </w:r>
      <w:r w:rsidRPr="005C7094">
        <w:t xml:space="preserve"> </w:t>
      </w:r>
      <w:r w:rsidRPr="00ED1855">
        <w:t>emergency</w:t>
      </w:r>
      <w:r w:rsidRPr="005C7094">
        <w:t xml:space="preserve"> </w:t>
      </w:r>
      <w:r w:rsidRPr="00ED1855">
        <w:t>service</w:t>
      </w:r>
      <w:r w:rsidR="003D295F">
        <w:t>s</w:t>
      </w:r>
      <w:r w:rsidRPr="005C7094">
        <w:t xml:space="preserve"> </w:t>
      </w:r>
      <w:r w:rsidRPr="00ED1855">
        <w:t>sectors</w:t>
      </w:r>
      <w:r w:rsidR="00C155AD">
        <w:br/>
      </w:r>
    </w:p>
    <w:p w14:paraId="285C0B14" w14:textId="4F370550" w:rsidR="005C7094" w:rsidRDefault="0091497D" w:rsidP="00FF5F29">
      <w:pPr>
        <w:pStyle w:val="ListParagraph0"/>
        <w:widowControl w:val="0"/>
        <w:numPr>
          <w:ilvl w:val="1"/>
          <w:numId w:val="10"/>
        </w:numPr>
        <w:tabs>
          <w:tab w:val="left" w:pos="709"/>
        </w:tabs>
        <w:autoSpaceDE w:val="0"/>
        <w:autoSpaceDN w:val="0"/>
        <w:spacing w:beforeLines="122" w:before="292" w:line="240" w:lineRule="auto"/>
        <w:ind w:left="425" w:right="120" w:hanging="357"/>
        <w:jc w:val="both"/>
      </w:pPr>
      <w:r w:rsidRPr="00ED1855">
        <w:t>TMR hosts the Ministerial Queensland Cycling Advisory</w:t>
      </w:r>
      <w:r>
        <w:t xml:space="preserve"> Group which meets regularly to guide the development, </w:t>
      </w:r>
      <w:proofErr w:type="gramStart"/>
      <w:r>
        <w:t>implementation</w:t>
      </w:r>
      <w:proofErr w:type="gramEnd"/>
      <w:r>
        <w:t xml:space="preserve"> and monitoring of the </w:t>
      </w:r>
      <w:r w:rsidRPr="00BD5632">
        <w:rPr>
          <w:i/>
          <w:iCs/>
        </w:rPr>
        <w:t>Queensland Cycling Strategy 2017–2027</w:t>
      </w:r>
      <w:r>
        <w:t xml:space="preserve">. </w:t>
      </w:r>
      <w:r w:rsidR="00EF4C23">
        <w:t>Group m</w:t>
      </w:r>
      <w:r>
        <w:t>embers are drawn from bicycle user groups</w:t>
      </w:r>
      <w:r w:rsidRPr="005C7094">
        <w:t xml:space="preserve"> </w:t>
      </w:r>
      <w:r>
        <w:t>and</w:t>
      </w:r>
      <w:r w:rsidRPr="005C7094">
        <w:t xml:space="preserve"> </w:t>
      </w:r>
      <w:r>
        <w:t>peak</w:t>
      </w:r>
      <w:r w:rsidRPr="005C7094">
        <w:t xml:space="preserve"> </w:t>
      </w:r>
      <w:r>
        <w:t>bodies,</w:t>
      </w:r>
      <w:r w:rsidRPr="005C7094">
        <w:t xml:space="preserve"> </w:t>
      </w:r>
      <w:r>
        <w:t>motoring</w:t>
      </w:r>
      <w:r w:rsidRPr="005C7094">
        <w:t xml:space="preserve"> </w:t>
      </w:r>
      <w:r>
        <w:t>organisations,</w:t>
      </w:r>
      <w:r w:rsidRPr="005C7094">
        <w:t xml:space="preserve"> </w:t>
      </w:r>
      <w:r>
        <w:t>the</w:t>
      </w:r>
      <w:r w:rsidRPr="005C7094">
        <w:t xml:space="preserve"> </w:t>
      </w:r>
      <w:r>
        <w:t>QPS</w:t>
      </w:r>
      <w:r w:rsidR="00034D2C">
        <w:t>,</w:t>
      </w:r>
      <w:r w:rsidRPr="005C7094">
        <w:t xml:space="preserve"> </w:t>
      </w:r>
      <w:r>
        <w:t>and</w:t>
      </w:r>
      <w:r w:rsidRPr="005C7094">
        <w:t xml:space="preserve"> </w:t>
      </w:r>
      <w:r>
        <w:t>academia</w:t>
      </w:r>
      <w:r w:rsidR="0076001E">
        <w:t>,</w:t>
      </w:r>
      <w:r w:rsidRPr="005C7094">
        <w:t xml:space="preserve"> </w:t>
      </w:r>
      <w:r w:rsidR="00034D2C">
        <w:t>with</w:t>
      </w:r>
      <w:r w:rsidRPr="005C7094">
        <w:t xml:space="preserve"> </w:t>
      </w:r>
      <w:r>
        <w:t xml:space="preserve">six-monthly meetings used to seek input on delivery priorities and </w:t>
      </w:r>
      <w:proofErr w:type="gramStart"/>
      <w:r>
        <w:t>direction</w:t>
      </w:r>
      <w:proofErr w:type="gramEnd"/>
    </w:p>
    <w:p w14:paraId="7712A379" w14:textId="77777777" w:rsidR="005C7094" w:rsidRDefault="005C7094" w:rsidP="00FF5F29">
      <w:pPr>
        <w:pStyle w:val="ListParagraph0"/>
        <w:widowControl w:val="0"/>
        <w:tabs>
          <w:tab w:val="left" w:pos="709"/>
        </w:tabs>
        <w:autoSpaceDE w:val="0"/>
        <w:autoSpaceDN w:val="0"/>
        <w:spacing w:beforeLines="122" w:before="292" w:line="240" w:lineRule="auto"/>
        <w:ind w:left="425" w:right="120"/>
        <w:jc w:val="both"/>
      </w:pPr>
    </w:p>
    <w:p w14:paraId="3306810D" w14:textId="2CF81129" w:rsidR="005C7094" w:rsidRDefault="0091497D" w:rsidP="00FF5F29">
      <w:pPr>
        <w:pStyle w:val="ListParagraph0"/>
        <w:widowControl w:val="0"/>
        <w:numPr>
          <w:ilvl w:val="1"/>
          <w:numId w:val="10"/>
        </w:numPr>
        <w:tabs>
          <w:tab w:val="left" w:pos="709"/>
        </w:tabs>
        <w:autoSpaceDE w:val="0"/>
        <w:autoSpaceDN w:val="0"/>
        <w:spacing w:beforeLines="122" w:before="292" w:line="240" w:lineRule="auto"/>
        <w:ind w:left="425" w:right="120" w:hanging="357"/>
        <w:jc w:val="both"/>
      </w:pPr>
      <w:r>
        <w:t xml:space="preserve">TMR </w:t>
      </w:r>
      <w:r w:rsidR="003813F2">
        <w:t>participat</w:t>
      </w:r>
      <w:r w:rsidR="003D295F">
        <w:t xml:space="preserve">es </w:t>
      </w:r>
      <w:r>
        <w:t xml:space="preserve">in </w:t>
      </w:r>
      <w:r w:rsidR="00034D2C">
        <w:t>local government</w:t>
      </w:r>
      <w:r w:rsidR="002660DC">
        <w:t xml:space="preserve"> hosted </w:t>
      </w:r>
      <w:r>
        <w:t>active transport advisory committees such</w:t>
      </w:r>
      <w:r w:rsidRPr="005C7094">
        <w:t xml:space="preserve"> </w:t>
      </w:r>
      <w:r>
        <w:t>as</w:t>
      </w:r>
      <w:r w:rsidRPr="005C7094">
        <w:t xml:space="preserve"> </w:t>
      </w:r>
      <w:r>
        <w:t>the</w:t>
      </w:r>
      <w:r w:rsidRPr="005C7094">
        <w:t xml:space="preserve"> </w:t>
      </w:r>
      <w:r>
        <w:t>Sunshine</w:t>
      </w:r>
      <w:r w:rsidRPr="005C7094">
        <w:t xml:space="preserve"> </w:t>
      </w:r>
      <w:r>
        <w:t>Coast</w:t>
      </w:r>
      <w:r w:rsidRPr="005C7094">
        <w:t xml:space="preserve"> </w:t>
      </w:r>
      <w:r>
        <w:t>and</w:t>
      </w:r>
      <w:r w:rsidRPr="005C7094">
        <w:t xml:space="preserve"> </w:t>
      </w:r>
      <w:r>
        <w:t>Redlands</w:t>
      </w:r>
      <w:r w:rsidRPr="005C7094">
        <w:t xml:space="preserve"> </w:t>
      </w:r>
      <w:r>
        <w:t>Coast</w:t>
      </w:r>
      <w:r w:rsidRPr="005C7094">
        <w:t xml:space="preserve"> </w:t>
      </w:r>
      <w:r>
        <w:t>active transport advisory committees</w:t>
      </w:r>
      <w:r w:rsidR="005C7094">
        <w:br/>
      </w:r>
    </w:p>
    <w:p w14:paraId="5451BE8A" w14:textId="3A6D5149" w:rsidR="0091497D" w:rsidRDefault="0091497D" w:rsidP="00FF5F29">
      <w:pPr>
        <w:pStyle w:val="ListParagraph0"/>
        <w:widowControl w:val="0"/>
        <w:numPr>
          <w:ilvl w:val="1"/>
          <w:numId w:val="10"/>
        </w:numPr>
        <w:tabs>
          <w:tab w:val="left" w:pos="709"/>
        </w:tabs>
        <w:autoSpaceDE w:val="0"/>
        <w:autoSpaceDN w:val="0"/>
        <w:spacing w:beforeLines="122" w:before="292" w:line="240" w:lineRule="auto"/>
        <w:ind w:left="425" w:right="120" w:hanging="357"/>
        <w:jc w:val="both"/>
      </w:pPr>
      <w:r>
        <w:t>TMR provides funding to the peak bodies for cycling and walking—Bicycle Queensland and Queensland Walks—to support their work in encouraging, promoting,</w:t>
      </w:r>
      <w:r w:rsidRPr="005C7094">
        <w:t xml:space="preserve"> </w:t>
      </w:r>
      <w:r>
        <w:t>and</w:t>
      </w:r>
      <w:r w:rsidRPr="005C7094">
        <w:t xml:space="preserve"> </w:t>
      </w:r>
      <w:r>
        <w:t>advocating</w:t>
      </w:r>
      <w:r w:rsidRPr="005C7094">
        <w:t xml:space="preserve"> </w:t>
      </w:r>
      <w:r>
        <w:t>for</w:t>
      </w:r>
      <w:r w:rsidRPr="005C7094">
        <w:t xml:space="preserve"> </w:t>
      </w:r>
      <w:r>
        <w:t>better</w:t>
      </w:r>
      <w:r w:rsidRPr="005C7094">
        <w:t xml:space="preserve"> </w:t>
      </w:r>
      <w:r>
        <w:t>conditions</w:t>
      </w:r>
      <w:r w:rsidRPr="005C7094">
        <w:t xml:space="preserve"> </w:t>
      </w:r>
      <w:r>
        <w:t>for</w:t>
      </w:r>
      <w:r w:rsidRPr="005C7094">
        <w:t xml:space="preserve"> </w:t>
      </w:r>
      <w:r>
        <w:t>people</w:t>
      </w:r>
      <w:r w:rsidRPr="005C7094">
        <w:t xml:space="preserve"> </w:t>
      </w:r>
      <w:r>
        <w:t>walking</w:t>
      </w:r>
      <w:r w:rsidRPr="005C7094">
        <w:t xml:space="preserve"> </w:t>
      </w:r>
      <w:r>
        <w:t>and</w:t>
      </w:r>
      <w:r w:rsidRPr="005C7094">
        <w:t xml:space="preserve"> </w:t>
      </w:r>
      <w:r>
        <w:t>riding</w:t>
      </w:r>
      <w:r w:rsidRPr="005C7094">
        <w:t xml:space="preserve"> </w:t>
      </w:r>
      <w:r>
        <w:t>bikes</w:t>
      </w:r>
      <w:r w:rsidR="002D6D86">
        <w:t xml:space="preserve">, </w:t>
      </w:r>
      <w:r w:rsidR="007A65AD">
        <w:t>with</w:t>
      </w:r>
      <w:r w:rsidR="00A85161">
        <w:t xml:space="preserve"> t</w:t>
      </w:r>
      <w:r w:rsidR="004F6230">
        <w:t xml:space="preserve">he </w:t>
      </w:r>
      <w:r w:rsidR="004F6230" w:rsidRPr="007A65AD">
        <w:rPr>
          <w:i/>
          <w:iCs/>
        </w:rPr>
        <w:t xml:space="preserve">Queensland Cycling Strategy 2017-2027 </w:t>
      </w:r>
      <w:r w:rsidR="004F6230">
        <w:t xml:space="preserve">and the </w:t>
      </w:r>
      <w:r w:rsidR="004F6230" w:rsidRPr="007A65AD">
        <w:rPr>
          <w:i/>
          <w:iCs/>
        </w:rPr>
        <w:t>Queensland Walking Strategy 2017-2027</w:t>
      </w:r>
      <w:r w:rsidR="004F6230">
        <w:t xml:space="preserve"> </w:t>
      </w:r>
      <w:r w:rsidR="007A65AD">
        <w:t>both</w:t>
      </w:r>
      <w:r w:rsidR="00EC6B2D">
        <w:t xml:space="preserve"> publicly available </w:t>
      </w:r>
      <w:r w:rsidR="004F6230">
        <w:t>at</w:t>
      </w:r>
      <w:r w:rsidR="00EC6B2D">
        <w:t xml:space="preserve"> the links below</w:t>
      </w:r>
      <w:r w:rsidR="00697FDC">
        <w:t>:</w:t>
      </w:r>
    </w:p>
    <w:p w14:paraId="2209A0FE" w14:textId="794169F6" w:rsidR="00A4090A" w:rsidRDefault="00000000" w:rsidP="00FF5F29">
      <w:pPr>
        <w:spacing w:beforeLines="122" w:before="292"/>
        <w:ind w:right="120"/>
        <w:contextualSpacing/>
        <w:jc w:val="both"/>
        <w:rPr>
          <w:color w:val="070B0F"/>
        </w:rPr>
      </w:pPr>
      <w:hyperlink r:id="rId12">
        <w:r w:rsidR="0091497D" w:rsidRPr="00F62F07">
          <w:rPr>
            <w:rStyle w:val="Hyperlink"/>
            <w:color w:val="0562C1"/>
            <w:spacing w:val="-2"/>
          </w:rPr>
          <w:t>https</w:t>
        </w:r>
        <w:r w:rsidR="0091497D">
          <w:rPr>
            <w:color w:val="0562C1"/>
            <w:u w:val="single" w:color="0562C1"/>
          </w:rPr>
          <w:t>://www.tmr.qld.gov.au/travel-and-transport/Cycling/Cycling-strategies</w:t>
        </w:r>
      </w:hyperlink>
      <w:r w:rsidR="00697FDC">
        <w:rPr>
          <w:color w:val="070B0F"/>
        </w:rPr>
        <w:t xml:space="preserve">  </w:t>
      </w:r>
    </w:p>
    <w:p w14:paraId="054A61FA" w14:textId="77777777" w:rsidR="00EF4C23" w:rsidRDefault="00EF4C23" w:rsidP="00FF5F29">
      <w:pPr>
        <w:spacing w:beforeLines="122" w:before="292"/>
        <w:ind w:right="120"/>
        <w:contextualSpacing/>
        <w:jc w:val="both"/>
        <w:rPr>
          <w:color w:val="070B0F"/>
        </w:rPr>
      </w:pPr>
    </w:p>
    <w:p w14:paraId="421A6165" w14:textId="5B4FCA99" w:rsidR="0091497D" w:rsidRDefault="00000000" w:rsidP="00FF5F29">
      <w:pPr>
        <w:spacing w:beforeLines="122" w:before="292"/>
        <w:ind w:right="120"/>
        <w:contextualSpacing/>
        <w:jc w:val="both"/>
        <w:rPr>
          <w:color w:val="0562C1"/>
          <w:spacing w:val="-2"/>
          <w:u w:val="single" w:color="0562C1"/>
        </w:rPr>
      </w:pPr>
      <w:hyperlink r:id="rId13" w:history="1">
        <w:r w:rsidR="0010298C" w:rsidRPr="00F62F07">
          <w:rPr>
            <w:rStyle w:val="Hyperlink"/>
            <w:color w:val="0562C1"/>
            <w:spacing w:val="-2"/>
            <w:u w:color="0562C1"/>
          </w:rPr>
          <w:t>https</w:t>
        </w:r>
        <w:r w:rsidR="0010298C" w:rsidRPr="002B134F">
          <w:rPr>
            <w:rStyle w:val="Hyperlink"/>
            <w:spacing w:val="-2"/>
          </w:rPr>
          <w:t>://www.tmr.qld.gov.au/travel-and-transport/pedestrians-and- walking/</w:t>
        </w:r>
        <w:proofErr w:type="spellStart"/>
        <w:r w:rsidR="0010298C" w:rsidRPr="002B134F">
          <w:rPr>
            <w:rStyle w:val="Hyperlink"/>
            <w:spacing w:val="-2"/>
          </w:rPr>
          <w:t>queensland</w:t>
        </w:r>
        <w:proofErr w:type="spellEnd"/>
      </w:hyperlink>
      <w:r w:rsidR="00306C10">
        <w:rPr>
          <w:rStyle w:val="Hyperlink"/>
          <w:spacing w:val="-2"/>
        </w:rPr>
        <w:t xml:space="preserve">- </w:t>
      </w:r>
      <w:hyperlink r:id="rId14">
        <w:r w:rsidR="0091497D">
          <w:rPr>
            <w:color w:val="0562C1"/>
            <w:spacing w:val="-2"/>
            <w:u w:val="single" w:color="0562C1"/>
          </w:rPr>
          <w:t>walking-strategy</w:t>
        </w:r>
      </w:hyperlink>
    </w:p>
    <w:p w14:paraId="5EB22D64" w14:textId="77777777" w:rsidR="00A33D57" w:rsidRDefault="00A33D57" w:rsidP="00FF5F29">
      <w:pPr>
        <w:spacing w:beforeLines="122" w:before="292"/>
        <w:ind w:right="120"/>
        <w:contextualSpacing/>
        <w:jc w:val="both"/>
        <w:rPr>
          <w:color w:val="0562C1"/>
          <w:spacing w:val="-2"/>
          <w:u w:val="single" w:color="0562C1"/>
        </w:rPr>
      </w:pPr>
    </w:p>
    <w:p w14:paraId="15D20D67" w14:textId="77777777" w:rsidR="001F08BE" w:rsidRDefault="001F08BE">
      <w:pPr>
        <w:spacing w:after="160" w:line="259" w:lineRule="auto"/>
        <w:rPr>
          <w:color w:val="0562C1"/>
          <w:spacing w:val="-2"/>
          <w:u w:val="single" w:color="0562C1"/>
        </w:rPr>
      </w:pPr>
      <w:r>
        <w:rPr>
          <w:color w:val="0562C1"/>
          <w:spacing w:val="-2"/>
          <w:u w:val="single" w:color="0562C1"/>
        </w:rPr>
        <w:br w:type="page"/>
      </w:r>
    </w:p>
    <w:p w14:paraId="65BA460C" w14:textId="726CE4B0" w:rsidR="00EF4C23" w:rsidRPr="00961C30" w:rsidRDefault="00966D2D" w:rsidP="00FF5F29">
      <w:pPr>
        <w:spacing w:beforeLines="122" w:before="292"/>
        <w:ind w:left="66" w:right="120"/>
        <w:contextualSpacing/>
        <w:jc w:val="both"/>
        <w:rPr>
          <w:color w:val="0562C1"/>
          <w:spacing w:val="-2"/>
          <w:sz w:val="40"/>
          <w:szCs w:val="36"/>
          <w:u w:val="single" w:color="0562C1"/>
        </w:rPr>
      </w:pPr>
      <w:r w:rsidRPr="006D6182">
        <w:rPr>
          <w:noProof/>
        </w:rPr>
        <w:lastRenderedPageBreak/>
        <mc:AlternateContent>
          <mc:Choice Requires="wps">
            <w:drawing>
              <wp:anchor distT="0" distB="0" distL="114300" distR="114300" simplePos="0" relativeHeight="251679232" behindDoc="0" locked="0" layoutInCell="1" allowOverlap="1" wp14:anchorId="2B41FC67" wp14:editId="3D7D92C1">
                <wp:simplePos x="0" y="0"/>
                <wp:positionH relativeFrom="margin">
                  <wp:posOffset>0</wp:posOffset>
                </wp:positionH>
                <wp:positionV relativeFrom="paragraph">
                  <wp:posOffset>85090</wp:posOffset>
                </wp:positionV>
                <wp:extent cx="3225600" cy="621102"/>
                <wp:effectExtent l="0" t="0" r="0" b="7620"/>
                <wp:wrapTopAndBottom/>
                <wp:docPr id="319725701" name="Arrow: Pentagon 319725701"/>
                <wp:cNvGraphicFramePr/>
                <a:graphic xmlns:a="http://schemas.openxmlformats.org/drawingml/2006/main">
                  <a:graphicData uri="http://schemas.microsoft.com/office/word/2010/wordprocessingShape">
                    <wps:wsp>
                      <wps:cNvSpPr/>
                      <wps:spPr>
                        <a:xfrm>
                          <a:off x="0" y="0"/>
                          <a:ext cx="3225600" cy="621102"/>
                        </a:xfrm>
                        <a:prstGeom prst="homePlate">
                          <a:avLst/>
                        </a:prstGeom>
                        <a:solidFill>
                          <a:srgbClr val="003B69"/>
                        </a:solidFill>
                      </wps:spPr>
                      <wps:txbx>
                        <w:txbxContent>
                          <w:p w14:paraId="55A51E42" w14:textId="60ABE055" w:rsidR="009C73E7" w:rsidRDefault="00205555" w:rsidP="009C73E7">
                            <w:r>
                              <w:rPr>
                                <w:b/>
                                <w:bCs/>
                                <w:color w:val="FFFFFF" w:themeColor="background1"/>
                                <w:sz w:val="36"/>
                                <w:szCs w:val="36"/>
                              </w:rPr>
                              <w:t>Heavy Primary Production Vehicle Concessions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41FC67" id="Arrow: Pentagon 319725701" o:spid="_x0000_s1040" type="#_x0000_t15" style="position:absolute;left:0;text-align:left;margin-left:0;margin-top:6.7pt;width:254pt;height:48.9pt;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" adj="19520" fillcolor="#003b69" stroked="f">
                <v:textbox>
                  <w:txbxContent>
                    <w:p w14:paraId="55A51E42" w14:textId="60ABE055" w:rsidR="009C73E7" w:rsidRDefault="00205555" w:rsidP="009C73E7">
                      <w:r>
                        <w:rPr>
                          <w:b/>
                          <w:bCs/>
                          <w:color w:val="FFFFFF" w:themeColor="background1"/>
                          <w:sz w:val="36"/>
                          <w:szCs w:val="36"/>
                        </w:rPr>
                        <w:t>Heavy Primary Production Vehicle Concessions</w:t>
                      </w:r>
                    </w:p>
                  </w:txbxContent>
                </v:textbox>
                <w10:wrap type="topAndBottom" anchorx="margin"/>
              </v:shape>
            </w:pict>
          </mc:Fallback>
        </mc:AlternateContent>
      </w:r>
    </w:p>
    <w:p w14:paraId="56115A49" w14:textId="77777777" w:rsidR="00966D2D" w:rsidRPr="00C92269" w:rsidRDefault="00966D2D" w:rsidP="00FF5F29">
      <w:pPr>
        <w:ind w:right="120"/>
        <w:jc w:val="both"/>
      </w:pPr>
      <w:r w:rsidRPr="00C92269">
        <w:t xml:space="preserve">TMR undertook meaningful consultation with primary producer industry stakeholders and as a result introduced changes to address significant stakeholder concerns. Specifically, TMR enabled greater flexibility in the use of Heavy Primary Production Vehicles (HPPVs) registered under the Primary Producer Concession Scheme (PPCS). </w:t>
      </w:r>
    </w:p>
    <w:p w14:paraId="72C1996E" w14:textId="77777777" w:rsidR="00966D2D" w:rsidRPr="00C92269" w:rsidRDefault="00966D2D" w:rsidP="00FF5F29">
      <w:pPr>
        <w:ind w:right="120"/>
        <w:jc w:val="both"/>
      </w:pPr>
    </w:p>
    <w:p w14:paraId="05CDEC4A" w14:textId="77777777" w:rsidR="00883D75" w:rsidRPr="00C92269" w:rsidRDefault="00883D75" w:rsidP="00FF5F29">
      <w:pPr>
        <w:ind w:right="120"/>
        <w:jc w:val="both"/>
      </w:pPr>
      <w:r w:rsidRPr="00C92269">
        <w:t xml:space="preserve">The PPCS provides registration fee relief to eligible primary producers who are registering HPPVs. Industry stakeholders noted that legislation preventing sharing of concessionally registered HPPVs limited the use of these vehicles within very common business models. For example, sharing between family members who own separate primary production businesses or related businesses within a similar geographical area. This meant that many primary producers were unable to access the scheme that was designed to </w:t>
      </w:r>
      <w:proofErr w:type="gramStart"/>
      <w:r w:rsidRPr="00C92269">
        <w:t>provide assistance</w:t>
      </w:r>
      <w:proofErr w:type="gramEnd"/>
      <w:r w:rsidRPr="00C92269">
        <w:t>.</w:t>
      </w:r>
    </w:p>
    <w:p w14:paraId="47EE877B" w14:textId="77777777" w:rsidR="00883D75" w:rsidRPr="00C92269" w:rsidRDefault="00883D75" w:rsidP="00FF5F29">
      <w:pPr>
        <w:ind w:right="120"/>
        <w:jc w:val="both"/>
      </w:pPr>
    </w:p>
    <w:p w14:paraId="24D06728" w14:textId="4FB318AB" w:rsidR="00883D75" w:rsidRDefault="00883D75" w:rsidP="00FF5F29">
      <w:pPr>
        <w:ind w:right="120"/>
        <w:jc w:val="both"/>
      </w:pPr>
      <w:r w:rsidRPr="00C92269">
        <w:t xml:space="preserve">Following a review of the policy, the </w:t>
      </w:r>
      <w:r w:rsidRPr="00C92269">
        <w:rPr>
          <w:i/>
          <w:iCs/>
        </w:rPr>
        <w:t>Transport Operations (Road Use Management—Vehicle Registration) and Other Legislation Amendment Regulation 2023</w:t>
      </w:r>
      <w:r w:rsidRPr="00C92269">
        <w:t xml:space="preserve"> made changes that enable participants in the PPCS to nominate up to five other primary producers with whom they may share their concessionally registered HPPVs. This change was settled on after consultation with industry. The shared use of HPPVs permitted by this legislation reduces operational costs and improves productivity for Queensland primary producers.</w:t>
      </w:r>
    </w:p>
    <w:p w14:paraId="0CFDEF14" w14:textId="04C98944" w:rsidR="001F08BE" w:rsidRDefault="001F08BE">
      <w:pPr>
        <w:spacing w:after="160" w:line="259" w:lineRule="auto"/>
      </w:pPr>
      <w:r>
        <w:br w:type="page"/>
      </w:r>
    </w:p>
    <w:p w14:paraId="1DDF1A4D" w14:textId="69B07DFF" w:rsidR="00D474EE" w:rsidRPr="006D6182" w:rsidRDefault="00D474EE" w:rsidP="00FF5F29">
      <w:pPr>
        <w:pStyle w:val="Heading2"/>
        <w:ind w:right="120"/>
      </w:pPr>
      <w:bookmarkStart w:id="16" w:name="_Toc184042931"/>
      <w:bookmarkStart w:id="17" w:name="_Toc184395461"/>
      <w:bookmarkStart w:id="18" w:name="_Toc185328311"/>
      <w:r w:rsidRPr="006D6182">
        <w:lastRenderedPageBreak/>
        <w:t xml:space="preserve">Provide appropriate information and support to assist </w:t>
      </w:r>
      <w:proofErr w:type="gramStart"/>
      <w:r w:rsidRPr="006D6182">
        <w:t>compliance</w:t>
      </w:r>
      <w:bookmarkEnd w:id="16"/>
      <w:bookmarkEnd w:id="17"/>
      <w:bookmarkEnd w:id="18"/>
      <w:proofErr w:type="gramEnd"/>
    </w:p>
    <w:p w14:paraId="1496701E" w14:textId="32DE8A1C" w:rsidR="00A0786A" w:rsidRPr="00961C30" w:rsidRDefault="00961C30" w:rsidP="00FF5F29">
      <w:pPr>
        <w:spacing w:line="260" w:lineRule="atLeast"/>
        <w:ind w:right="120"/>
        <w:rPr>
          <w:b/>
          <w:bCs/>
          <w:i/>
          <w:iCs/>
          <w:sz w:val="36"/>
          <w:szCs w:val="32"/>
        </w:rPr>
      </w:pPr>
      <w:r w:rsidRPr="006D6182">
        <w:rPr>
          <w:rFonts w:cs="Times New Roman"/>
          <w:noProof/>
          <w:szCs w:val="24"/>
        </w:rPr>
        <mc:AlternateContent>
          <mc:Choice Requires="wps">
            <w:drawing>
              <wp:anchor distT="0" distB="0" distL="114300" distR="114300" simplePos="0" relativeHeight="251662848" behindDoc="0" locked="0" layoutInCell="1" allowOverlap="1" wp14:anchorId="1300AE1A" wp14:editId="2A22082E">
                <wp:simplePos x="0" y="0"/>
                <wp:positionH relativeFrom="margin">
                  <wp:posOffset>0</wp:posOffset>
                </wp:positionH>
                <wp:positionV relativeFrom="paragraph">
                  <wp:posOffset>320040</wp:posOffset>
                </wp:positionV>
                <wp:extent cx="3232785" cy="621030"/>
                <wp:effectExtent l="0" t="0" r="5715" b="7620"/>
                <wp:wrapTopAndBottom/>
                <wp:docPr id="5" name="Arrow: Pentagon 5"/>
                <wp:cNvGraphicFramePr/>
                <a:graphic xmlns:a="http://schemas.openxmlformats.org/drawingml/2006/main">
                  <a:graphicData uri="http://schemas.microsoft.com/office/word/2010/wordprocessingShape">
                    <wps:wsp>
                      <wps:cNvSpPr/>
                      <wps:spPr>
                        <a:xfrm>
                          <a:off x="0" y="0"/>
                          <a:ext cx="3232785" cy="621030"/>
                        </a:xfrm>
                        <a:prstGeom prst="homePlate">
                          <a:avLst/>
                        </a:prstGeom>
                        <a:solidFill>
                          <a:srgbClr val="003B69"/>
                        </a:solidFill>
                      </wps:spPr>
                      <wps:txbx>
                        <w:txbxContent>
                          <w:p w14:paraId="259B1C53" w14:textId="77777777" w:rsidR="00D474EE" w:rsidRDefault="00D474EE" w:rsidP="00D474EE">
                            <w:r>
                              <w:rPr>
                                <w:b/>
                                <w:bCs/>
                                <w:color w:val="FFFFFF" w:themeColor="background1"/>
                                <w:sz w:val="36"/>
                                <w:szCs w:val="36"/>
                              </w:rPr>
                              <w:t>Passenger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00AE1A" id="Arrow: Pentagon 5" o:spid="_x0000_s1041" type="#_x0000_t15" style="position:absolute;margin-left:0;margin-top:25.2pt;width:254.55pt;height:48.9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" adj="19525" fillcolor="#003b69" stroked="f">
                <v:textbox>
                  <w:txbxContent>
                    <w:p w14:paraId="259B1C53" w14:textId="77777777" w:rsidR="00D474EE" w:rsidRDefault="00D474EE" w:rsidP="00D474EE">
                      <w:r>
                        <w:rPr>
                          <w:b/>
                          <w:bCs/>
                          <w:color w:val="FFFFFF" w:themeColor="background1"/>
                          <w:sz w:val="36"/>
                          <w:szCs w:val="36"/>
                        </w:rPr>
                        <w:t>Passenger Transport</w:t>
                      </w:r>
                    </w:p>
                  </w:txbxContent>
                </v:textbox>
                <w10:wrap type="topAndBottom" anchorx="margin"/>
              </v:shape>
            </w:pict>
          </mc:Fallback>
        </mc:AlternateContent>
      </w:r>
    </w:p>
    <w:p w14:paraId="3E5CC114" w14:textId="77777777" w:rsidR="00966D2D" w:rsidRPr="00961C30" w:rsidRDefault="00966D2D" w:rsidP="00FF5F29">
      <w:pPr>
        <w:spacing w:line="260" w:lineRule="atLeast"/>
        <w:ind w:right="120"/>
        <w:jc w:val="both"/>
        <w:rPr>
          <w:b/>
          <w:bCs/>
          <w:i/>
          <w:iCs/>
          <w:sz w:val="44"/>
          <w:szCs w:val="40"/>
        </w:rPr>
      </w:pPr>
    </w:p>
    <w:p w14:paraId="7B19834C" w14:textId="76D0ABD3" w:rsidR="00270534" w:rsidRPr="006D6182" w:rsidRDefault="00270534" w:rsidP="00FF5F29">
      <w:pPr>
        <w:ind w:right="120"/>
        <w:jc w:val="both"/>
        <w:rPr>
          <w:b/>
          <w:bCs/>
          <w:i/>
          <w:iCs/>
        </w:rPr>
      </w:pPr>
      <w:r w:rsidRPr="006D6182">
        <w:rPr>
          <w:b/>
          <w:bCs/>
          <w:i/>
          <w:iCs/>
        </w:rPr>
        <w:t xml:space="preserve">Information sources to assist </w:t>
      </w:r>
      <w:proofErr w:type="gramStart"/>
      <w:r w:rsidRPr="006D6182">
        <w:rPr>
          <w:b/>
          <w:bCs/>
          <w:i/>
          <w:iCs/>
        </w:rPr>
        <w:t>compliance</w:t>
      </w:r>
      <w:proofErr w:type="gramEnd"/>
    </w:p>
    <w:p w14:paraId="1CCEEADB" w14:textId="77777777" w:rsidR="00270534" w:rsidRPr="006D6182" w:rsidRDefault="00270534" w:rsidP="00FF5F29">
      <w:pPr>
        <w:pStyle w:val="BodyText"/>
        <w:ind w:right="120"/>
        <w:jc w:val="both"/>
      </w:pPr>
      <w:r w:rsidRPr="006D6182">
        <w:t>Translink Customer Liaison Officers, Busway Safety Officers, and Senior Network Officers are on the ground with our customers actively supporting them with service information and ensuring safety and ticketing compliance.</w:t>
      </w:r>
    </w:p>
    <w:p w14:paraId="49148AEE" w14:textId="77777777" w:rsidR="00270534" w:rsidRPr="006D6182" w:rsidRDefault="00270534" w:rsidP="00FF5F29">
      <w:pPr>
        <w:ind w:right="120"/>
        <w:jc w:val="both"/>
      </w:pPr>
    </w:p>
    <w:p w14:paraId="3422AF38" w14:textId="77777777" w:rsidR="00270534" w:rsidRPr="006D6182" w:rsidRDefault="00270534" w:rsidP="00FF5F29">
      <w:pPr>
        <w:pStyle w:val="BodyText"/>
        <w:ind w:right="120"/>
        <w:jc w:val="both"/>
      </w:pPr>
      <w:proofErr w:type="spellStart"/>
      <w:r w:rsidRPr="006D6182">
        <w:t>Translink's</w:t>
      </w:r>
      <w:proofErr w:type="spellEnd"/>
      <w:r w:rsidRPr="006D6182">
        <w:t xml:space="preserve"> Transit Safety, Security and Sustainability unit issue warning notices to first time offenders as an educational tool so that passengers can understand </w:t>
      </w:r>
      <w:r>
        <w:t xml:space="preserve">the </w:t>
      </w:r>
      <w:r w:rsidRPr="006D6182">
        <w:t>requirements when using the public transport network.</w:t>
      </w:r>
    </w:p>
    <w:p w14:paraId="31A8BA42" w14:textId="77777777" w:rsidR="00270534" w:rsidRPr="006D6182" w:rsidRDefault="00270534" w:rsidP="00FF5F29">
      <w:pPr>
        <w:ind w:right="120"/>
        <w:jc w:val="both"/>
      </w:pPr>
    </w:p>
    <w:p w14:paraId="30FE3152" w14:textId="77777777" w:rsidR="00270534" w:rsidRPr="006D6182" w:rsidRDefault="00270534" w:rsidP="00FF5F29">
      <w:pPr>
        <w:pStyle w:val="BodyText"/>
        <w:ind w:right="120"/>
        <w:jc w:val="both"/>
      </w:pPr>
      <w:r w:rsidRPr="006D6182">
        <w:t xml:space="preserve">The Queensland Revenue Office (Fines and Investigation Unit) </w:t>
      </w:r>
      <w:r>
        <w:t>can</w:t>
      </w:r>
      <w:r w:rsidRPr="006D6182">
        <w:t xml:space="preserve"> adjudicate on appeals from members of the public if they feel they have been unfairly punished. This provides a mechanism for members of the public to have matters reviewed without requiring court intervention</w:t>
      </w:r>
      <w:r>
        <w:t>,</w:t>
      </w:r>
      <w:r w:rsidRPr="006D6182">
        <w:t xml:space="preserve"> as well as an opportunity to be informed on any matters across the public transport network.</w:t>
      </w:r>
    </w:p>
    <w:p w14:paraId="22B6EB3C" w14:textId="77777777" w:rsidR="00270534" w:rsidRPr="006D6182" w:rsidRDefault="00270534" w:rsidP="00FF5F29">
      <w:pPr>
        <w:ind w:right="120"/>
        <w:jc w:val="both"/>
      </w:pPr>
    </w:p>
    <w:p w14:paraId="5E6B2B78" w14:textId="6038D228" w:rsidR="00270534" w:rsidRPr="006D6182" w:rsidRDefault="00270534" w:rsidP="00FF5F29">
      <w:pPr>
        <w:pStyle w:val="BodyText"/>
        <w:ind w:right="120"/>
        <w:jc w:val="both"/>
      </w:pPr>
      <w:r w:rsidRPr="006D6182">
        <w:t xml:space="preserve">Information about compliance with the Taxi Subsidy Scheme and Lift Payment Scheme, </w:t>
      </w:r>
      <w:proofErr w:type="gramStart"/>
      <w:r w:rsidRPr="006D6182">
        <w:t>policy</w:t>
      </w:r>
      <w:proofErr w:type="gramEnd"/>
      <w:r w:rsidR="00434EE7">
        <w:t xml:space="preserve"> </w:t>
      </w:r>
      <w:r w:rsidRPr="006D6182">
        <w:t>and regulation</w:t>
      </w:r>
      <w:r w:rsidR="00FF4E64">
        <w:t>,</w:t>
      </w:r>
      <w:r w:rsidRPr="006D6182">
        <w:t xml:space="preserve"> is communicated to the taxi industry through regular newsletters. </w:t>
      </w:r>
    </w:p>
    <w:p w14:paraId="1791DC10" w14:textId="0A7BD722" w:rsidR="001F08BE" w:rsidRDefault="001F08BE">
      <w:pPr>
        <w:spacing w:after="160" w:line="259" w:lineRule="auto"/>
        <w:rPr>
          <w:b/>
          <w:bCs/>
          <w:i/>
          <w:iCs/>
        </w:rPr>
      </w:pPr>
      <w:r>
        <w:rPr>
          <w:b/>
          <w:bCs/>
          <w:i/>
          <w:iCs/>
        </w:rPr>
        <w:br w:type="page"/>
      </w:r>
    </w:p>
    <w:p w14:paraId="251C00B1" w14:textId="1AF4AAAE" w:rsidR="00961C30" w:rsidRDefault="00961C30" w:rsidP="00FF5F29">
      <w:pPr>
        <w:ind w:right="120"/>
        <w:jc w:val="both"/>
        <w:rPr>
          <w:rFonts w:eastAsia="Times New Roman" w:cs="Times New Roman"/>
          <w:lang w:eastAsia="en-AU"/>
        </w:rPr>
      </w:pPr>
      <w:r>
        <w:rPr>
          <w:rFonts w:eastAsia="Times New Roman" w:cs="Times New Roman"/>
          <w:noProof/>
          <w:lang w:eastAsia="en-AU"/>
        </w:rPr>
        <w:lastRenderedPageBreak/>
        <mc:AlternateContent>
          <mc:Choice Requires="wpg">
            <w:drawing>
              <wp:anchor distT="0" distB="0" distL="114300" distR="114300" simplePos="0" relativeHeight="251641344" behindDoc="0" locked="0" layoutInCell="1" allowOverlap="1" wp14:anchorId="37448E3B" wp14:editId="02B161BA">
                <wp:simplePos x="0" y="0"/>
                <wp:positionH relativeFrom="column">
                  <wp:posOffset>0</wp:posOffset>
                </wp:positionH>
                <wp:positionV relativeFrom="paragraph">
                  <wp:posOffset>0</wp:posOffset>
                </wp:positionV>
                <wp:extent cx="3563620" cy="797560"/>
                <wp:effectExtent l="0" t="0" r="0" b="2540"/>
                <wp:wrapTopAndBottom/>
                <wp:docPr id="840080367" name="Group 2"/>
                <wp:cNvGraphicFramePr/>
                <a:graphic xmlns:a="http://schemas.openxmlformats.org/drawingml/2006/main">
                  <a:graphicData uri="http://schemas.microsoft.com/office/word/2010/wordprocessingGroup">
                    <wpg:wgp>
                      <wpg:cNvGrpSpPr/>
                      <wpg:grpSpPr>
                        <a:xfrm>
                          <a:off x="0" y="0"/>
                          <a:ext cx="3563620" cy="797560"/>
                          <a:chOff x="0" y="-58047"/>
                          <a:chExt cx="3605645" cy="941688"/>
                        </a:xfrm>
                      </wpg:grpSpPr>
                      <wps:wsp>
                        <wps:cNvPr id="42" name="Graphic 42"/>
                        <wps:cNvSpPr/>
                        <wps:spPr>
                          <a:xfrm>
                            <a:off x="0" y="76195"/>
                            <a:ext cx="3605645" cy="807446"/>
                          </a:xfrm>
                          <a:custGeom>
                            <a:avLst/>
                            <a:gdLst/>
                            <a:ahLst/>
                            <a:cxnLst/>
                            <a:rect l="l" t="t" r="r" b="b"/>
                            <a:pathLst>
                              <a:path w="3232785" h="621030">
                                <a:moveTo>
                                  <a:pt x="2922270" y="0"/>
                                </a:moveTo>
                                <a:lnTo>
                                  <a:pt x="0" y="0"/>
                                </a:lnTo>
                                <a:lnTo>
                                  <a:pt x="0" y="621030"/>
                                </a:lnTo>
                                <a:lnTo>
                                  <a:pt x="2922270" y="621030"/>
                                </a:lnTo>
                                <a:lnTo>
                                  <a:pt x="3232785" y="310515"/>
                                </a:lnTo>
                                <a:lnTo>
                                  <a:pt x="2922270" y="0"/>
                                </a:lnTo>
                                <a:close/>
                              </a:path>
                            </a:pathLst>
                          </a:custGeom>
                          <a:solidFill>
                            <a:srgbClr val="003B69"/>
                          </a:soli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box 43"/>
                        <wps:cNvSpPr txBox="1"/>
                        <wps:spPr>
                          <a:xfrm>
                            <a:off x="0" y="-58047"/>
                            <a:ext cx="3232785" cy="832225"/>
                          </a:xfrm>
                          <a:prstGeom prst="rect">
                            <a:avLst/>
                          </a:prstGeom>
                        </wps:spPr>
                        <wps:txbx>
                          <w:txbxContent>
                            <w:p w14:paraId="3D78F744" w14:textId="1E8D2B2F" w:rsidR="00ED7759" w:rsidRDefault="00EB60A5" w:rsidP="00ED7759">
                              <w:pPr>
                                <w:spacing w:before="282"/>
                                <w:ind w:left="153"/>
                                <w:rPr>
                                  <w:b/>
                                  <w:sz w:val="36"/>
                                </w:rPr>
                              </w:pPr>
                              <w:r>
                                <w:rPr>
                                  <w:b/>
                                  <w:color w:val="FFFFFF"/>
                                  <w:sz w:val="36"/>
                                </w:rPr>
                                <w:t>Scarborough Boat Harbour Master Plan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448E3B" id="Group 2" o:spid="_x0000_s1042" style="position:absolute;left:0;text-align:left;margin-left:0;margin-top:0;width:280.6pt;height:62.8pt;z-index:251641344;mso-position-horizontal-relative:text;mso-position-vertical-relative:text;mso-width-relative:margin;mso-height-relative:margin" coordorigin=",-580" coordsize="36056,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">
                <v:shape id="Graphic 42" o:spid="_x0000_s1043" style="position:absolute;top:761;width:36056;height:8075;visibility:visible;mso-wrap-style:square;v-text-anchor:middle" coordsize="3232785,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" path="m2922270,l,,,621030r2922270,l3232785,310515,2922270,xe" fillcolor="#003b69" stroked="f">
                  <v:path arrowok="t"/>
                </v:shape>
                <v:shape id="Textbox 43" o:spid="_x0000_s1044" type="#_x0000_t202" style="position:absolute;top:-580;width:32327;height:8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D78F744" w14:textId="1E8D2B2F" w:rsidR="00ED7759" w:rsidRDefault="00EB60A5" w:rsidP="00ED7759">
                        <w:pPr>
                          <w:spacing w:before="282"/>
                          <w:ind w:left="153"/>
                          <w:rPr>
                            <w:b/>
                            <w:sz w:val="36"/>
                          </w:rPr>
                        </w:pPr>
                        <w:r>
                          <w:rPr>
                            <w:b/>
                            <w:color w:val="FFFFFF"/>
                            <w:sz w:val="36"/>
                          </w:rPr>
                          <w:t>Scarborough Boat Harbour Master Plan</w:t>
                        </w:r>
                      </w:p>
                    </w:txbxContent>
                  </v:textbox>
                </v:shape>
                <w10:wrap type="topAndBottom"/>
              </v:group>
            </w:pict>
          </mc:Fallback>
        </mc:AlternateContent>
      </w:r>
    </w:p>
    <w:p w14:paraId="1B0A2B63" w14:textId="3FE0DED2" w:rsidR="00961C30" w:rsidRDefault="00961C30" w:rsidP="00FF5F29">
      <w:pPr>
        <w:ind w:right="120"/>
        <w:jc w:val="both"/>
        <w:rPr>
          <w:rFonts w:eastAsia="Times New Roman" w:cs="Times New Roman"/>
          <w:lang w:eastAsia="en-AU"/>
        </w:rPr>
      </w:pPr>
    </w:p>
    <w:p w14:paraId="68A93B07" w14:textId="5737272F" w:rsidR="00D768BE" w:rsidRDefault="00D768BE" w:rsidP="00FF5F29">
      <w:pPr>
        <w:ind w:right="120"/>
        <w:jc w:val="both"/>
        <w:rPr>
          <w:rFonts w:eastAsia="Times New Roman" w:cs="Times New Roman"/>
          <w:lang w:eastAsia="en-AU"/>
        </w:rPr>
      </w:pPr>
      <w:r w:rsidRPr="007A65AD">
        <w:rPr>
          <w:rFonts w:eastAsia="Times New Roman" w:cs="Times New Roman"/>
          <w:lang w:eastAsia="en-AU"/>
        </w:rPr>
        <w:t>TMR undertook master planning for Scarborough Boat Harbour, with the master plan being released in late September 2024.</w:t>
      </w:r>
    </w:p>
    <w:p w14:paraId="2BF02BAC" w14:textId="77777777" w:rsidR="00F212D1" w:rsidRDefault="00F212D1" w:rsidP="00FF5F29">
      <w:pPr>
        <w:ind w:right="120"/>
        <w:jc w:val="both"/>
        <w:rPr>
          <w:rFonts w:eastAsia="Times New Roman" w:cs="Times New Roman"/>
          <w:lang w:eastAsia="en-AU"/>
        </w:rPr>
      </w:pPr>
    </w:p>
    <w:p w14:paraId="3F4A5EC0" w14:textId="2501F5D8" w:rsidR="00D768BE" w:rsidRPr="007A65AD" w:rsidRDefault="00D768BE" w:rsidP="00FF5F29">
      <w:pPr>
        <w:spacing w:after="160"/>
        <w:ind w:right="120"/>
        <w:jc w:val="both"/>
        <w:rPr>
          <w:rFonts w:eastAsia="Times New Roman" w:cs="Times New Roman"/>
          <w:lang w:eastAsia="en-AU"/>
        </w:rPr>
      </w:pPr>
      <w:r w:rsidRPr="007A65AD">
        <w:rPr>
          <w:rFonts w:eastAsia="Times New Roman" w:cs="Times New Roman"/>
          <w:lang w:eastAsia="en-AU"/>
        </w:rPr>
        <w:t xml:space="preserve">An extensive public consultation and engagement program was undertaken </w:t>
      </w:r>
      <w:r w:rsidR="00236BBB">
        <w:rPr>
          <w:rFonts w:eastAsia="Times New Roman" w:cs="Times New Roman"/>
          <w:lang w:eastAsia="en-AU"/>
        </w:rPr>
        <w:t xml:space="preserve">prior to that </w:t>
      </w:r>
      <w:r w:rsidRPr="007A65AD">
        <w:rPr>
          <w:rFonts w:eastAsia="Times New Roman" w:cs="Times New Roman"/>
          <w:lang w:eastAsia="en-AU"/>
        </w:rPr>
        <w:t>to support the development of the master plan. This included:</w:t>
      </w:r>
    </w:p>
    <w:p w14:paraId="2321B21C" w14:textId="77777777" w:rsidR="00D768BE" w:rsidRPr="007A65AD" w:rsidRDefault="00D768BE" w:rsidP="00FF5F29">
      <w:pPr>
        <w:pStyle w:val="ListParagraph0"/>
        <w:numPr>
          <w:ilvl w:val="0"/>
          <w:numId w:val="12"/>
        </w:numPr>
        <w:spacing w:after="160"/>
        <w:ind w:right="120"/>
        <w:jc w:val="both"/>
        <w:rPr>
          <w:rFonts w:eastAsia="Times New Roman" w:cs="Times New Roman"/>
          <w:lang w:eastAsia="en-AU"/>
        </w:rPr>
      </w:pPr>
      <w:r w:rsidRPr="007A65AD">
        <w:rPr>
          <w:rFonts w:eastAsia="Times New Roman" w:cs="Times New Roman"/>
          <w:lang w:eastAsia="en-AU"/>
        </w:rPr>
        <w:t>early community engagement in September and October 2021</w:t>
      </w:r>
    </w:p>
    <w:p w14:paraId="5EBAA527" w14:textId="30A3FFE7" w:rsidR="00D768BE" w:rsidRPr="007A65AD" w:rsidRDefault="00D768BE" w:rsidP="00FF5F29">
      <w:pPr>
        <w:pStyle w:val="ListParagraph0"/>
        <w:numPr>
          <w:ilvl w:val="0"/>
          <w:numId w:val="12"/>
        </w:numPr>
        <w:spacing w:after="160"/>
        <w:ind w:right="120"/>
        <w:jc w:val="both"/>
        <w:rPr>
          <w:rFonts w:eastAsia="Times New Roman" w:cs="Times New Roman"/>
          <w:lang w:eastAsia="en-AU"/>
        </w:rPr>
      </w:pPr>
      <w:r w:rsidRPr="007A65AD">
        <w:rPr>
          <w:rFonts w:eastAsia="Times New Roman" w:cs="Times New Roman"/>
          <w:lang w:eastAsia="en-AU"/>
        </w:rPr>
        <w:t xml:space="preserve">public consultation from 13 November 2023 </w:t>
      </w:r>
      <w:r w:rsidR="001C29FA">
        <w:rPr>
          <w:rFonts w:eastAsia="Times New Roman" w:cs="Times New Roman"/>
          <w:lang w:eastAsia="en-AU"/>
        </w:rPr>
        <w:t>to</w:t>
      </w:r>
      <w:r w:rsidRPr="007A65AD">
        <w:rPr>
          <w:rFonts w:eastAsia="Times New Roman" w:cs="Times New Roman"/>
          <w:lang w:eastAsia="en-AU"/>
        </w:rPr>
        <w:t xml:space="preserve"> 11 March 2024</w:t>
      </w:r>
    </w:p>
    <w:p w14:paraId="395E9FDC" w14:textId="0E489BAD" w:rsidR="00D768BE" w:rsidRPr="007A65AD" w:rsidRDefault="00D768BE" w:rsidP="00FF5F29">
      <w:pPr>
        <w:pStyle w:val="ListParagraph0"/>
        <w:numPr>
          <w:ilvl w:val="0"/>
          <w:numId w:val="12"/>
        </w:numPr>
        <w:spacing w:after="160"/>
        <w:ind w:right="120"/>
        <w:jc w:val="both"/>
        <w:rPr>
          <w:rFonts w:eastAsia="Times New Roman" w:cs="Times New Roman"/>
          <w:lang w:eastAsia="en-AU"/>
        </w:rPr>
      </w:pPr>
      <w:r w:rsidRPr="007A65AD">
        <w:rPr>
          <w:rFonts w:eastAsia="Times New Roman" w:cs="Times New Roman"/>
          <w:lang w:eastAsia="en-AU"/>
        </w:rPr>
        <w:t xml:space="preserve">a </w:t>
      </w:r>
      <w:r w:rsidR="00C92269" w:rsidRPr="00965E64">
        <w:rPr>
          <w:rFonts w:eastAsia="Times New Roman" w:cs="Times New Roman"/>
          <w:lang w:eastAsia="en-AU"/>
        </w:rPr>
        <w:t>two-week</w:t>
      </w:r>
      <w:r w:rsidRPr="007A65AD">
        <w:rPr>
          <w:rFonts w:eastAsia="Times New Roman" w:cs="Times New Roman"/>
          <w:lang w:eastAsia="en-AU"/>
        </w:rPr>
        <w:t xml:space="preserve"> community and stakeholder feedback period in June 2024.</w:t>
      </w:r>
    </w:p>
    <w:p w14:paraId="0254039A" w14:textId="7130B66C" w:rsidR="008C72DC" w:rsidRDefault="00D768BE" w:rsidP="00FF5F29">
      <w:pPr>
        <w:spacing w:after="160"/>
        <w:ind w:right="120"/>
        <w:jc w:val="both"/>
        <w:rPr>
          <w:rFonts w:eastAsia="Times New Roman" w:cs="Times New Roman"/>
          <w:lang w:eastAsia="en-AU"/>
        </w:rPr>
      </w:pPr>
      <w:r w:rsidRPr="007A65AD">
        <w:rPr>
          <w:rFonts w:eastAsia="Times New Roman" w:cs="Times New Roman"/>
          <w:lang w:eastAsia="en-AU"/>
        </w:rPr>
        <w:t>The public consultation process undertaken between November 2023 and March 2024 generated significant interest and feedback from stakeholders and the community.</w:t>
      </w:r>
      <w:r w:rsidR="00DF3309" w:rsidRPr="00965E64">
        <w:rPr>
          <w:rFonts w:eastAsia="Times New Roman" w:cs="Times New Roman"/>
          <w:lang w:eastAsia="en-AU"/>
        </w:rPr>
        <w:t xml:space="preserve"> </w:t>
      </w:r>
      <w:r w:rsidRPr="007A65AD">
        <w:rPr>
          <w:rFonts w:eastAsia="Times New Roman" w:cs="Times New Roman"/>
          <w:lang w:eastAsia="en-AU"/>
        </w:rPr>
        <w:t>In response to the feedback, TMR made significant changes to the draft master plan. The master plan has been positively received by the community and industry.</w:t>
      </w:r>
    </w:p>
    <w:p w14:paraId="776A7BF2" w14:textId="1286C4E3" w:rsidR="001F08BE" w:rsidRDefault="001F08BE">
      <w:pPr>
        <w:spacing w:after="160" w:line="259" w:lineRule="auto"/>
        <w:rPr>
          <w:rFonts w:eastAsia="Times New Roman" w:cs="Times New Roman"/>
          <w:lang w:eastAsia="en-AU"/>
        </w:rPr>
      </w:pPr>
      <w:r>
        <w:rPr>
          <w:rFonts w:eastAsia="Times New Roman" w:cs="Times New Roman"/>
          <w:lang w:eastAsia="en-AU"/>
        </w:rPr>
        <w:br w:type="page"/>
      </w:r>
    </w:p>
    <w:p w14:paraId="7108512D" w14:textId="74D33588" w:rsidR="001F08BE" w:rsidRDefault="001F08BE" w:rsidP="00FF5F29">
      <w:pPr>
        <w:spacing w:after="160"/>
        <w:ind w:right="120"/>
        <w:jc w:val="both"/>
        <w:rPr>
          <w:rFonts w:eastAsia="Times New Roman" w:cs="Times New Roman"/>
          <w:lang w:eastAsia="en-AU"/>
        </w:rPr>
      </w:pPr>
      <w:r>
        <w:rPr>
          <w:noProof/>
        </w:rPr>
        <w:lastRenderedPageBreak/>
        <mc:AlternateContent>
          <mc:Choice Requires="wpg">
            <w:drawing>
              <wp:anchor distT="0" distB="0" distL="0" distR="0" simplePos="0" relativeHeight="251684352" behindDoc="1" locked="0" layoutInCell="1" allowOverlap="1" wp14:anchorId="5BAA9010" wp14:editId="66E15641">
                <wp:simplePos x="0" y="0"/>
                <wp:positionH relativeFrom="margin">
                  <wp:posOffset>-47625</wp:posOffset>
                </wp:positionH>
                <wp:positionV relativeFrom="paragraph">
                  <wp:posOffset>61595</wp:posOffset>
                </wp:positionV>
                <wp:extent cx="3444875" cy="683895"/>
                <wp:effectExtent l="0" t="0" r="3175" b="1905"/>
                <wp:wrapTopAndBottom/>
                <wp:docPr id="1582086294" name="Group 1582086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683895"/>
                          <a:chOff x="-19050" y="-247650"/>
                          <a:chExt cx="3232785" cy="649521"/>
                        </a:xfrm>
                      </wpg:grpSpPr>
                      <wps:wsp>
                        <wps:cNvPr id="1708268774" name="Graphic 42"/>
                        <wps:cNvSpPr/>
                        <wps:spPr>
                          <a:xfrm>
                            <a:off x="-19050" y="-247650"/>
                            <a:ext cx="3232785" cy="621030"/>
                          </a:xfrm>
                          <a:custGeom>
                            <a:avLst/>
                            <a:gdLst/>
                            <a:ahLst/>
                            <a:cxnLst/>
                            <a:rect l="l" t="t" r="r" b="b"/>
                            <a:pathLst>
                              <a:path w="3232785" h="621030">
                                <a:moveTo>
                                  <a:pt x="2922270" y="0"/>
                                </a:moveTo>
                                <a:lnTo>
                                  <a:pt x="0" y="0"/>
                                </a:lnTo>
                                <a:lnTo>
                                  <a:pt x="0" y="621030"/>
                                </a:lnTo>
                                <a:lnTo>
                                  <a:pt x="2922270" y="621030"/>
                                </a:lnTo>
                                <a:lnTo>
                                  <a:pt x="3232785" y="310515"/>
                                </a:lnTo>
                                <a:lnTo>
                                  <a:pt x="2922270" y="0"/>
                                </a:lnTo>
                                <a:close/>
                              </a:path>
                            </a:pathLst>
                          </a:custGeom>
                          <a:solidFill>
                            <a:srgbClr val="003B69"/>
                          </a:solidFill>
                        </wps:spPr>
                        <wps:bodyPr wrap="square" lIns="0" tIns="0" rIns="0" bIns="0" rtlCol="0">
                          <a:prstTxWarp prst="textNoShape">
                            <a:avLst/>
                          </a:prstTxWarp>
                          <a:noAutofit/>
                        </wps:bodyPr>
                      </wps:wsp>
                      <wps:wsp>
                        <wps:cNvPr id="1173484508" name="Textbox 43"/>
                        <wps:cNvSpPr txBox="1"/>
                        <wps:spPr>
                          <a:xfrm>
                            <a:off x="-19050" y="-247650"/>
                            <a:ext cx="3006740" cy="649521"/>
                          </a:xfrm>
                          <a:prstGeom prst="rect">
                            <a:avLst/>
                          </a:prstGeom>
                        </wps:spPr>
                        <wps:txbx>
                          <w:txbxContent>
                            <w:p w14:paraId="0D6B25BD" w14:textId="48A900C5" w:rsidR="003B4F47" w:rsidRDefault="003B4F47" w:rsidP="003B4F47">
                              <w:pPr>
                                <w:spacing w:before="282"/>
                                <w:ind w:left="153"/>
                                <w:rPr>
                                  <w:b/>
                                  <w:sz w:val="36"/>
                                </w:rPr>
                              </w:pPr>
                              <w:r>
                                <w:rPr>
                                  <w:b/>
                                  <w:color w:val="FFFFFF"/>
                                  <w:sz w:val="36"/>
                                </w:rPr>
                                <w:t xml:space="preserve">Road Safety </w:t>
                              </w:r>
                              <w:r w:rsidR="000B6944">
                                <w:rPr>
                                  <w:b/>
                                  <w:color w:val="FFFFFF"/>
                                  <w:sz w:val="36"/>
                                </w:rPr>
                                <w:t>Campaigns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A9010" id="Group 1582086294" o:spid="_x0000_s1045" style="position:absolute;left:0;text-align:left;margin-left:-3.75pt;margin-top:4.85pt;width:271.25pt;height:53.85pt;z-index:-251632128;mso-wrap-distance-left:0;mso-wrap-distance-right:0;mso-position-horizontal-relative:margin;mso-position-vertical-relative:text;mso-width-relative:margin;mso-height-relative:margin" coordorigin="-190,-2476" coordsize="32327,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">
                <v:shape id="Graphic 42" o:spid="_x0000_s1046" style="position:absolute;left:-190;top:-2476;width:32327;height:6209;visibility:visible;mso-wrap-style:square;v-text-anchor:top" coordsize="3232785,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" path="m2922270,l,,,621030r2922270,l3232785,310515,2922270,xe" fillcolor="#003b69" stroked="f">
                  <v:path arrowok="t"/>
                </v:shape>
                <v:shape id="Textbox 43" o:spid="_x0000_s1047" type="#_x0000_t202" style="position:absolute;left:-190;top:-2476;width:30066;height:6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" filled="f" stroked="f">
                  <v:textbox inset="0,0,0,0">
                    <w:txbxContent>
                      <w:p w14:paraId="0D6B25BD" w14:textId="48A900C5" w:rsidR="003B4F47" w:rsidRDefault="003B4F47" w:rsidP="003B4F47">
                        <w:pPr>
                          <w:spacing w:before="282"/>
                          <w:ind w:left="153"/>
                          <w:rPr>
                            <w:b/>
                            <w:sz w:val="36"/>
                          </w:rPr>
                        </w:pPr>
                        <w:r>
                          <w:rPr>
                            <w:b/>
                            <w:color w:val="FFFFFF"/>
                            <w:sz w:val="36"/>
                          </w:rPr>
                          <w:t xml:space="preserve">Road Safety </w:t>
                        </w:r>
                        <w:r w:rsidR="000B6944">
                          <w:rPr>
                            <w:b/>
                            <w:color w:val="FFFFFF"/>
                            <w:sz w:val="36"/>
                          </w:rPr>
                          <w:t>Campaigns</w:t>
                        </w:r>
                      </w:p>
                    </w:txbxContent>
                  </v:textbox>
                </v:shape>
                <w10:wrap type="topAndBottom" anchorx="margin"/>
              </v:group>
            </w:pict>
          </mc:Fallback>
        </mc:AlternateContent>
      </w:r>
    </w:p>
    <w:p w14:paraId="515E845D" w14:textId="0F5FCA97" w:rsidR="00E852AF" w:rsidRDefault="00E852AF" w:rsidP="00FF5F29">
      <w:pPr>
        <w:spacing w:before="120"/>
        <w:ind w:right="120"/>
        <w:jc w:val="both"/>
      </w:pPr>
      <w:proofErr w:type="spellStart"/>
      <w:r>
        <w:t>StreetSmarts</w:t>
      </w:r>
      <w:proofErr w:type="spellEnd"/>
      <w:r>
        <w:t xml:space="preserve">’ campaigns address key road safety issues using an evidence-based approach to determine the most effective strategy. </w:t>
      </w:r>
    </w:p>
    <w:p w14:paraId="7B25FE1F" w14:textId="77777777" w:rsidR="00F212D1" w:rsidRDefault="00F212D1" w:rsidP="00FF5F29">
      <w:pPr>
        <w:ind w:right="120"/>
        <w:jc w:val="both"/>
      </w:pPr>
    </w:p>
    <w:p w14:paraId="12B2D966" w14:textId="1D44F540" w:rsidR="00E852AF" w:rsidRDefault="00E852AF" w:rsidP="00FF5F29">
      <w:pPr>
        <w:ind w:right="120"/>
        <w:jc w:val="both"/>
      </w:pPr>
      <w:r>
        <w:t>These campaigns are designed to inform and educate the community on important road safety issues, improve compliance, and ultimately reduce crashes and road trauma in Queensland.</w:t>
      </w:r>
    </w:p>
    <w:p w14:paraId="724AC790" w14:textId="77777777" w:rsidR="00E852AF" w:rsidRDefault="00E852AF" w:rsidP="00FF5F29">
      <w:pPr>
        <w:ind w:right="120"/>
        <w:jc w:val="both"/>
      </w:pPr>
    </w:p>
    <w:p w14:paraId="39D6D147" w14:textId="77777777" w:rsidR="00E852AF" w:rsidRDefault="00E852AF" w:rsidP="00FF5F29">
      <w:pPr>
        <w:ind w:right="120"/>
        <w:jc w:val="both"/>
      </w:pPr>
      <w:r>
        <w:t xml:space="preserve">A minor campaign was run during peak summer 2023/24 holiday season targeting international tourists. This campaign focused on highlighting </w:t>
      </w:r>
      <w:proofErr w:type="gramStart"/>
      <w:r>
        <w:t>Queensland road</w:t>
      </w:r>
      <w:proofErr w:type="gramEnd"/>
      <w:r>
        <w:t xml:space="preserve"> rules to tourists who were planning to drive while in Queensland.</w:t>
      </w:r>
    </w:p>
    <w:p w14:paraId="01277547" w14:textId="77777777" w:rsidR="00E852AF" w:rsidRDefault="00E852AF" w:rsidP="00FF5F29">
      <w:pPr>
        <w:ind w:right="120"/>
        <w:jc w:val="both"/>
      </w:pPr>
    </w:p>
    <w:p w14:paraId="61CAC828" w14:textId="77777777" w:rsidR="00E852AF" w:rsidRDefault="00E852AF" w:rsidP="00FF5F29">
      <w:pPr>
        <w:ind w:right="120"/>
        <w:jc w:val="both"/>
      </w:pPr>
      <w:r>
        <w:t>The “</w:t>
      </w:r>
      <w:r>
        <w:rPr>
          <w:i/>
          <w:iCs/>
        </w:rPr>
        <w:t>Would you rather”</w:t>
      </w:r>
      <w:r>
        <w:t xml:space="preserve"> seatbelts campaign highlighted the potential consequences of not wearing a seatbelt. The campaign increased awareness on how to wear seatbelts correctly and encouraged drivers and their passengers to wear seatbelts.</w:t>
      </w:r>
    </w:p>
    <w:p w14:paraId="3B6D9C8C" w14:textId="77777777" w:rsidR="00E852AF" w:rsidRDefault="00E852AF" w:rsidP="00FF5F29">
      <w:pPr>
        <w:ind w:right="120"/>
        <w:jc w:val="both"/>
      </w:pPr>
    </w:p>
    <w:p w14:paraId="771B6905" w14:textId="77777777" w:rsidR="00E852AF" w:rsidRDefault="00E852AF" w:rsidP="00FF5F29">
      <w:pPr>
        <w:ind w:right="120"/>
        <w:jc w:val="both"/>
      </w:pPr>
      <w:r>
        <w:t xml:space="preserve">The </w:t>
      </w:r>
      <w:r>
        <w:rPr>
          <w:i/>
          <w:iCs/>
        </w:rPr>
        <w:t>“Speeding? You’re No Hero”</w:t>
      </w:r>
      <w:r>
        <w:t xml:space="preserve"> campaign was created through the Co-Lab Youth Road Safety Challenge, which involved young Queenslanders in designing campaigns to resonate with their peers. This campaign encouraged greater awareness of the dangers of speeding. </w:t>
      </w:r>
    </w:p>
    <w:p w14:paraId="7198CD90" w14:textId="77777777" w:rsidR="00E852AF" w:rsidRDefault="00E852AF" w:rsidP="00FF5F29">
      <w:pPr>
        <w:ind w:right="120"/>
        <w:jc w:val="both"/>
      </w:pPr>
    </w:p>
    <w:p w14:paraId="0E130B1F" w14:textId="77777777" w:rsidR="00E852AF" w:rsidRDefault="00E852AF" w:rsidP="00FF5F29">
      <w:pPr>
        <w:ind w:right="120"/>
        <w:jc w:val="both"/>
      </w:pPr>
      <w:r>
        <w:t xml:space="preserve">The </w:t>
      </w:r>
      <w:r>
        <w:rPr>
          <w:i/>
          <w:iCs/>
        </w:rPr>
        <w:t>“In your hands”</w:t>
      </w:r>
      <w:r>
        <w:t xml:space="preserve"> drink drive campaign highlighted the consequences of drinking and then driving. The campaign encouraged people to never drive if they have been drinking.</w:t>
      </w:r>
    </w:p>
    <w:p w14:paraId="0B9E56D8" w14:textId="77777777" w:rsidR="00E852AF" w:rsidRDefault="00E852AF" w:rsidP="00FF5F29">
      <w:pPr>
        <w:ind w:right="120"/>
        <w:jc w:val="both"/>
      </w:pPr>
    </w:p>
    <w:p w14:paraId="64CB71D2" w14:textId="2A3F8358" w:rsidR="00987E49" w:rsidRDefault="00E852AF" w:rsidP="00FF5F29">
      <w:pPr>
        <w:ind w:right="120"/>
        <w:jc w:val="both"/>
      </w:pPr>
      <w:proofErr w:type="spellStart"/>
      <w:r>
        <w:t>StreetSmarts</w:t>
      </w:r>
      <w:proofErr w:type="spellEnd"/>
      <w:r>
        <w:t xml:space="preserve"> Always </w:t>
      </w:r>
      <w:proofErr w:type="gramStart"/>
      <w:r>
        <w:t>On</w:t>
      </w:r>
      <w:proofErr w:type="gramEnd"/>
      <w:r>
        <w:t xml:space="preserve"> Social Media and Outdoor campaigns also promote road safety and compliance messaging to Queenslanders throughout the year.</w:t>
      </w:r>
    </w:p>
    <w:p w14:paraId="1CBA16C4" w14:textId="2A082DFA" w:rsidR="001F08BE" w:rsidRDefault="001F08BE">
      <w:pPr>
        <w:spacing w:after="160" w:line="259" w:lineRule="auto"/>
      </w:pPr>
      <w:r>
        <w:br w:type="page"/>
      </w:r>
    </w:p>
    <w:p w14:paraId="5C314887" w14:textId="77777777" w:rsidR="002326AC" w:rsidRDefault="002326AC" w:rsidP="00FF5F29">
      <w:pPr>
        <w:pStyle w:val="Heading2"/>
        <w:ind w:right="120"/>
      </w:pPr>
      <w:bookmarkStart w:id="19" w:name="_Toc151724663"/>
      <w:bookmarkStart w:id="20" w:name="_Toc151724821"/>
      <w:bookmarkStart w:id="21" w:name="_Toc184042932"/>
      <w:bookmarkStart w:id="22" w:name="_Toc184395462"/>
      <w:bookmarkStart w:id="23" w:name="_Toc185328312"/>
      <w:bookmarkEnd w:id="19"/>
      <w:bookmarkEnd w:id="20"/>
      <w:r w:rsidRPr="006D6182">
        <w:rPr>
          <w:noProof/>
        </w:rPr>
        <w:lastRenderedPageBreak/>
        <mc:AlternateContent>
          <mc:Choice Requires="wps">
            <w:drawing>
              <wp:anchor distT="0" distB="0" distL="114300" distR="114300" simplePos="0" relativeHeight="251666944" behindDoc="0" locked="0" layoutInCell="1" allowOverlap="1" wp14:anchorId="69B83FE0" wp14:editId="1D640735">
                <wp:simplePos x="0" y="0"/>
                <wp:positionH relativeFrom="margin">
                  <wp:posOffset>2540</wp:posOffset>
                </wp:positionH>
                <wp:positionV relativeFrom="paragraph">
                  <wp:posOffset>534035</wp:posOffset>
                </wp:positionV>
                <wp:extent cx="3225600" cy="621102"/>
                <wp:effectExtent l="0" t="0" r="0" b="7620"/>
                <wp:wrapTopAndBottom/>
                <wp:docPr id="29" name="Arrow: Pentagon 29"/>
                <wp:cNvGraphicFramePr/>
                <a:graphic xmlns:a="http://schemas.openxmlformats.org/drawingml/2006/main">
                  <a:graphicData uri="http://schemas.microsoft.com/office/word/2010/wordprocessingShape">
                    <wps:wsp>
                      <wps:cNvSpPr/>
                      <wps:spPr>
                        <a:xfrm>
                          <a:off x="0" y="0"/>
                          <a:ext cx="3225600" cy="621102"/>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B2898" w14:textId="77777777" w:rsidR="002326AC" w:rsidRDefault="002326AC" w:rsidP="002326AC">
                            <w:r>
                              <w:rPr>
                                <w:b/>
                                <w:bCs/>
                                <w:color w:val="FFFFFF" w:themeColor="background1"/>
                                <w:sz w:val="36"/>
                                <w:szCs w:val="36"/>
                              </w:rPr>
                              <w:t>Passenger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B83FE0" id="Arrow: Pentagon 29" o:spid="_x0000_s1048" type="#_x0000_t15" style="position:absolute;margin-left:.2pt;margin-top:42.05pt;width:254pt;height:48.9pt;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" adj="19520" fillcolor="#003e69 [3204]" stroked="f" strokeweight="1pt">
                <v:textbox>
                  <w:txbxContent>
                    <w:p w14:paraId="785B2898" w14:textId="77777777" w:rsidR="002326AC" w:rsidRDefault="002326AC" w:rsidP="002326AC">
                      <w:r>
                        <w:rPr>
                          <w:b/>
                          <w:bCs/>
                          <w:color w:val="FFFFFF" w:themeColor="background1"/>
                          <w:sz w:val="36"/>
                          <w:szCs w:val="36"/>
                        </w:rPr>
                        <w:t>Passenger Transport</w:t>
                      </w:r>
                    </w:p>
                  </w:txbxContent>
                </v:textbox>
                <w10:wrap type="topAndBottom" anchorx="margin"/>
              </v:shape>
            </w:pict>
          </mc:Fallback>
        </mc:AlternateContent>
      </w:r>
      <w:r w:rsidRPr="006D6182">
        <w:t xml:space="preserve">Commit to continuous </w:t>
      </w:r>
      <w:proofErr w:type="gramStart"/>
      <w:r w:rsidRPr="006D6182">
        <w:t>improvement</w:t>
      </w:r>
      <w:bookmarkEnd w:id="21"/>
      <w:bookmarkEnd w:id="22"/>
      <w:bookmarkEnd w:id="23"/>
      <w:proofErr w:type="gramEnd"/>
    </w:p>
    <w:p w14:paraId="5287F535" w14:textId="77777777" w:rsidR="00961C30" w:rsidRPr="00961C30" w:rsidRDefault="00961C30" w:rsidP="00961C30"/>
    <w:p w14:paraId="38918A15" w14:textId="77777777" w:rsidR="00247D21" w:rsidRDefault="00247D21" w:rsidP="00FF5F29">
      <w:pPr>
        <w:pStyle w:val="BodyText"/>
        <w:ind w:right="120"/>
        <w:rPr>
          <w:b/>
          <w:bCs/>
          <w:i/>
          <w:iCs/>
        </w:rPr>
      </w:pPr>
    </w:p>
    <w:p w14:paraId="420824D2" w14:textId="5F115FB5" w:rsidR="00EA0820" w:rsidRPr="006D6182" w:rsidRDefault="00EA0820" w:rsidP="00FF5F29">
      <w:pPr>
        <w:pStyle w:val="BodyText"/>
        <w:ind w:right="120"/>
        <w:jc w:val="both"/>
        <w:rPr>
          <w:b/>
          <w:bCs/>
          <w:i/>
          <w:iCs/>
        </w:rPr>
      </w:pPr>
      <w:r w:rsidRPr="006D6182">
        <w:rPr>
          <w:b/>
          <w:bCs/>
          <w:i/>
          <w:iCs/>
        </w:rPr>
        <w:t xml:space="preserve">Legislation changes to support Creating Better Connections for Queenslanders – a 10-year plan for passenger transport in </w:t>
      </w:r>
      <w:proofErr w:type="gramStart"/>
      <w:r w:rsidRPr="006D6182">
        <w:rPr>
          <w:b/>
          <w:bCs/>
          <w:i/>
          <w:iCs/>
        </w:rPr>
        <w:t>Queensland</w:t>
      </w:r>
      <w:proofErr w:type="gramEnd"/>
      <w:r w:rsidRPr="006D6182">
        <w:rPr>
          <w:b/>
          <w:bCs/>
          <w:i/>
          <w:iCs/>
        </w:rPr>
        <w:t xml:space="preserve"> </w:t>
      </w:r>
    </w:p>
    <w:p w14:paraId="4CD2CEE4" w14:textId="52CF9313" w:rsidR="00247D21" w:rsidRDefault="00EA0820" w:rsidP="00FF5F29">
      <w:pPr>
        <w:pStyle w:val="BodyText"/>
        <w:ind w:right="120"/>
        <w:jc w:val="both"/>
      </w:pPr>
      <w:r w:rsidRPr="006D6182">
        <w:t xml:space="preserve">In 2022 and 2023, TMR reviewed the effectiveness of its road-based passenger transport legislation, with a view to improving passenger safety through a more modern and consistent regulatory framework. </w:t>
      </w:r>
    </w:p>
    <w:p w14:paraId="1CD3F3A1" w14:textId="77777777" w:rsidR="00247D21" w:rsidRDefault="00247D21" w:rsidP="00FF5F29">
      <w:pPr>
        <w:pStyle w:val="BodyText"/>
        <w:ind w:right="120"/>
        <w:jc w:val="both"/>
      </w:pPr>
    </w:p>
    <w:p w14:paraId="27524E60" w14:textId="026FD3AF" w:rsidR="00EA0820" w:rsidRPr="006D6182" w:rsidRDefault="00EA0820" w:rsidP="00FF5F29">
      <w:pPr>
        <w:pStyle w:val="BodyText"/>
        <w:ind w:right="120"/>
        <w:jc w:val="both"/>
      </w:pPr>
      <w:r w:rsidRPr="006D6182">
        <w:t xml:space="preserve">In February 2024, amendments to the </w:t>
      </w:r>
      <w:r w:rsidRPr="006D6182">
        <w:rPr>
          <w:i/>
          <w:iCs/>
        </w:rPr>
        <w:t>Transport Operations (Passenger Transport) Act 1994</w:t>
      </w:r>
      <w:r w:rsidRPr="006D6182">
        <w:t xml:space="preserve"> were passed by Parliament. The amendments introduced a general safety duty for all road-based passenger transport services in Queensland, with a requirement for duty holders to have safety management plans and a consistent audit and directions framework across services. Through</w:t>
      </w:r>
      <w:r w:rsidR="00BD65D7">
        <w:t>out</w:t>
      </w:r>
      <w:r w:rsidRPr="006D6182">
        <w:t xml:space="preserve"> 2024, TMR has been considering and consulting on appropriate regulatory settings to support the new safety management framework. </w:t>
      </w:r>
    </w:p>
    <w:p w14:paraId="1B9584A1" w14:textId="77777777" w:rsidR="00EA0820" w:rsidRPr="006D6182" w:rsidRDefault="00EA0820" w:rsidP="00FF5F29">
      <w:pPr>
        <w:pStyle w:val="BodyText"/>
        <w:spacing w:before="360"/>
        <w:ind w:right="120"/>
        <w:jc w:val="both"/>
        <w:rPr>
          <w:b/>
          <w:bCs/>
          <w:i/>
          <w:iCs/>
        </w:rPr>
      </w:pPr>
      <w:r w:rsidRPr="006D6182">
        <w:rPr>
          <w:b/>
          <w:bCs/>
          <w:i/>
          <w:iCs/>
        </w:rPr>
        <w:t>Review of the Transport Operations (Passenger Transport) Standard 2010</w:t>
      </w:r>
    </w:p>
    <w:p w14:paraId="520DE077" w14:textId="51EC1A4C" w:rsidR="00EA0820" w:rsidRPr="006D6182" w:rsidRDefault="00EA0820" w:rsidP="00FF5F29">
      <w:pPr>
        <w:ind w:right="120"/>
        <w:jc w:val="both"/>
      </w:pPr>
      <w:r>
        <w:t>T</w:t>
      </w:r>
      <w:r w:rsidRPr="006D6182">
        <w:t xml:space="preserve">he </w:t>
      </w:r>
      <w:r>
        <w:t xml:space="preserve">review of the </w:t>
      </w:r>
      <w:r w:rsidRPr="0047097D">
        <w:rPr>
          <w:i/>
          <w:iCs/>
        </w:rPr>
        <w:t>Transport Operations (Passenger Transport) Standard 2010</w:t>
      </w:r>
      <w:r w:rsidRPr="006D6182">
        <w:rPr>
          <w:i/>
          <w:iCs/>
        </w:rPr>
        <w:t xml:space="preserve"> </w:t>
      </w:r>
      <w:r w:rsidRPr="006D6182">
        <w:t xml:space="preserve">(the PT Standard) </w:t>
      </w:r>
      <w:r>
        <w:t xml:space="preserve">continued. </w:t>
      </w:r>
      <w:r w:rsidRPr="006D6182">
        <w:t>The review of the PT Standard is considering whether the legislation is still required, is effective and efficient</w:t>
      </w:r>
      <w:r w:rsidR="00E92154">
        <w:t>,</w:t>
      </w:r>
      <w:r w:rsidRPr="006D6182">
        <w:t xml:space="preserve"> and whether potential changes are likely to have adverse impacts on stakeholders. A major focus has been the opportunity, provided by the forthcoming introduction of a general safety duty for all road-based passenger transport services, to modernise regulation of matters currently addressed in the PT Standard. </w:t>
      </w:r>
    </w:p>
    <w:p w14:paraId="7969161C" w14:textId="77777777" w:rsidR="00EA0820" w:rsidRPr="006D6182" w:rsidRDefault="00EA0820" w:rsidP="00FF5F29">
      <w:pPr>
        <w:ind w:right="120"/>
        <w:jc w:val="both"/>
      </w:pPr>
    </w:p>
    <w:p w14:paraId="4F822B0E" w14:textId="77777777" w:rsidR="00EA0820" w:rsidRPr="006D6182" w:rsidRDefault="00EA0820" w:rsidP="00FF5F29">
      <w:pPr>
        <w:ind w:right="120"/>
        <w:jc w:val="both"/>
      </w:pPr>
      <w:r w:rsidRPr="006D6182">
        <w:t>A discussion paper seeking public and industry comment on the proposed approach to manage the safety and customer service matters currently contained in the PT Standard was released in November 2023 to more than 50</w:t>
      </w:r>
      <w:r>
        <w:t>,</w:t>
      </w:r>
      <w:r w:rsidRPr="006D6182">
        <w:t xml:space="preserve">000 stakeholders. Feedback on the discussion paper confirmed that some matters no longer need to be regulated while there is potential to improve the regulation of other matters. Work </w:t>
      </w:r>
      <w:proofErr w:type="gramStart"/>
      <w:r w:rsidRPr="006D6182">
        <w:t>continues on</w:t>
      </w:r>
      <w:proofErr w:type="gramEnd"/>
      <w:r w:rsidRPr="006D6182">
        <w:t xml:space="preserve"> proposed legislative amendments to implement these changes. </w:t>
      </w:r>
    </w:p>
    <w:p w14:paraId="4FBA8DBA" w14:textId="77777777" w:rsidR="00EA0820" w:rsidRPr="006D6182" w:rsidRDefault="00EA0820" w:rsidP="00FF5F29">
      <w:pPr>
        <w:spacing w:before="120"/>
        <w:ind w:right="120"/>
        <w:jc w:val="both"/>
        <w:rPr>
          <w:lang w:eastAsia="en-AU"/>
        </w:rPr>
      </w:pPr>
    </w:p>
    <w:p w14:paraId="42DC0A03" w14:textId="77777777" w:rsidR="00EA0820" w:rsidRPr="006D6182" w:rsidRDefault="00EA0820" w:rsidP="00FF5F29">
      <w:pPr>
        <w:pStyle w:val="BodyText"/>
        <w:shd w:val="clear" w:color="auto" w:fill="FFFFFF" w:themeFill="background1"/>
        <w:ind w:right="120"/>
        <w:jc w:val="both"/>
        <w:rPr>
          <w:b/>
          <w:bCs/>
          <w:i/>
          <w:iCs/>
        </w:rPr>
      </w:pPr>
      <w:r w:rsidRPr="006D6182">
        <w:rPr>
          <w:b/>
          <w:bCs/>
          <w:i/>
          <w:iCs/>
        </w:rPr>
        <w:t>Future Taxi Licensing Review</w:t>
      </w:r>
    </w:p>
    <w:p w14:paraId="0E78EF15" w14:textId="52D8552A" w:rsidR="00EA0820" w:rsidRPr="006D6182" w:rsidRDefault="00EA0820" w:rsidP="00FF5F29">
      <w:pPr>
        <w:ind w:right="120"/>
        <w:jc w:val="both"/>
        <w:rPr>
          <w:i/>
          <w:iCs/>
        </w:rPr>
      </w:pPr>
      <w:r w:rsidRPr="006D6182">
        <w:t xml:space="preserve">The Future Taxi Licensing Review </w:t>
      </w:r>
      <w:r w:rsidR="00583030">
        <w:t xml:space="preserve">(the Review) </w:t>
      </w:r>
      <w:r w:rsidRPr="006D6182">
        <w:t xml:space="preserve">is being undertaken by TMR to analyse the taxi licensing framework to ensure it is supporting the taxi industry’s ability to compete effectively within the personalised transport sector. This was a recommendation made in the </w:t>
      </w:r>
      <w:r w:rsidRPr="006D6182">
        <w:rPr>
          <w:i/>
          <w:iCs/>
        </w:rPr>
        <w:t>Queensland’s Personalised Transport Horizon – Stage Three: Monitoring and Evaluation Report.</w:t>
      </w:r>
    </w:p>
    <w:p w14:paraId="414CAF86" w14:textId="40A6B946" w:rsidR="00EA0820" w:rsidRPr="00E263C5" w:rsidRDefault="00EA0820" w:rsidP="00FF5F29">
      <w:pPr>
        <w:ind w:right="120"/>
        <w:jc w:val="both"/>
      </w:pPr>
      <w:r w:rsidRPr="006D6182">
        <w:lastRenderedPageBreak/>
        <w:t xml:space="preserve">The </w:t>
      </w:r>
      <w:r w:rsidR="00284375">
        <w:t>R</w:t>
      </w:r>
      <w:r w:rsidRPr="006D6182">
        <w:t xml:space="preserve">eview is considering options for the future regulation of taxi services to help deliver a </w:t>
      </w:r>
      <w:r w:rsidRPr="00E263C5">
        <w:t xml:space="preserve">better level of service across Queensland, ensure the future sustainability of taxi services, and improve services for passengers in regional centres, remote communities and </w:t>
      </w:r>
      <w:proofErr w:type="gramStart"/>
      <w:r w:rsidRPr="00E263C5">
        <w:t>South East</w:t>
      </w:r>
      <w:proofErr w:type="gramEnd"/>
      <w:r w:rsidRPr="00E263C5">
        <w:t xml:space="preserve"> Queensland. Outcomes of the Review will provide certainty to taxi operators and licence holders about their future operating environment.</w:t>
      </w:r>
    </w:p>
    <w:p w14:paraId="35F676A8" w14:textId="77777777" w:rsidR="00EA0820" w:rsidRPr="00E263C5" w:rsidRDefault="00EA0820" w:rsidP="00FF5F29">
      <w:pPr>
        <w:ind w:right="120"/>
        <w:jc w:val="both"/>
      </w:pPr>
    </w:p>
    <w:p w14:paraId="77587527" w14:textId="77777777" w:rsidR="00EA0820" w:rsidRPr="00E263C5" w:rsidRDefault="00EA0820" w:rsidP="00FF5F29">
      <w:pPr>
        <w:pStyle w:val="BodyText"/>
        <w:shd w:val="clear" w:color="auto" w:fill="FFFFFF" w:themeFill="background1"/>
        <w:ind w:right="120"/>
        <w:jc w:val="both"/>
        <w:rPr>
          <w:b/>
          <w:bCs/>
          <w:i/>
          <w:iCs/>
        </w:rPr>
      </w:pPr>
      <w:proofErr w:type="spellStart"/>
      <w:r w:rsidRPr="00E263C5">
        <w:rPr>
          <w:b/>
          <w:bCs/>
          <w:i/>
          <w:iCs/>
        </w:rPr>
        <w:t>Translink's</w:t>
      </w:r>
      <w:proofErr w:type="spellEnd"/>
      <w:r w:rsidRPr="00E263C5">
        <w:rPr>
          <w:b/>
          <w:bCs/>
          <w:i/>
          <w:iCs/>
        </w:rPr>
        <w:t xml:space="preserve"> public face – </w:t>
      </w:r>
      <w:bookmarkStart w:id="24" w:name="_Hlk89257638"/>
      <w:r w:rsidRPr="00E263C5">
        <w:rPr>
          <w:b/>
          <w:bCs/>
          <w:i/>
          <w:iCs/>
        </w:rPr>
        <w:t xml:space="preserve">Customer Liaison Officers, Busway Safety Officers, and Senior Network Officers </w:t>
      </w:r>
      <w:bookmarkEnd w:id="24"/>
    </w:p>
    <w:p w14:paraId="17933DCD" w14:textId="7BAD2E81" w:rsidR="00EA0820" w:rsidRPr="00E263C5" w:rsidRDefault="00EA0820" w:rsidP="00FF5F29">
      <w:pPr>
        <w:pStyle w:val="BodyText"/>
        <w:ind w:right="120"/>
        <w:jc w:val="both"/>
        <w:rPr>
          <w:lang w:eastAsia="en-AU"/>
        </w:rPr>
      </w:pPr>
      <w:r w:rsidRPr="00E263C5">
        <w:rPr>
          <w:lang w:eastAsia="en-AU"/>
        </w:rPr>
        <w:t>As part of staff induction processes, officers are trained in</w:t>
      </w:r>
      <w:r w:rsidR="00F139AE">
        <w:rPr>
          <w:lang w:eastAsia="en-AU"/>
        </w:rPr>
        <w:t>,</w:t>
      </w:r>
      <w:r w:rsidRPr="00E263C5">
        <w:rPr>
          <w:lang w:eastAsia="en-AU"/>
        </w:rPr>
        <w:t xml:space="preserve"> and receive documentation around</w:t>
      </w:r>
      <w:r w:rsidR="00F139AE">
        <w:rPr>
          <w:lang w:eastAsia="en-AU"/>
        </w:rPr>
        <w:t>,</w:t>
      </w:r>
      <w:r w:rsidRPr="00E263C5">
        <w:rPr>
          <w:lang w:eastAsia="en-AU"/>
        </w:rPr>
        <w:t xml:space="preserve"> safe working practices and procedures, including: </w:t>
      </w:r>
    </w:p>
    <w:p w14:paraId="06B692DB" w14:textId="53A8ADBB" w:rsidR="00EA0820" w:rsidRPr="00E263C5" w:rsidRDefault="00EA0820" w:rsidP="00FF5F29">
      <w:pPr>
        <w:pStyle w:val="ListBullet"/>
        <w:ind w:right="120"/>
        <w:jc w:val="both"/>
      </w:pPr>
      <w:r w:rsidRPr="00E263C5">
        <w:t xml:space="preserve">standard operating procedures to provide detailed information to assist staff on their shift </w:t>
      </w:r>
      <w:r w:rsidR="00F921F2">
        <w:t>to ensure</w:t>
      </w:r>
      <w:r w:rsidRPr="00E263C5">
        <w:t xml:space="preserve"> the safety of themselves and network </w:t>
      </w:r>
      <w:proofErr w:type="gramStart"/>
      <w:r w:rsidRPr="00E263C5">
        <w:t>customers</w:t>
      </w:r>
      <w:proofErr w:type="gramEnd"/>
    </w:p>
    <w:p w14:paraId="252C8393" w14:textId="091DC85D" w:rsidR="00EA0820" w:rsidRPr="00E263C5" w:rsidRDefault="00EA0820" w:rsidP="00FF5F29">
      <w:pPr>
        <w:pStyle w:val="ListBullet"/>
        <w:ind w:right="120"/>
        <w:jc w:val="both"/>
      </w:pPr>
      <w:r w:rsidRPr="00E263C5">
        <w:t>shift instructions provided to staff</w:t>
      </w:r>
      <w:r w:rsidR="00F921F2">
        <w:t>,</w:t>
      </w:r>
      <w:r w:rsidRPr="00E263C5">
        <w:t xml:space="preserve"> particularly for locations with service changes or for focus areas including Cultural Centre and Queen Street Busway stations </w:t>
      </w:r>
      <w:proofErr w:type="gramStart"/>
      <w:r w:rsidRPr="00E263C5">
        <w:t>templates</w:t>
      </w:r>
      <w:proofErr w:type="gramEnd"/>
      <w:r w:rsidRPr="00E263C5">
        <w:t xml:space="preserve"> </w:t>
      </w:r>
    </w:p>
    <w:p w14:paraId="37C051BB" w14:textId="569C3AB3" w:rsidR="00EA0820" w:rsidRPr="00E263C5" w:rsidRDefault="00EA0820" w:rsidP="00FF5F29">
      <w:pPr>
        <w:pStyle w:val="ListBullet"/>
        <w:ind w:right="120"/>
        <w:jc w:val="both"/>
      </w:pPr>
      <w:r w:rsidRPr="00E263C5">
        <w:t xml:space="preserve">situational awareness training for the Busway team as part of ongoing personal safety training, reviewed and improved yearly and signed off by the </w:t>
      </w:r>
      <w:proofErr w:type="gramStart"/>
      <w:r w:rsidRPr="00E263C5">
        <w:t>team</w:t>
      </w:r>
      <w:proofErr w:type="gramEnd"/>
      <w:r w:rsidRPr="00E263C5">
        <w:t xml:space="preserve"> </w:t>
      </w:r>
    </w:p>
    <w:p w14:paraId="680C36AB" w14:textId="4284D798" w:rsidR="00EA0820" w:rsidRPr="00E263C5" w:rsidRDefault="00EA0820" w:rsidP="00FF5F29">
      <w:pPr>
        <w:pStyle w:val="ListBullet"/>
        <w:ind w:right="120"/>
        <w:jc w:val="both"/>
      </w:pPr>
      <w:r w:rsidRPr="00E263C5">
        <w:t>reporting protocols for conflict escalation points with Busways Operation Centre, the QPS and duty managers</w:t>
      </w:r>
    </w:p>
    <w:p w14:paraId="379A1FC1" w14:textId="755ECF18" w:rsidR="00EA0820" w:rsidRPr="00E263C5" w:rsidRDefault="00EA0820" w:rsidP="00FF5F29">
      <w:pPr>
        <w:pStyle w:val="ListBullet"/>
        <w:ind w:right="120"/>
        <w:jc w:val="both"/>
      </w:pPr>
      <w:r w:rsidRPr="00E263C5">
        <w:t>access information to Employee Assistance Services</w:t>
      </w:r>
      <w:r w:rsidR="00F46560">
        <w:t>,</w:t>
      </w:r>
      <w:r w:rsidRPr="00E263C5">
        <w:t xml:space="preserve"> and </w:t>
      </w:r>
    </w:p>
    <w:p w14:paraId="2EC0FC97" w14:textId="77777777" w:rsidR="00EA0820" w:rsidRPr="00E263C5" w:rsidRDefault="00EA0820" w:rsidP="00FF5F29">
      <w:pPr>
        <w:pStyle w:val="ListBullet"/>
        <w:ind w:right="120"/>
        <w:jc w:val="both"/>
      </w:pPr>
      <w:r w:rsidRPr="00E263C5">
        <w:t xml:space="preserve">the Code of Conduct and how it relates to staff and their roles. </w:t>
      </w:r>
    </w:p>
    <w:p w14:paraId="3CA6FFA7" w14:textId="77777777" w:rsidR="00EA0820" w:rsidRPr="00E263C5" w:rsidRDefault="00EA0820" w:rsidP="00FF5F29">
      <w:pPr>
        <w:pStyle w:val="BodyText"/>
        <w:shd w:val="clear" w:color="auto" w:fill="FFFFFF" w:themeFill="background1"/>
        <w:ind w:right="120"/>
        <w:jc w:val="both"/>
      </w:pPr>
    </w:p>
    <w:p w14:paraId="6DAA787D" w14:textId="77777777" w:rsidR="00EA0820" w:rsidRPr="00E263C5" w:rsidRDefault="00EA0820" w:rsidP="00FF5F29">
      <w:pPr>
        <w:pStyle w:val="BodyText"/>
        <w:ind w:right="120"/>
        <w:jc w:val="both"/>
      </w:pPr>
      <w:r w:rsidRPr="00E263C5">
        <w:t xml:space="preserve">Departmental employees have been trained in disability awareness to assist staff in identifying accessibility issues and situations and how best to assist passengers with specific needs. </w:t>
      </w:r>
    </w:p>
    <w:p w14:paraId="3FDD56E9" w14:textId="77777777" w:rsidR="00EA0820" w:rsidRPr="00E263C5" w:rsidRDefault="00EA0820" w:rsidP="00FF5F29">
      <w:pPr>
        <w:ind w:right="120"/>
        <w:jc w:val="both"/>
      </w:pPr>
    </w:p>
    <w:p w14:paraId="449DB87B" w14:textId="15144562" w:rsidR="00EA0820" w:rsidRPr="00E263C5" w:rsidRDefault="00EA0820" w:rsidP="00FF5F29">
      <w:pPr>
        <w:pStyle w:val="BodyText"/>
        <w:ind w:right="120"/>
        <w:jc w:val="both"/>
      </w:pPr>
      <w:r w:rsidRPr="00E263C5">
        <w:t xml:space="preserve">Fare infringement data is regularly reviewed and used to inform approaches to enforcement based on risk, technological </w:t>
      </w:r>
      <w:proofErr w:type="gramStart"/>
      <w:r w:rsidRPr="00E263C5">
        <w:t>innovations</w:t>
      </w:r>
      <w:proofErr w:type="gramEnd"/>
      <w:r w:rsidRPr="00E263C5">
        <w:t xml:space="preserve"> and effectiveness in achieving outcomes. Enforcement of offences is prioritised based on risk to, and impact on, the community, for example, high-risk behavioural issues or repeat/high rates of fare evasion. </w:t>
      </w:r>
    </w:p>
    <w:p w14:paraId="71BB114F" w14:textId="77777777" w:rsidR="00EA0820" w:rsidRPr="00E263C5" w:rsidRDefault="00EA0820" w:rsidP="00FF5F29">
      <w:pPr>
        <w:ind w:right="120"/>
        <w:jc w:val="both"/>
      </w:pPr>
    </w:p>
    <w:p w14:paraId="3094009B" w14:textId="77777777" w:rsidR="00EA0820" w:rsidRPr="00E263C5" w:rsidRDefault="00EA0820" w:rsidP="00FF5F29">
      <w:pPr>
        <w:pStyle w:val="BodyText"/>
        <w:ind w:right="120"/>
        <w:jc w:val="both"/>
      </w:pPr>
      <w:r w:rsidRPr="00E263C5">
        <w:t xml:space="preserve">Translink conducts regular reviews of incidents captured by authorised officers using body worn cameras on the network and, as a part of that process, conducts quality assurance on a percentage of randomly selected interactions for the purpose of continuous improvement. </w:t>
      </w:r>
    </w:p>
    <w:p w14:paraId="38E80C5B" w14:textId="77777777" w:rsidR="00EA0820" w:rsidRPr="00E263C5" w:rsidRDefault="00EA0820" w:rsidP="00FF5F29">
      <w:pPr>
        <w:ind w:right="120"/>
        <w:jc w:val="both"/>
      </w:pPr>
    </w:p>
    <w:p w14:paraId="392ED4ED" w14:textId="77777777" w:rsidR="00EA0820" w:rsidRPr="00E263C5" w:rsidRDefault="00EA0820" w:rsidP="00FF5F29">
      <w:pPr>
        <w:pStyle w:val="BodyText"/>
        <w:ind w:right="120"/>
        <w:jc w:val="both"/>
      </w:pPr>
      <w:r w:rsidRPr="00E263C5">
        <w:t xml:space="preserve">Yearly reviews of standard operating procedures are conducted for Busway and GCLR officers involved in enforcement activities. </w:t>
      </w:r>
    </w:p>
    <w:p w14:paraId="54AB6814" w14:textId="77777777" w:rsidR="00EA0820" w:rsidRPr="00E263C5" w:rsidRDefault="00EA0820" w:rsidP="00FF5F29">
      <w:pPr>
        <w:ind w:right="120"/>
        <w:jc w:val="both"/>
      </w:pPr>
    </w:p>
    <w:p w14:paraId="4EC4BB41" w14:textId="77777777" w:rsidR="00EA0820" w:rsidRPr="00E263C5" w:rsidRDefault="00EA0820" w:rsidP="00FF5F29">
      <w:pPr>
        <w:pStyle w:val="BodyText"/>
        <w:ind w:right="120"/>
        <w:jc w:val="both"/>
      </w:pPr>
      <w:r w:rsidRPr="00E263C5">
        <w:t xml:space="preserve">Yearly consultative reviews of the current senior staff training are conducted jointly with QPS to ensure standards and methodologies are best practice. </w:t>
      </w:r>
    </w:p>
    <w:p w14:paraId="6C508D58" w14:textId="77777777" w:rsidR="00EA0820" w:rsidRPr="00E263C5" w:rsidRDefault="00EA0820" w:rsidP="00FF5F29">
      <w:pPr>
        <w:ind w:right="120"/>
        <w:jc w:val="both"/>
      </w:pPr>
    </w:p>
    <w:p w14:paraId="694B55EA" w14:textId="77777777" w:rsidR="00EA0820" w:rsidRPr="00E263C5" w:rsidRDefault="00EA0820" w:rsidP="00FF5F29">
      <w:pPr>
        <w:pStyle w:val="BodyText"/>
        <w:ind w:right="120"/>
        <w:jc w:val="both"/>
      </w:pPr>
      <w:r w:rsidRPr="00E263C5">
        <w:lastRenderedPageBreak/>
        <w:t xml:space="preserve">Translink Busway Operations unit undertakes a regular risk review of busway processes through exercising its Business Continuity Plan. </w:t>
      </w:r>
    </w:p>
    <w:p w14:paraId="0A2BD00C" w14:textId="77777777" w:rsidR="00EA0820" w:rsidRPr="00E263C5" w:rsidRDefault="00EA0820" w:rsidP="00FF5F29">
      <w:pPr>
        <w:ind w:right="120"/>
        <w:jc w:val="both"/>
      </w:pPr>
    </w:p>
    <w:p w14:paraId="4DD90E43" w14:textId="77777777" w:rsidR="00EA0820" w:rsidRPr="00E263C5" w:rsidRDefault="00EA0820" w:rsidP="00FF5F29">
      <w:pPr>
        <w:pStyle w:val="BodyText"/>
        <w:ind w:right="120"/>
        <w:jc w:val="both"/>
      </w:pPr>
      <w:r w:rsidRPr="00E263C5">
        <w:t>Busway Safety Officers receive training in legislative and regulatory requirements and powers to undertake their role.</w:t>
      </w:r>
    </w:p>
    <w:p w14:paraId="1B04F922" w14:textId="77777777" w:rsidR="00EA0820" w:rsidRPr="00E263C5" w:rsidRDefault="00EA0820" w:rsidP="00FF5F29">
      <w:pPr>
        <w:ind w:right="120"/>
        <w:jc w:val="both"/>
      </w:pPr>
    </w:p>
    <w:p w14:paraId="28D64A32" w14:textId="36887239" w:rsidR="00EA0820" w:rsidRDefault="00EA0820" w:rsidP="00FF5F29">
      <w:pPr>
        <w:pStyle w:val="BodyText"/>
        <w:shd w:val="clear" w:color="auto" w:fill="FFFFFF" w:themeFill="background1"/>
        <w:ind w:right="120"/>
        <w:jc w:val="both"/>
      </w:pPr>
      <w:proofErr w:type="spellStart"/>
      <w:r w:rsidRPr="00E263C5" w:rsidDel="006D7A3C">
        <w:t>Translink’s</w:t>
      </w:r>
      <w:proofErr w:type="spellEnd"/>
      <w:r w:rsidRPr="00E263C5" w:rsidDel="006D7A3C">
        <w:t xml:space="preserve"> </w:t>
      </w:r>
      <w:r w:rsidRPr="00E263C5">
        <w:t>Transit Safety, Security and Sustainability</w:t>
      </w:r>
      <w:r w:rsidRPr="00E263C5" w:rsidDel="006D7A3C">
        <w:t xml:space="preserve"> team has created a training, </w:t>
      </w:r>
      <w:proofErr w:type="gramStart"/>
      <w:r w:rsidRPr="00E263C5" w:rsidDel="006D7A3C">
        <w:t>risk</w:t>
      </w:r>
      <w:proofErr w:type="gramEnd"/>
      <w:r w:rsidRPr="00E263C5" w:rsidDel="006D7A3C">
        <w:t xml:space="preserve"> and assurance team </w:t>
      </w:r>
      <w:r w:rsidRPr="00E263C5">
        <w:t>with</w:t>
      </w:r>
      <w:r w:rsidRPr="00E263C5" w:rsidDel="006D7A3C">
        <w:t xml:space="preserve"> responsibility for ensuring training is contemporary and meets legislative and policy requirements. Additionally, that team is also responsible for auditing regulatory functions to ensure policy and legislation has been adhered to.</w:t>
      </w:r>
    </w:p>
    <w:p w14:paraId="10233E80" w14:textId="32360CD7" w:rsidR="00A33D57" w:rsidRPr="00A33D57" w:rsidRDefault="00A33D57" w:rsidP="00FF5F29">
      <w:pPr>
        <w:ind w:right="120"/>
      </w:pPr>
    </w:p>
    <w:p w14:paraId="6655FE47" w14:textId="77777777" w:rsidR="001F08BE" w:rsidRDefault="001F08BE">
      <w:pPr>
        <w:spacing w:after="160" w:line="259" w:lineRule="auto"/>
      </w:pPr>
      <w:r>
        <w:br w:type="page"/>
      </w:r>
    </w:p>
    <w:p w14:paraId="375268BB" w14:textId="0FD7D6BE" w:rsidR="00E16AC8" w:rsidRPr="00961C30" w:rsidRDefault="00A33D57" w:rsidP="00FF5F29">
      <w:pPr>
        <w:ind w:right="120"/>
        <w:rPr>
          <w:sz w:val="44"/>
          <w:szCs w:val="40"/>
        </w:rPr>
      </w:pPr>
      <w:r w:rsidRPr="006D6182">
        <w:rPr>
          <w:noProof/>
        </w:rPr>
        <w:lastRenderedPageBreak/>
        <mc:AlternateContent>
          <mc:Choice Requires="wps">
            <w:drawing>
              <wp:anchor distT="0" distB="0" distL="114300" distR="114300" simplePos="0" relativeHeight="251689472" behindDoc="0" locked="0" layoutInCell="1" allowOverlap="1" wp14:anchorId="1E01DFAF" wp14:editId="0E79934F">
                <wp:simplePos x="0" y="0"/>
                <wp:positionH relativeFrom="margin">
                  <wp:posOffset>-19050</wp:posOffset>
                </wp:positionH>
                <wp:positionV relativeFrom="paragraph">
                  <wp:posOffset>0</wp:posOffset>
                </wp:positionV>
                <wp:extent cx="4572000" cy="701675"/>
                <wp:effectExtent l="0" t="0" r="0" b="3175"/>
                <wp:wrapTopAndBottom/>
                <wp:docPr id="1536755270" name="Arrow: Pentagon 1536755270"/>
                <wp:cNvGraphicFramePr/>
                <a:graphic xmlns:a="http://schemas.openxmlformats.org/drawingml/2006/main">
                  <a:graphicData uri="http://schemas.microsoft.com/office/word/2010/wordprocessingShape">
                    <wps:wsp>
                      <wps:cNvSpPr/>
                      <wps:spPr>
                        <a:xfrm>
                          <a:off x="0" y="0"/>
                          <a:ext cx="4572000" cy="70167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656E6" w14:textId="77777777" w:rsidR="00FE6354" w:rsidRPr="001B1346" w:rsidRDefault="00FE6354" w:rsidP="00FE6354">
                            <w:pPr>
                              <w:rPr>
                                <w:b/>
                                <w:bCs/>
                                <w:color w:val="FFFFFF" w:themeColor="background1"/>
                                <w:sz w:val="35"/>
                                <w:szCs w:val="35"/>
                              </w:rPr>
                            </w:pPr>
                            <w:r w:rsidRPr="001B1346">
                              <w:rPr>
                                <w:b/>
                                <w:bCs/>
                                <w:color w:val="FFFFFF" w:themeColor="background1"/>
                                <w:sz w:val="35"/>
                                <w:szCs w:val="35"/>
                              </w:rPr>
                              <w:t>Transport Infrastructure (Public Marine Facilities) Regulation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1DFAF" id="Arrow: Pentagon 1536755270" o:spid="_x0000_s1049" type="#_x0000_t15" style="position:absolute;margin-left:-1.5pt;margin-top:0;width:5in;height:55.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" adj="19943" fillcolor="#003e69 [3204]" stroked="f" strokeweight="1pt">
                <v:textbox>
                  <w:txbxContent>
                    <w:p w14:paraId="7B2656E6" w14:textId="77777777" w:rsidR="00FE6354" w:rsidRPr="001B1346" w:rsidRDefault="00FE6354" w:rsidP="00FE6354">
                      <w:pPr>
                        <w:rPr>
                          <w:b/>
                          <w:bCs/>
                          <w:color w:val="FFFFFF" w:themeColor="background1"/>
                          <w:sz w:val="35"/>
                          <w:szCs w:val="35"/>
                        </w:rPr>
                      </w:pPr>
                      <w:r w:rsidRPr="001B1346">
                        <w:rPr>
                          <w:b/>
                          <w:bCs/>
                          <w:color w:val="FFFFFF" w:themeColor="background1"/>
                          <w:sz w:val="35"/>
                          <w:szCs w:val="35"/>
                        </w:rPr>
                        <w:t>Transport Infrastructure (Public Marine Facilities) Regulation 2023</w:t>
                      </w:r>
                    </w:p>
                  </w:txbxContent>
                </v:textbox>
                <w10:wrap type="topAndBottom" anchorx="margin"/>
              </v:shape>
            </w:pict>
          </mc:Fallback>
        </mc:AlternateContent>
      </w:r>
    </w:p>
    <w:p w14:paraId="368FAF1B" w14:textId="39C88582" w:rsidR="00D715DF" w:rsidRDefault="00EA5C45" w:rsidP="00FF5F29">
      <w:pPr>
        <w:ind w:right="120"/>
        <w:jc w:val="both"/>
      </w:pPr>
      <w:r w:rsidRPr="005203AC">
        <w:t xml:space="preserve">As required under the </w:t>
      </w:r>
      <w:r w:rsidRPr="005203AC">
        <w:rPr>
          <w:i/>
          <w:iCs/>
        </w:rPr>
        <w:t>Statutory Instruments Act 1992</w:t>
      </w:r>
      <w:r w:rsidRPr="005203AC">
        <w:t xml:space="preserve">, the </w:t>
      </w:r>
      <w:r w:rsidRPr="005203AC">
        <w:rPr>
          <w:i/>
          <w:iCs/>
        </w:rPr>
        <w:t>Transport Infrastructure (Public Marine Facilities) Regulation 2023</w:t>
      </w:r>
      <w:r w:rsidRPr="005203AC">
        <w:t xml:space="preserve"> (PMF Regulation) was made to replace an expiring regulation.</w:t>
      </w:r>
    </w:p>
    <w:p w14:paraId="6EDCE361" w14:textId="77777777" w:rsidR="00D715DF" w:rsidRDefault="00D715DF" w:rsidP="00FF5F29">
      <w:pPr>
        <w:ind w:right="120"/>
        <w:jc w:val="both"/>
      </w:pPr>
    </w:p>
    <w:p w14:paraId="5317009E" w14:textId="77777777" w:rsidR="00B616F5" w:rsidRDefault="00EA5C45" w:rsidP="00FF5F29">
      <w:pPr>
        <w:ind w:right="120"/>
        <w:jc w:val="both"/>
      </w:pPr>
      <w:r w:rsidRPr="005203AC">
        <w:t xml:space="preserve">The policy objective of the PMF Regulation is to ensure the ongoing safe and efficient operation of public marine facilities in Queensland. </w:t>
      </w:r>
    </w:p>
    <w:p w14:paraId="1C62961A" w14:textId="77777777" w:rsidR="00B616F5" w:rsidRDefault="00B616F5" w:rsidP="00FF5F29">
      <w:pPr>
        <w:ind w:right="120"/>
        <w:jc w:val="both"/>
      </w:pPr>
    </w:p>
    <w:p w14:paraId="67DB7123" w14:textId="1A36FF1E" w:rsidR="00E16AC8" w:rsidRDefault="00EA5C45" w:rsidP="00FF5F29">
      <w:pPr>
        <w:ind w:right="120"/>
        <w:jc w:val="both"/>
      </w:pPr>
      <w:r w:rsidRPr="005203AC">
        <w:t xml:space="preserve">Public marine facilities under the regulation include state-owned or controlled marine infrastructure such as </w:t>
      </w:r>
      <w:r w:rsidR="00754193" w:rsidRPr="00754193">
        <w:t>boat ramps, floating walkways, pontoons, jetties</w:t>
      </w:r>
      <w:r w:rsidR="006B0114">
        <w:t>,</w:t>
      </w:r>
      <w:r w:rsidR="00754193" w:rsidRPr="00754193">
        <w:t xml:space="preserve"> breakwaters, boat harbours etc.</w:t>
      </w:r>
      <w:r w:rsidR="00754193" w:rsidRPr="005203AC">
        <w:t xml:space="preserve"> </w:t>
      </w:r>
    </w:p>
    <w:p w14:paraId="7D708515" w14:textId="77777777" w:rsidR="00E16AC8" w:rsidRDefault="00E16AC8" w:rsidP="00FF5F29">
      <w:pPr>
        <w:ind w:right="120"/>
        <w:jc w:val="both"/>
      </w:pPr>
    </w:p>
    <w:p w14:paraId="0B551618" w14:textId="675D1834" w:rsidR="00B616F5" w:rsidRDefault="00EA5C45" w:rsidP="00FF5F29">
      <w:pPr>
        <w:ind w:right="120"/>
        <w:jc w:val="both"/>
      </w:pPr>
      <w:r w:rsidRPr="005203AC">
        <w:t xml:space="preserve">The expiring regulation was reviewed in accordance with the </w:t>
      </w:r>
      <w:r w:rsidRPr="005203AC">
        <w:rPr>
          <w:i/>
          <w:iCs/>
        </w:rPr>
        <w:t>Queensland Government Guide to Better Regulation</w:t>
      </w:r>
      <w:r w:rsidRPr="005203AC">
        <w:t xml:space="preserve"> to</w:t>
      </w:r>
      <w:r w:rsidR="007669A4" w:rsidRPr="005203AC">
        <w:t xml:space="preserve"> ensure it continued to meet community needs and expectations. </w:t>
      </w:r>
      <w:r w:rsidR="00B616F5">
        <w:br/>
      </w:r>
    </w:p>
    <w:p w14:paraId="16EF71BC" w14:textId="3C748CC5" w:rsidR="00EA5C45" w:rsidRDefault="007669A4" w:rsidP="00FF5F29">
      <w:pPr>
        <w:ind w:right="120"/>
        <w:jc w:val="both"/>
      </w:pPr>
      <w:r w:rsidRPr="005203AC">
        <w:t>Th</w:t>
      </w:r>
      <w:r w:rsidR="00754193">
        <w:t>is</w:t>
      </w:r>
      <w:r w:rsidRPr="005203AC">
        <w:t xml:space="preserve"> review process included extensive consultation with managers of public marine facilities and key organisations to ensure the regulation is practical and effective. As a result, the PMF Regulation updated prescribed managers of public marine facilities, modernised the drafting, and made the obligations of managers clearer.</w:t>
      </w:r>
    </w:p>
    <w:p w14:paraId="34C42B8F" w14:textId="3B0E0437" w:rsidR="00677771" w:rsidRDefault="00677771">
      <w:pPr>
        <w:spacing w:after="160" w:line="259" w:lineRule="auto"/>
      </w:pPr>
      <w:r>
        <w:br w:type="page"/>
      </w:r>
    </w:p>
    <w:p w14:paraId="6111721B" w14:textId="519388AE" w:rsidR="00DE51C8" w:rsidRDefault="00465FBD" w:rsidP="00FF5F29">
      <w:pPr>
        <w:pStyle w:val="Heading2"/>
        <w:ind w:right="120"/>
      </w:pPr>
      <w:bookmarkStart w:id="25" w:name="_Toc184395463"/>
      <w:bookmarkStart w:id="26" w:name="_Toc185328313"/>
      <w:r>
        <w:lastRenderedPageBreak/>
        <w:t xml:space="preserve">Be transparent and accountable in </w:t>
      </w:r>
      <w:proofErr w:type="gramStart"/>
      <w:r>
        <w:t>actions</w:t>
      </w:r>
      <w:bookmarkEnd w:id="25"/>
      <w:bookmarkEnd w:id="26"/>
      <w:proofErr w:type="gramEnd"/>
    </w:p>
    <w:p w14:paraId="3D7ACB06" w14:textId="77777777" w:rsidR="002B0E85" w:rsidRPr="002B0E85" w:rsidRDefault="002B0E85" w:rsidP="00FF5F29">
      <w:pPr>
        <w:ind w:right="120"/>
      </w:pPr>
    </w:p>
    <w:p w14:paraId="417A40E6" w14:textId="1FCAACD2" w:rsidR="00403412" w:rsidRDefault="00403412" w:rsidP="00FF5F29">
      <w:pPr>
        <w:pStyle w:val="BodyText"/>
        <w:ind w:right="120"/>
        <w:jc w:val="both"/>
      </w:pPr>
      <w:r>
        <w:t>Administrative decisions under transport law are generally reviewable internally or by the Queensland Civil and Administrative Tribunal. TMR communicates to stakeholders about</w:t>
      </w:r>
      <w:r w:rsidRPr="004976D1">
        <w:t xml:space="preserve"> </w:t>
      </w:r>
      <w:r>
        <w:t>processes</w:t>
      </w:r>
      <w:r w:rsidRPr="004976D1">
        <w:t xml:space="preserve"> </w:t>
      </w:r>
      <w:r>
        <w:t>and</w:t>
      </w:r>
      <w:r w:rsidRPr="004976D1">
        <w:t xml:space="preserve"> </w:t>
      </w:r>
      <w:r>
        <w:t>timeframes</w:t>
      </w:r>
      <w:r w:rsidRPr="004976D1">
        <w:t xml:space="preserve"> </w:t>
      </w:r>
      <w:r>
        <w:t>related</w:t>
      </w:r>
      <w:r w:rsidRPr="004976D1">
        <w:t xml:space="preserve"> </w:t>
      </w:r>
      <w:r>
        <w:t>to</w:t>
      </w:r>
      <w:r w:rsidRPr="004976D1">
        <w:t xml:space="preserve"> </w:t>
      </w:r>
      <w:r w:rsidR="0035644A" w:rsidRPr="004976D1">
        <w:t xml:space="preserve">TMR </w:t>
      </w:r>
      <w:r>
        <w:t>decisions</w:t>
      </w:r>
      <w:r w:rsidR="0035644A">
        <w:t>,</w:t>
      </w:r>
      <w:r w:rsidRPr="004976D1">
        <w:t xml:space="preserve"> </w:t>
      </w:r>
      <w:r>
        <w:t>as</w:t>
      </w:r>
      <w:r w:rsidRPr="004976D1">
        <w:t xml:space="preserve"> </w:t>
      </w:r>
      <w:r>
        <w:t>well</w:t>
      </w:r>
      <w:r w:rsidRPr="004976D1">
        <w:t xml:space="preserve"> </w:t>
      </w:r>
      <w:r>
        <w:t>as</w:t>
      </w:r>
      <w:r w:rsidRPr="004976D1">
        <w:t xml:space="preserve"> </w:t>
      </w:r>
      <w:r>
        <w:t>the</w:t>
      </w:r>
      <w:r w:rsidRPr="004976D1">
        <w:t xml:space="preserve"> </w:t>
      </w:r>
      <w:r>
        <w:t>reasons</w:t>
      </w:r>
      <w:r w:rsidRPr="004976D1">
        <w:t xml:space="preserve"> </w:t>
      </w:r>
      <w:r>
        <w:t>for</w:t>
      </w:r>
      <w:r w:rsidRPr="004976D1">
        <w:t xml:space="preserve"> </w:t>
      </w:r>
      <w:r>
        <w:t>decisions.</w:t>
      </w:r>
    </w:p>
    <w:p w14:paraId="2D0BD3AF" w14:textId="77777777" w:rsidR="00AA1BB3" w:rsidRDefault="00AA1BB3" w:rsidP="00FF5F29">
      <w:pPr>
        <w:pStyle w:val="BodyText"/>
        <w:ind w:right="120"/>
        <w:jc w:val="both"/>
      </w:pPr>
    </w:p>
    <w:p w14:paraId="3D655549" w14:textId="69173BFE" w:rsidR="00EB0321" w:rsidRDefault="00EB0321" w:rsidP="00FF5F29">
      <w:pPr>
        <w:pStyle w:val="BodyText"/>
        <w:ind w:right="120"/>
        <w:jc w:val="both"/>
      </w:pPr>
      <w:r w:rsidRPr="00AA1BB3">
        <w:t>A range of information about regulatory activities is published through the Queensland Government Open Data Portal. This includes information about road crashes, traffic infringements issued, vehicle inspections performed, vehicle and vessel registration statistics, and driver licensing statistics.</w:t>
      </w:r>
      <w:r w:rsidRPr="006D6182">
        <w:t xml:space="preserve"> </w:t>
      </w:r>
    </w:p>
    <w:p w14:paraId="0E49676B" w14:textId="6FD50959" w:rsidR="00B616F5" w:rsidRDefault="00961C30" w:rsidP="00FF5F29">
      <w:pPr>
        <w:pStyle w:val="BodyText"/>
        <w:shd w:val="clear" w:color="auto" w:fill="FFFFFF" w:themeFill="background1"/>
        <w:spacing w:before="240"/>
        <w:ind w:right="120"/>
        <w:rPr>
          <w:b/>
          <w:bCs/>
          <w:i/>
          <w:iCs/>
        </w:rPr>
      </w:pPr>
      <w:r w:rsidRPr="00AA1BB3">
        <w:rPr>
          <w:rFonts w:ascii="MetaPro-CondNorm" w:hAnsi="MetaPro-CondNorm"/>
          <w:noProof/>
        </w:rPr>
        <mc:AlternateContent>
          <mc:Choice Requires="wps">
            <w:drawing>
              <wp:anchor distT="0" distB="0" distL="114300" distR="114300" simplePos="0" relativeHeight="251671040" behindDoc="1" locked="0" layoutInCell="1" allowOverlap="1" wp14:anchorId="7385AA4F" wp14:editId="457D76A5">
                <wp:simplePos x="0" y="0"/>
                <wp:positionH relativeFrom="margin">
                  <wp:posOffset>0</wp:posOffset>
                </wp:positionH>
                <wp:positionV relativeFrom="paragraph">
                  <wp:posOffset>291465</wp:posOffset>
                </wp:positionV>
                <wp:extent cx="3225165" cy="612000"/>
                <wp:effectExtent l="0" t="0" r="0" b="0"/>
                <wp:wrapTight wrapText="bothSides">
                  <wp:wrapPolygon edited="0">
                    <wp:start x="0" y="0"/>
                    <wp:lineTo x="0" y="20860"/>
                    <wp:lineTo x="19776" y="20860"/>
                    <wp:lineTo x="21434" y="11439"/>
                    <wp:lineTo x="21434" y="9421"/>
                    <wp:lineTo x="19776" y="0"/>
                    <wp:lineTo x="0" y="0"/>
                  </wp:wrapPolygon>
                </wp:wrapTight>
                <wp:docPr id="31" name="Arrow: Pentagon 31"/>
                <wp:cNvGraphicFramePr/>
                <a:graphic xmlns:a="http://schemas.openxmlformats.org/drawingml/2006/main">
                  <a:graphicData uri="http://schemas.microsoft.com/office/word/2010/wordprocessingShape">
                    <wps:wsp>
                      <wps:cNvSpPr/>
                      <wps:spPr>
                        <a:xfrm>
                          <a:off x="0" y="0"/>
                          <a:ext cx="3225165" cy="612000"/>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E6FC0" w14:textId="77777777" w:rsidR="00EB0321" w:rsidRDefault="00EB0321" w:rsidP="00EB0321">
                            <w:r>
                              <w:rPr>
                                <w:b/>
                                <w:bCs/>
                                <w:color w:val="FFFFFF" w:themeColor="background1"/>
                                <w:sz w:val="36"/>
                                <w:szCs w:val="36"/>
                              </w:rPr>
                              <w:t>Passenger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5AA4F" id="Arrow: Pentagon 31" o:spid="_x0000_s1050" type="#_x0000_t15" style="position:absolute;margin-left:0;margin-top:22.95pt;width:253.95pt;height:48.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" adj="19551" fillcolor="#003e69 [3204]" stroked="f" strokeweight="1pt">
                <v:textbox>
                  <w:txbxContent>
                    <w:p w14:paraId="54AE6FC0" w14:textId="77777777" w:rsidR="00EB0321" w:rsidRDefault="00EB0321" w:rsidP="00EB0321">
                      <w:r>
                        <w:rPr>
                          <w:b/>
                          <w:bCs/>
                          <w:color w:val="FFFFFF" w:themeColor="background1"/>
                          <w:sz w:val="36"/>
                          <w:szCs w:val="36"/>
                        </w:rPr>
                        <w:t>Passenger Transport</w:t>
                      </w:r>
                    </w:p>
                  </w:txbxContent>
                </v:textbox>
                <w10:wrap type="tight" anchorx="margin"/>
              </v:shape>
            </w:pict>
          </mc:Fallback>
        </mc:AlternateContent>
      </w:r>
    </w:p>
    <w:p w14:paraId="574890EC" w14:textId="0FA609DC" w:rsidR="00B616F5" w:rsidRDefault="00B616F5" w:rsidP="00FF5F29">
      <w:pPr>
        <w:pStyle w:val="BodyText"/>
        <w:shd w:val="clear" w:color="auto" w:fill="FFFFFF" w:themeFill="background1"/>
        <w:spacing w:before="240"/>
        <w:ind w:right="120"/>
        <w:rPr>
          <w:b/>
          <w:bCs/>
          <w:i/>
          <w:iCs/>
        </w:rPr>
      </w:pPr>
    </w:p>
    <w:p w14:paraId="409F9AC0" w14:textId="03EE1F41" w:rsidR="00012835" w:rsidRPr="006D6182" w:rsidRDefault="00D37F41" w:rsidP="00FF5F29">
      <w:pPr>
        <w:pStyle w:val="BodyText"/>
        <w:shd w:val="clear" w:color="auto" w:fill="FFFFFF" w:themeFill="background1"/>
        <w:spacing w:before="240"/>
        <w:ind w:right="120"/>
        <w:jc w:val="both"/>
        <w:rPr>
          <w:b/>
          <w:bCs/>
          <w:i/>
          <w:iCs/>
        </w:rPr>
      </w:pPr>
      <w:r>
        <w:rPr>
          <w:b/>
          <w:bCs/>
          <w:i/>
          <w:iCs/>
        </w:rPr>
        <w:br/>
      </w:r>
      <w:r w:rsidR="00012835" w:rsidRPr="006D6182">
        <w:rPr>
          <w:b/>
          <w:bCs/>
          <w:i/>
          <w:iCs/>
        </w:rPr>
        <w:t>Personalised transport services</w:t>
      </w:r>
    </w:p>
    <w:p w14:paraId="46008321" w14:textId="77777777" w:rsidR="00012835" w:rsidRPr="006D6182" w:rsidRDefault="00012835" w:rsidP="00FF5F29">
      <w:pPr>
        <w:pStyle w:val="BodyText"/>
        <w:ind w:right="120"/>
        <w:jc w:val="both"/>
        <w:rPr>
          <w:lang w:eastAsia="en-AU"/>
        </w:rPr>
      </w:pPr>
      <w:r w:rsidRPr="006D6182">
        <w:rPr>
          <w:lang w:eastAsia="en-AU"/>
        </w:rPr>
        <w:t xml:space="preserve">TMR publishes industry information for limousine, </w:t>
      </w:r>
      <w:proofErr w:type="gramStart"/>
      <w:r w:rsidRPr="006D6182">
        <w:rPr>
          <w:lang w:eastAsia="en-AU"/>
        </w:rPr>
        <w:t>taxi</w:t>
      </w:r>
      <w:proofErr w:type="gramEnd"/>
      <w:r w:rsidRPr="006D6182">
        <w:rPr>
          <w:lang w:eastAsia="en-AU"/>
        </w:rPr>
        <w:t xml:space="preserve"> and ride-booking operators so that the regulatory frameworks are transparent. This website publication sets out relevant detailed information including: </w:t>
      </w:r>
    </w:p>
    <w:p w14:paraId="1CB3587D" w14:textId="0EAA69A6" w:rsidR="00012835" w:rsidRPr="006D6182" w:rsidRDefault="00012835" w:rsidP="00FF5F29">
      <w:pPr>
        <w:pStyle w:val="ListBullet"/>
        <w:ind w:right="120"/>
        <w:jc w:val="both"/>
      </w:pPr>
      <w:r w:rsidRPr="006D6182">
        <w:t xml:space="preserve">authorisations and safety requirements </w:t>
      </w:r>
    </w:p>
    <w:p w14:paraId="27568289" w14:textId="3983D955" w:rsidR="00012835" w:rsidRPr="006D6182" w:rsidRDefault="00012835" w:rsidP="00FF5F29">
      <w:pPr>
        <w:pStyle w:val="ListBullet"/>
        <w:ind w:right="120"/>
        <w:jc w:val="both"/>
      </w:pPr>
      <w:r w:rsidRPr="006D6182">
        <w:t>driver requirements</w:t>
      </w:r>
      <w:r w:rsidR="00295CC7">
        <w:t>,</w:t>
      </w:r>
      <w:r w:rsidRPr="006D6182">
        <w:t xml:space="preserve"> and </w:t>
      </w:r>
    </w:p>
    <w:p w14:paraId="3CDA946A" w14:textId="77777777" w:rsidR="00012835" w:rsidRPr="006D6182" w:rsidRDefault="00012835" w:rsidP="00FF5F29">
      <w:pPr>
        <w:pStyle w:val="ListBullet"/>
        <w:ind w:right="120"/>
        <w:jc w:val="both"/>
      </w:pPr>
      <w:r w:rsidRPr="006D6182">
        <w:t xml:space="preserve">vehicle requirements. </w:t>
      </w:r>
    </w:p>
    <w:p w14:paraId="287C8DC3" w14:textId="77777777" w:rsidR="00012835" w:rsidRPr="006D6182" w:rsidRDefault="00012835" w:rsidP="00FF5F29">
      <w:pPr>
        <w:pStyle w:val="BodyText"/>
        <w:ind w:right="120"/>
        <w:jc w:val="both"/>
        <w:rPr>
          <w:szCs w:val="24"/>
        </w:rPr>
      </w:pPr>
      <w:bookmarkStart w:id="27" w:name="_Hlk119331980"/>
    </w:p>
    <w:p w14:paraId="4D5730DB" w14:textId="77777777" w:rsidR="00012835" w:rsidRPr="006D6182" w:rsidRDefault="00012835" w:rsidP="00FF5F29">
      <w:pPr>
        <w:pStyle w:val="BodyText"/>
        <w:ind w:right="120"/>
        <w:jc w:val="both"/>
        <w:rPr>
          <w:szCs w:val="24"/>
        </w:rPr>
      </w:pPr>
      <w:r w:rsidRPr="006D6182">
        <w:rPr>
          <w:szCs w:val="24"/>
        </w:rPr>
        <w:t>The open data portal includes a dataset containing Queensland’s limousine and taxi service licence transfer values and locations since 2008</w:t>
      </w:r>
      <w:bookmarkEnd w:id="27"/>
      <w:r w:rsidRPr="006D6182">
        <w:rPr>
          <w:szCs w:val="24"/>
        </w:rPr>
        <w:t xml:space="preserve">. </w:t>
      </w:r>
    </w:p>
    <w:p w14:paraId="24FA122F" w14:textId="77777777" w:rsidR="00012835" w:rsidRPr="006D6182" w:rsidRDefault="00012835" w:rsidP="00FF5F29">
      <w:pPr>
        <w:ind w:right="120"/>
        <w:jc w:val="both"/>
      </w:pPr>
    </w:p>
    <w:p w14:paraId="289859A3" w14:textId="77777777" w:rsidR="00012835" w:rsidRPr="006D6182" w:rsidRDefault="00012835" w:rsidP="00FF5F29">
      <w:pPr>
        <w:pStyle w:val="BodyText"/>
        <w:ind w:right="120"/>
        <w:jc w:val="both"/>
        <w:rPr>
          <w:szCs w:val="24"/>
        </w:rPr>
      </w:pPr>
      <w:r w:rsidRPr="006D6182">
        <w:rPr>
          <w:szCs w:val="24"/>
        </w:rPr>
        <w:t>TMR publishes advice about application processing times to assist industry. This information includes advice that applications to renew a booking entity authorisation may take up to 20</w:t>
      </w:r>
      <w:r>
        <w:rPr>
          <w:szCs w:val="24"/>
        </w:rPr>
        <w:t xml:space="preserve"> business</w:t>
      </w:r>
      <w:r w:rsidRPr="006D6182">
        <w:rPr>
          <w:szCs w:val="24"/>
        </w:rPr>
        <w:t xml:space="preserve"> days to process and therefore should be lodged sufficiently in advance of expiry, and that an application for a booked hire service licence can take between five and 20 business days to process. This public information helps industry plan and prepare for key activities.</w:t>
      </w:r>
    </w:p>
    <w:p w14:paraId="77B37D68" w14:textId="77777777" w:rsidR="00012835" w:rsidRPr="006D6182" w:rsidRDefault="00012835" w:rsidP="00FF5F29">
      <w:pPr>
        <w:ind w:right="120"/>
        <w:jc w:val="both"/>
      </w:pPr>
    </w:p>
    <w:p w14:paraId="013AF4D1" w14:textId="23678E17" w:rsidR="00012835" w:rsidRDefault="00012835" w:rsidP="00FF5F29">
      <w:pPr>
        <w:pStyle w:val="BodyText"/>
        <w:ind w:right="120"/>
        <w:jc w:val="both"/>
        <w:rPr>
          <w:rFonts w:asciiTheme="minorHAnsi" w:eastAsia="Times New Roman" w:hAnsiTheme="minorHAnsi" w:cs="Times New Roman"/>
          <w:szCs w:val="24"/>
          <w:lang w:eastAsia="en-AU"/>
        </w:rPr>
      </w:pPr>
      <w:r w:rsidRPr="006D6182">
        <w:rPr>
          <w:rFonts w:asciiTheme="minorHAnsi" w:eastAsia="Times New Roman" w:hAnsiTheme="minorHAnsi" w:cs="Times New Roman"/>
          <w:szCs w:val="24"/>
          <w:lang w:eastAsia="en-AU"/>
        </w:rPr>
        <w:t xml:space="preserve">Regulation notices are provided to persons affected by a decision to suspend, </w:t>
      </w:r>
      <w:proofErr w:type="gramStart"/>
      <w:r w:rsidRPr="006D6182">
        <w:rPr>
          <w:rFonts w:asciiTheme="minorHAnsi" w:eastAsia="Times New Roman" w:hAnsiTheme="minorHAnsi" w:cs="Times New Roman"/>
          <w:szCs w:val="24"/>
          <w:lang w:eastAsia="en-AU"/>
        </w:rPr>
        <w:t>amend</w:t>
      </w:r>
      <w:proofErr w:type="gramEnd"/>
      <w:r w:rsidRPr="006D6182">
        <w:rPr>
          <w:rFonts w:asciiTheme="minorHAnsi" w:eastAsia="Times New Roman" w:hAnsiTheme="minorHAnsi" w:cs="Times New Roman"/>
          <w:szCs w:val="24"/>
          <w:lang w:eastAsia="en-AU"/>
        </w:rPr>
        <w:t xml:space="preserve"> or cancel an authorisation or licence under passenger transport legislation. Regulation notices must set out the reasons for a decision</w:t>
      </w:r>
      <w:r w:rsidR="00DC5F4B">
        <w:rPr>
          <w:rFonts w:asciiTheme="minorHAnsi" w:eastAsia="Times New Roman" w:hAnsiTheme="minorHAnsi" w:cs="Times New Roman"/>
          <w:szCs w:val="24"/>
          <w:lang w:eastAsia="en-AU"/>
        </w:rPr>
        <w:t xml:space="preserve">, </w:t>
      </w:r>
      <w:r w:rsidRPr="006D6182">
        <w:rPr>
          <w:rFonts w:asciiTheme="minorHAnsi" w:eastAsia="Times New Roman" w:hAnsiTheme="minorHAnsi" w:cs="Times New Roman"/>
          <w:szCs w:val="24"/>
          <w:lang w:eastAsia="en-AU"/>
        </w:rPr>
        <w:t>give a person an opportunity to show cause in relation to the decision before the final decision is made</w:t>
      </w:r>
      <w:r w:rsidR="00F65F59">
        <w:rPr>
          <w:rFonts w:asciiTheme="minorHAnsi" w:eastAsia="Times New Roman" w:hAnsiTheme="minorHAnsi" w:cs="Times New Roman"/>
          <w:szCs w:val="24"/>
          <w:lang w:eastAsia="en-AU"/>
        </w:rPr>
        <w:t>,</w:t>
      </w:r>
      <w:r w:rsidR="00DC5F4B">
        <w:rPr>
          <w:rFonts w:asciiTheme="minorHAnsi" w:eastAsia="Times New Roman" w:hAnsiTheme="minorHAnsi" w:cs="Times New Roman"/>
          <w:szCs w:val="24"/>
          <w:lang w:eastAsia="en-AU"/>
        </w:rPr>
        <w:t xml:space="preserve"> and</w:t>
      </w:r>
      <w:r w:rsidRPr="006D6182">
        <w:rPr>
          <w:rFonts w:asciiTheme="minorHAnsi" w:eastAsia="Times New Roman" w:hAnsiTheme="minorHAnsi" w:cs="Times New Roman"/>
          <w:szCs w:val="24"/>
          <w:lang w:eastAsia="en-AU"/>
        </w:rPr>
        <w:t xml:space="preserve"> outline </w:t>
      </w:r>
      <w:r w:rsidR="005364E2">
        <w:rPr>
          <w:rFonts w:asciiTheme="minorHAnsi" w:eastAsia="Times New Roman" w:hAnsiTheme="minorHAnsi" w:cs="Times New Roman"/>
          <w:szCs w:val="24"/>
          <w:lang w:eastAsia="en-AU"/>
        </w:rPr>
        <w:t>their</w:t>
      </w:r>
      <w:r w:rsidRPr="006D6182">
        <w:rPr>
          <w:rFonts w:asciiTheme="minorHAnsi" w:eastAsia="Times New Roman" w:hAnsiTheme="minorHAnsi" w:cs="Times New Roman"/>
          <w:szCs w:val="24"/>
          <w:lang w:eastAsia="en-AU"/>
        </w:rPr>
        <w:t xml:space="preserve"> rights in relation to an internal review or external review through the Queensland Civil and Administrative Tribunal. </w:t>
      </w:r>
    </w:p>
    <w:p w14:paraId="468B7F5A" w14:textId="77777777" w:rsidR="00F52838" w:rsidRPr="00F52838" w:rsidRDefault="00F52838" w:rsidP="00FF5F29">
      <w:pPr>
        <w:ind w:right="120"/>
        <w:jc w:val="both"/>
        <w:rPr>
          <w:lang w:eastAsia="en-AU"/>
        </w:rPr>
      </w:pPr>
    </w:p>
    <w:p w14:paraId="4DCEAC19" w14:textId="77777777" w:rsidR="00012835" w:rsidRDefault="00012835" w:rsidP="00FF5F29">
      <w:pPr>
        <w:pStyle w:val="BodyText"/>
        <w:ind w:right="120"/>
        <w:jc w:val="both"/>
        <w:rPr>
          <w:rFonts w:asciiTheme="minorHAnsi" w:eastAsia="Times New Roman" w:hAnsiTheme="minorHAnsi" w:cs="Times New Roman"/>
          <w:szCs w:val="24"/>
          <w:lang w:eastAsia="en-AU"/>
        </w:rPr>
      </w:pPr>
      <w:r w:rsidRPr="006D6182">
        <w:rPr>
          <w:rFonts w:asciiTheme="minorHAnsi" w:eastAsia="Times New Roman" w:hAnsiTheme="minorHAnsi" w:cs="Times New Roman"/>
          <w:szCs w:val="24"/>
          <w:lang w:eastAsia="en-AU"/>
        </w:rPr>
        <w:lastRenderedPageBreak/>
        <w:t>Regulation notices are also issued by TMR’s Taxi Subsidy Scheme unit as part of the membership assessment process, where an applicant has been assessed as not meeting eligibility criteria for membership.</w:t>
      </w:r>
    </w:p>
    <w:p w14:paraId="0C60050B" w14:textId="77777777" w:rsidR="00770404" w:rsidRPr="00770404" w:rsidRDefault="00770404" w:rsidP="00FF5F29">
      <w:pPr>
        <w:ind w:right="120"/>
        <w:jc w:val="both"/>
        <w:rPr>
          <w:lang w:eastAsia="en-AU"/>
        </w:rPr>
      </w:pPr>
    </w:p>
    <w:p w14:paraId="37D06A56" w14:textId="12356940" w:rsidR="005C5663" w:rsidRPr="006D6182" w:rsidRDefault="005C5663" w:rsidP="00FF5F29">
      <w:pPr>
        <w:pStyle w:val="BodyText"/>
        <w:ind w:right="120"/>
        <w:jc w:val="both"/>
      </w:pPr>
      <w:r w:rsidRPr="00E263C5">
        <w:t xml:space="preserve">Translink has completed a review of the Regulation Notices issued to Taxi Subsidy Scheme applicants, where an applicant </w:t>
      </w:r>
      <w:r w:rsidR="00A93A0A">
        <w:t>was</w:t>
      </w:r>
      <w:r w:rsidRPr="00E263C5">
        <w:t xml:space="preserve"> assessed as not meeting eligibility criteria for membership. The review aimed to identify ways to make the content clear and concise to improve comprehension by a wider audience</w:t>
      </w:r>
      <w:r w:rsidR="00295CC7">
        <w:t>,</w:t>
      </w:r>
      <w:r w:rsidRPr="00E263C5">
        <w:t xml:space="preserve"> and to support the customer to take appropriate action to </w:t>
      </w:r>
      <w:proofErr w:type="gramStart"/>
      <w:r w:rsidRPr="00E263C5">
        <w:t>re-submit an application</w:t>
      </w:r>
      <w:proofErr w:type="gramEnd"/>
      <w:r w:rsidRPr="00E263C5">
        <w:t>. Implementation of the identified improvements is in progress.</w:t>
      </w:r>
    </w:p>
    <w:p w14:paraId="23B05A9D" w14:textId="1778B2B0" w:rsidR="001F08BE" w:rsidRPr="006D6182" w:rsidRDefault="001F08BE" w:rsidP="00FF5F29">
      <w:pPr>
        <w:ind w:right="120"/>
        <w:jc w:val="both"/>
      </w:pPr>
    </w:p>
    <w:p w14:paraId="0B854401" w14:textId="77777777" w:rsidR="005C5663" w:rsidRPr="006D6182" w:rsidRDefault="005C5663" w:rsidP="00FF5F29">
      <w:pPr>
        <w:pStyle w:val="BodyText"/>
        <w:ind w:right="120"/>
        <w:jc w:val="both"/>
        <w:rPr>
          <w:b/>
          <w:bCs/>
          <w:i/>
          <w:iCs/>
          <w:lang w:eastAsia="en-AU"/>
        </w:rPr>
      </w:pPr>
      <w:bookmarkStart w:id="28" w:name="_Hlk115862673"/>
      <w:r w:rsidRPr="006D6182">
        <w:rPr>
          <w:b/>
          <w:bCs/>
          <w:i/>
          <w:iCs/>
          <w:lang w:eastAsia="en-AU"/>
        </w:rPr>
        <w:t>Transit Safety Security and Sustainability</w:t>
      </w:r>
    </w:p>
    <w:p w14:paraId="128E8F91" w14:textId="77777777" w:rsidR="005C5663" w:rsidRPr="006D6182" w:rsidRDefault="005C5663" w:rsidP="00FF5F29">
      <w:pPr>
        <w:pStyle w:val="BodyText"/>
        <w:ind w:right="120"/>
        <w:jc w:val="both"/>
        <w:rPr>
          <w:lang w:eastAsia="en-AU"/>
        </w:rPr>
      </w:pPr>
      <w:r w:rsidRPr="006D6182">
        <w:rPr>
          <w:lang w:eastAsia="en-AU"/>
        </w:rPr>
        <w:t>The Queensland Revenue Office manages the Fines and Investigation unit which adjudicates on appeals from members of the public if they feel they have been treated unfairly. This provides a mechanism for members of the public to have matters reviewed without requiring court intervention.</w:t>
      </w:r>
    </w:p>
    <w:p w14:paraId="1536292C" w14:textId="0C941253" w:rsidR="005C5663" w:rsidRDefault="005C5663" w:rsidP="00FF5F29">
      <w:pPr>
        <w:pStyle w:val="BodyText"/>
        <w:ind w:right="120"/>
        <w:jc w:val="both"/>
        <w:rPr>
          <w:szCs w:val="24"/>
          <w:lang w:eastAsia="en-AU"/>
        </w:rPr>
      </w:pPr>
      <w:r>
        <w:rPr>
          <w:szCs w:val="24"/>
          <w:lang w:eastAsia="en-AU"/>
        </w:rPr>
        <w:t xml:space="preserve">De-identified </w:t>
      </w:r>
      <w:r w:rsidRPr="006D6182">
        <w:rPr>
          <w:szCs w:val="24"/>
          <w:lang w:eastAsia="en-AU"/>
        </w:rPr>
        <w:t xml:space="preserve">Penalty </w:t>
      </w:r>
      <w:r>
        <w:rPr>
          <w:szCs w:val="24"/>
          <w:lang w:eastAsia="en-AU"/>
        </w:rPr>
        <w:t>I</w:t>
      </w:r>
      <w:r w:rsidRPr="006D6182">
        <w:rPr>
          <w:szCs w:val="24"/>
          <w:lang w:eastAsia="en-AU"/>
        </w:rPr>
        <w:t xml:space="preserve">nfringement </w:t>
      </w:r>
      <w:r>
        <w:rPr>
          <w:szCs w:val="24"/>
          <w:lang w:eastAsia="en-AU"/>
        </w:rPr>
        <w:t>N</w:t>
      </w:r>
      <w:r w:rsidRPr="006D6182">
        <w:rPr>
          <w:szCs w:val="24"/>
          <w:lang w:eastAsia="en-AU"/>
        </w:rPr>
        <w:t>otice and warning notice</w:t>
      </w:r>
      <w:r>
        <w:rPr>
          <w:szCs w:val="24"/>
          <w:lang w:eastAsia="en-AU"/>
        </w:rPr>
        <w:t xml:space="preserve"> statistical data is</w:t>
      </w:r>
      <w:r w:rsidRPr="006D6182">
        <w:rPr>
          <w:szCs w:val="24"/>
          <w:lang w:eastAsia="en-AU"/>
        </w:rPr>
        <w:t xml:space="preserve"> tracked and reported quarterly through the Translink PT Performance dashboard on the Translink website. </w:t>
      </w:r>
    </w:p>
    <w:p w14:paraId="4C6C9D86" w14:textId="77777777" w:rsidR="008C1240" w:rsidRPr="008C1240" w:rsidRDefault="008C1240" w:rsidP="00FF5F29">
      <w:pPr>
        <w:ind w:right="120"/>
        <w:jc w:val="both"/>
        <w:rPr>
          <w:lang w:eastAsia="en-AU"/>
        </w:rPr>
      </w:pPr>
    </w:p>
    <w:p w14:paraId="59D62D77" w14:textId="53B31CC6" w:rsidR="005C5663" w:rsidRPr="006D6182" w:rsidRDefault="005C5663" w:rsidP="00FF5F29">
      <w:pPr>
        <w:pStyle w:val="BodyText"/>
        <w:ind w:right="120"/>
        <w:jc w:val="both"/>
      </w:pPr>
      <w:r w:rsidRPr="006D6182">
        <w:rPr>
          <w:szCs w:val="20"/>
          <w:lang w:eastAsia="en-AU"/>
        </w:rPr>
        <w:t>Actions conducted by Translink Senior Network officers are subject to random review and audit for compliance with legislation, policy, and procedures.</w:t>
      </w:r>
    </w:p>
    <w:bookmarkEnd w:id="28"/>
    <w:p w14:paraId="1D28D35A" w14:textId="77777777" w:rsidR="001F08BE" w:rsidRDefault="001F08BE" w:rsidP="00FF5F29">
      <w:pPr>
        <w:pStyle w:val="BodyText"/>
        <w:spacing w:before="122"/>
        <w:ind w:right="120"/>
        <w:contextualSpacing/>
        <w:jc w:val="both"/>
        <w:rPr>
          <w:sz w:val="20"/>
        </w:rPr>
      </w:pPr>
    </w:p>
    <w:p w14:paraId="51488E14" w14:textId="77777777" w:rsidR="001F08BE" w:rsidRDefault="001F08BE">
      <w:pPr>
        <w:spacing w:after="160" w:line="259" w:lineRule="auto"/>
        <w:rPr>
          <w:sz w:val="20"/>
        </w:rPr>
      </w:pPr>
      <w:r>
        <w:rPr>
          <w:sz w:val="20"/>
        </w:rPr>
        <w:br w:type="page"/>
      </w:r>
    </w:p>
    <w:p w14:paraId="04D9B05E" w14:textId="5679B356" w:rsidR="00A33D57" w:rsidRPr="00961C30" w:rsidRDefault="00A33D57" w:rsidP="00FF5F29">
      <w:pPr>
        <w:pStyle w:val="BodyText"/>
        <w:spacing w:before="122"/>
        <w:ind w:right="120"/>
        <w:contextualSpacing/>
        <w:jc w:val="both"/>
        <w:rPr>
          <w:sz w:val="40"/>
          <w:szCs w:val="36"/>
        </w:rPr>
      </w:pPr>
      <w:r>
        <w:rPr>
          <w:noProof/>
        </w:rPr>
        <w:lastRenderedPageBreak/>
        <mc:AlternateContent>
          <mc:Choice Requires="wpg">
            <w:drawing>
              <wp:anchor distT="0" distB="0" distL="0" distR="0" simplePos="0" relativeHeight="251646464" behindDoc="1" locked="0" layoutInCell="1" allowOverlap="1" wp14:anchorId="5370A159" wp14:editId="02A7766D">
                <wp:simplePos x="0" y="0"/>
                <wp:positionH relativeFrom="margin">
                  <wp:posOffset>0</wp:posOffset>
                </wp:positionH>
                <wp:positionV relativeFrom="paragraph">
                  <wp:posOffset>147320</wp:posOffset>
                </wp:positionV>
                <wp:extent cx="3204000" cy="621030"/>
                <wp:effectExtent l="0" t="0" r="0" b="762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4000" cy="621030"/>
                          <a:chOff x="0" y="0"/>
                          <a:chExt cx="3239770" cy="621030"/>
                        </a:xfrm>
                      </wpg:grpSpPr>
                      <wps:wsp>
                        <wps:cNvPr id="66" name="Graphic 66"/>
                        <wps:cNvSpPr/>
                        <wps:spPr>
                          <a:xfrm>
                            <a:off x="0" y="0"/>
                            <a:ext cx="3239770" cy="621030"/>
                          </a:xfrm>
                          <a:custGeom>
                            <a:avLst/>
                            <a:gdLst/>
                            <a:ahLst/>
                            <a:cxnLst/>
                            <a:rect l="l" t="t" r="r" b="b"/>
                            <a:pathLst>
                              <a:path w="3239770" h="621030">
                                <a:moveTo>
                                  <a:pt x="2929255" y="0"/>
                                </a:moveTo>
                                <a:lnTo>
                                  <a:pt x="0" y="0"/>
                                </a:lnTo>
                                <a:lnTo>
                                  <a:pt x="0" y="621030"/>
                                </a:lnTo>
                                <a:lnTo>
                                  <a:pt x="2929255" y="621030"/>
                                </a:lnTo>
                                <a:lnTo>
                                  <a:pt x="3239770" y="310515"/>
                                </a:lnTo>
                                <a:lnTo>
                                  <a:pt x="2929255" y="0"/>
                                </a:lnTo>
                                <a:close/>
                              </a:path>
                            </a:pathLst>
                          </a:custGeom>
                          <a:solidFill>
                            <a:srgbClr val="003B69"/>
                          </a:solidFill>
                        </wps:spPr>
                        <wps:bodyPr wrap="square" lIns="0" tIns="0" rIns="0" bIns="0" rtlCol="0">
                          <a:prstTxWarp prst="textNoShape">
                            <a:avLst/>
                          </a:prstTxWarp>
                          <a:noAutofit/>
                        </wps:bodyPr>
                      </wps:wsp>
                      <wps:wsp>
                        <wps:cNvPr id="67" name="Textbox 67"/>
                        <wps:cNvSpPr txBox="1"/>
                        <wps:spPr>
                          <a:xfrm>
                            <a:off x="0" y="0"/>
                            <a:ext cx="3168000" cy="621030"/>
                          </a:xfrm>
                          <a:prstGeom prst="rect">
                            <a:avLst/>
                          </a:prstGeom>
                        </wps:spPr>
                        <wps:txbx>
                          <w:txbxContent>
                            <w:p w14:paraId="72B9ADE6" w14:textId="77777777" w:rsidR="00403412" w:rsidRDefault="00403412" w:rsidP="00403412">
                              <w:pPr>
                                <w:spacing w:before="282"/>
                                <w:ind w:left="154"/>
                                <w:rPr>
                                  <w:b/>
                                  <w:sz w:val="36"/>
                                </w:rPr>
                              </w:pPr>
                              <w:r>
                                <w:rPr>
                                  <w:b/>
                                  <w:color w:val="FFFFFF"/>
                                  <w:sz w:val="36"/>
                                </w:rPr>
                                <w:t>Port</w:t>
                              </w:r>
                              <w:r>
                                <w:rPr>
                                  <w:b/>
                                  <w:color w:val="FFFFFF"/>
                                  <w:spacing w:val="-4"/>
                                  <w:sz w:val="36"/>
                                </w:rPr>
                                <w:t xml:space="preserve"> </w:t>
                              </w:r>
                              <w:r>
                                <w:rPr>
                                  <w:b/>
                                  <w:color w:val="FFFFFF"/>
                                  <w:sz w:val="36"/>
                                </w:rPr>
                                <w:t>Master</w:t>
                              </w:r>
                              <w:r>
                                <w:rPr>
                                  <w:b/>
                                  <w:color w:val="FFFFFF"/>
                                  <w:spacing w:val="-4"/>
                                  <w:sz w:val="36"/>
                                </w:rPr>
                                <w:t xml:space="preserve"> </w:t>
                              </w:r>
                              <w:r>
                                <w:rPr>
                                  <w:b/>
                                  <w:color w:val="FFFFFF"/>
                                  <w:spacing w:val="-2"/>
                                  <w:sz w:val="36"/>
                                </w:rPr>
                                <w:t>Planning</w:t>
                              </w:r>
                            </w:p>
                          </w:txbxContent>
                        </wps:txbx>
                        <wps:bodyPr wrap="square" lIns="0" tIns="0" rIns="0" bIns="0" rtlCol="0">
                          <a:noAutofit/>
                        </wps:bodyPr>
                      </wps:wsp>
                    </wpg:wgp>
                  </a:graphicData>
                </a:graphic>
                <wp14:sizeRelH relativeFrom="margin">
                  <wp14:pctWidth>0</wp14:pctWidth>
                </wp14:sizeRelH>
              </wp:anchor>
            </w:drawing>
          </mc:Choice>
          <mc:Fallback>
            <w:pict>
              <v:group w14:anchorId="5370A159" id="Group 65" o:spid="_x0000_s1051" style="position:absolute;left:0;text-align:left;margin-left:0;margin-top:11.6pt;width:252.3pt;height:48.9pt;z-index:-251670016;mso-wrap-distance-left:0;mso-wrap-distance-right:0;mso-position-horizontal-relative:margin;mso-position-vertical-relative:text;mso-width-relative:margin" coordsize="32397,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">
                <v:shape id="Graphic 66" o:spid="_x0000_s1052" style="position:absolute;width:32397;height:6210;visibility:visible;mso-wrap-style:square;v-text-anchor:top" coordsize="323977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" path="m2929255,l,,,621030r2929255,l3239770,310515,2929255,xe" fillcolor="#003b69" stroked="f">
                  <v:path arrowok="t"/>
                </v:shape>
                <v:shape id="Textbox 67" o:spid="_x0000_s1053" type="#_x0000_t202" style="position:absolute;width:31680;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72B9ADE6" w14:textId="77777777" w:rsidR="00403412" w:rsidRDefault="00403412" w:rsidP="00403412">
                        <w:pPr>
                          <w:spacing w:before="282"/>
                          <w:ind w:left="154"/>
                          <w:rPr>
                            <w:b/>
                            <w:sz w:val="36"/>
                          </w:rPr>
                        </w:pPr>
                        <w:r>
                          <w:rPr>
                            <w:b/>
                            <w:color w:val="FFFFFF"/>
                            <w:sz w:val="36"/>
                          </w:rPr>
                          <w:t>Port</w:t>
                        </w:r>
                        <w:r>
                          <w:rPr>
                            <w:b/>
                            <w:color w:val="FFFFFF"/>
                            <w:spacing w:val="-4"/>
                            <w:sz w:val="36"/>
                          </w:rPr>
                          <w:t xml:space="preserve"> </w:t>
                        </w:r>
                        <w:r>
                          <w:rPr>
                            <w:b/>
                            <w:color w:val="FFFFFF"/>
                            <w:sz w:val="36"/>
                          </w:rPr>
                          <w:t>Master</w:t>
                        </w:r>
                        <w:r>
                          <w:rPr>
                            <w:b/>
                            <w:color w:val="FFFFFF"/>
                            <w:spacing w:val="-4"/>
                            <w:sz w:val="36"/>
                          </w:rPr>
                          <w:t xml:space="preserve"> </w:t>
                        </w:r>
                        <w:r>
                          <w:rPr>
                            <w:b/>
                            <w:color w:val="FFFFFF"/>
                            <w:spacing w:val="-2"/>
                            <w:sz w:val="36"/>
                          </w:rPr>
                          <w:t>Planning</w:t>
                        </w:r>
                      </w:p>
                    </w:txbxContent>
                  </v:textbox>
                </v:shape>
                <w10:wrap type="topAndBottom" anchorx="margin"/>
              </v:group>
            </w:pict>
          </mc:Fallback>
        </mc:AlternateContent>
      </w:r>
    </w:p>
    <w:p w14:paraId="5B18FBA4" w14:textId="71EBF9C3" w:rsidR="00403412" w:rsidRDefault="00403412" w:rsidP="00FF5F29">
      <w:pPr>
        <w:pStyle w:val="BodyText"/>
        <w:spacing w:before="122"/>
        <w:ind w:right="120"/>
        <w:contextualSpacing/>
        <w:jc w:val="both"/>
      </w:pPr>
      <w:r>
        <w:t xml:space="preserve">The </w:t>
      </w:r>
      <w:r w:rsidRPr="139A3B8D">
        <w:rPr>
          <w:i/>
          <w:iCs/>
        </w:rPr>
        <w:t xml:space="preserve">Sustainable </w:t>
      </w:r>
      <w:r w:rsidRPr="00965E64">
        <w:rPr>
          <w:i/>
          <w:iCs/>
        </w:rPr>
        <w:t xml:space="preserve">Ports </w:t>
      </w:r>
      <w:r w:rsidR="5A810FA2" w:rsidRPr="00965E64">
        <w:rPr>
          <w:i/>
          <w:iCs/>
        </w:rPr>
        <w:t>Development</w:t>
      </w:r>
      <w:r w:rsidRPr="00965E64">
        <w:rPr>
          <w:i/>
          <w:iCs/>
        </w:rPr>
        <w:t xml:space="preserve"> Act 2015 </w:t>
      </w:r>
      <w:r w:rsidRPr="00965E64">
        <w:t>provides certainty and transparency of process for</w:t>
      </w:r>
      <w:r w:rsidRPr="00965E64">
        <w:rPr>
          <w:spacing w:val="-3"/>
        </w:rPr>
        <w:t xml:space="preserve"> </w:t>
      </w:r>
      <w:r w:rsidRPr="00965E64">
        <w:t>stakeholders.</w:t>
      </w:r>
      <w:r w:rsidRPr="00965E64">
        <w:rPr>
          <w:spacing w:val="-2"/>
        </w:rPr>
        <w:t xml:space="preserve"> </w:t>
      </w:r>
      <w:r w:rsidRPr="00965E64">
        <w:t>This</w:t>
      </w:r>
      <w:r w:rsidRPr="00965E64">
        <w:rPr>
          <w:spacing w:val="-2"/>
        </w:rPr>
        <w:t xml:space="preserve"> </w:t>
      </w:r>
      <w:r w:rsidRPr="00965E64">
        <w:t>includes</w:t>
      </w:r>
      <w:r w:rsidRPr="00965E64">
        <w:rPr>
          <w:spacing w:val="-4"/>
        </w:rPr>
        <w:t xml:space="preserve"> </w:t>
      </w:r>
      <w:r w:rsidRPr="00965E64">
        <w:t>a</w:t>
      </w:r>
      <w:r w:rsidRPr="00965E64">
        <w:rPr>
          <w:spacing w:val="-1"/>
        </w:rPr>
        <w:t xml:space="preserve"> </w:t>
      </w:r>
      <w:r w:rsidRPr="00965E64">
        <w:t>requirement</w:t>
      </w:r>
      <w:r w:rsidRPr="00965E64">
        <w:rPr>
          <w:spacing w:val="-7"/>
        </w:rPr>
        <w:t xml:space="preserve"> </w:t>
      </w:r>
      <w:r w:rsidRPr="00965E64">
        <w:t>that</w:t>
      </w:r>
      <w:r w:rsidRPr="00965E64">
        <w:rPr>
          <w:spacing w:val="-4"/>
        </w:rPr>
        <w:t xml:space="preserve"> </w:t>
      </w:r>
      <w:r w:rsidRPr="00965E64">
        <w:t>formal</w:t>
      </w:r>
      <w:r w:rsidRPr="00965E64">
        <w:rPr>
          <w:spacing w:val="-5"/>
        </w:rPr>
        <w:t xml:space="preserve"> </w:t>
      </w:r>
      <w:r w:rsidRPr="00965E64">
        <w:t>public</w:t>
      </w:r>
      <w:r w:rsidRPr="00965E64">
        <w:rPr>
          <w:spacing w:val="-2"/>
        </w:rPr>
        <w:t xml:space="preserve"> </w:t>
      </w:r>
      <w:r w:rsidRPr="00965E64">
        <w:t>consultation</w:t>
      </w:r>
      <w:r w:rsidRPr="00965E64">
        <w:rPr>
          <w:spacing w:val="-1"/>
        </w:rPr>
        <w:t xml:space="preserve"> </w:t>
      </w:r>
      <w:r w:rsidRPr="00965E64">
        <w:t>process</w:t>
      </w:r>
      <w:r w:rsidR="195B0284" w:rsidRPr="00965E64">
        <w:t>es</w:t>
      </w:r>
      <w:r w:rsidRPr="00965E64">
        <w:rPr>
          <w:spacing w:val="-4"/>
        </w:rPr>
        <w:t xml:space="preserve"> </w:t>
      </w:r>
      <w:r w:rsidRPr="00965E64">
        <w:t>be conducted during the preparation</w:t>
      </w:r>
      <w:r>
        <w:t xml:space="preserve"> of port master plans and overlays. It also requires that relevant local government and port authorities are included when preparing port master plans and overlays.</w:t>
      </w:r>
    </w:p>
    <w:p w14:paraId="1BB9F9D5" w14:textId="77777777" w:rsidR="00C444C3" w:rsidRDefault="00C444C3" w:rsidP="00FF5F29">
      <w:pPr>
        <w:pStyle w:val="BodyText"/>
        <w:spacing w:before="122"/>
        <w:ind w:right="120"/>
        <w:contextualSpacing/>
        <w:jc w:val="both"/>
        <w:rPr>
          <w:highlight w:val="yellow"/>
        </w:rPr>
      </w:pPr>
    </w:p>
    <w:p w14:paraId="687AB810" w14:textId="39F589F3" w:rsidR="00403412" w:rsidRPr="00C444C3" w:rsidRDefault="00403412" w:rsidP="00FF5F29">
      <w:pPr>
        <w:pStyle w:val="BodyText"/>
        <w:spacing w:before="122"/>
        <w:ind w:right="120"/>
        <w:contextualSpacing/>
        <w:jc w:val="both"/>
      </w:pPr>
      <w:r w:rsidRPr="00C444C3">
        <w:t>In addition to mandatory formal public consultation, when developing master plans</w:t>
      </w:r>
      <w:r w:rsidR="005D5861" w:rsidRPr="00C444C3">
        <w:t xml:space="preserve"> and </w:t>
      </w:r>
      <w:r w:rsidRPr="00C444C3">
        <w:t>port overlays TMR:</w:t>
      </w:r>
    </w:p>
    <w:p w14:paraId="46F436D2" w14:textId="514399A3" w:rsidR="00403412" w:rsidRPr="00C444C3" w:rsidRDefault="00403412" w:rsidP="00FF5F29">
      <w:pPr>
        <w:pStyle w:val="ListParagraph0"/>
        <w:widowControl w:val="0"/>
        <w:numPr>
          <w:ilvl w:val="0"/>
          <w:numId w:val="8"/>
        </w:numPr>
        <w:tabs>
          <w:tab w:val="left" w:pos="1843"/>
        </w:tabs>
        <w:autoSpaceDE w:val="0"/>
        <w:autoSpaceDN w:val="0"/>
        <w:spacing w:before="122"/>
        <w:ind w:left="426" w:right="120"/>
        <w:jc w:val="both"/>
      </w:pPr>
      <w:r w:rsidRPr="00C444C3">
        <w:t>works</w:t>
      </w:r>
      <w:r w:rsidRPr="00C444C3">
        <w:rPr>
          <w:spacing w:val="-4"/>
        </w:rPr>
        <w:t xml:space="preserve"> </w:t>
      </w:r>
      <w:r w:rsidRPr="00C444C3">
        <w:t>closely</w:t>
      </w:r>
      <w:r w:rsidRPr="00C444C3">
        <w:rPr>
          <w:spacing w:val="-4"/>
        </w:rPr>
        <w:t xml:space="preserve"> </w:t>
      </w:r>
      <w:r w:rsidRPr="00C444C3">
        <w:t>with</w:t>
      </w:r>
      <w:r w:rsidRPr="00C444C3">
        <w:rPr>
          <w:spacing w:val="-3"/>
        </w:rPr>
        <w:t xml:space="preserve"> </w:t>
      </w:r>
      <w:r w:rsidRPr="00C444C3">
        <w:t>port</w:t>
      </w:r>
      <w:r w:rsidRPr="00C444C3">
        <w:rPr>
          <w:spacing w:val="-6"/>
        </w:rPr>
        <w:t xml:space="preserve"> </w:t>
      </w:r>
      <w:r w:rsidRPr="00C444C3">
        <w:t>authorities,</w:t>
      </w:r>
      <w:r w:rsidRPr="00C444C3">
        <w:rPr>
          <w:spacing w:val="-3"/>
        </w:rPr>
        <w:t xml:space="preserve"> </w:t>
      </w:r>
      <w:r w:rsidRPr="00C444C3">
        <w:t>local</w:t>
      </w:r>
      <w:r w:rsidRPr="00C444C3">
        <w:rPr>
          <w:spacing w:val="-4"/>
        </w:rPr>
        <w:t xml:space="preserve"> </w:t>
      </w:r>
      <w:r w:rsidRPr="00C444C3">
        <w:t>governments,</w:t>
      </w:r>
      <w:r w:rsidRPr="00C444C3">
        <w:rPr>
          <w:spacing w:val="-3"/>
        </w:rPr>
        <w:t xml:space="preserve"> </w:t>
      </w:r>
      <w:r w:rsidRPr="00C444C3">
        <w:t>state</w:t>
      </w:r>
      <w:r w:rsidRPr="00C444C3">
        <w:rPr>
          <w:spacing w:val="-5"/>
        </w:rPr>
        <w:t xml:space="preserve"> </w:t>
      </w:r>
      <w:r w:rsidRPr="00C444C3">
        <w:t>government</w:t>
      </w:r>
      <w:r w:rsidRPr="00C444C3">
        <w:rPr>
          <w:spacing w:val="-3"/>
        </w:rPr>
        <w:t xml:space="preserve"> </w:t>
      </w:r>
      <w:r w:rsidRPr="00C444C3">
        <w:t xml:space="preserve">agencies and other key stakeholders including industry, traditional owners, community and environmental </w:t>
      </w:r>
      <w:proofErr w:type="gramStart"/>
      <w:r w:rsidRPr="00C444C3">
        <w:t>groups</w:t>
      </w:r>
      <w:proofErr w:type="gramEnd"/>
    </w:p>
    <w:p w14:paraId="21E7FD8B" w14:textId="60145543" w:rsidR="00403412" w:rsidRPr="00C444C3" w:rsidRDefault="00403412" w:rsidP="00FF5F29">
      <w:pPr>
        <w:pStyle w:val="ListParagraph0"/>
        <w:widowControl w:val="0"/>
        <w:numPr>
          <w:ilvl w:val="0"/>
          <w:numId w:val="8"/>
        </w:numPr>
        <w:tabs>
          <w:tab w:val="left" w:pos="1843"/>
        </w:tabs>
        <w:autoSpaceDE w:val="0"/>
        <w:autoSpaceDN w:val="0"/>
        <w:spacing w:before="122"/>
        <w:ind w:left="426" w:right="120"/>
        <w:jc w:val="both"/>
      </w:pPr>
      <w:r w:rsidRPr="00C444C3">
        <w:t>makes</w:t>
      </w:r>
      <w:r w:rsidRPr="00C444C3">
        <w:rPr>
          <w:spacing w:val="-5"/>
        </w:rPr>
        <w:t xml:space="preserve"> </w:t>
      </w:r>
      <w:r w:rsidRPr="00C444C3">
        <w:t>timely</w:t>
      </w:r>
      <w:r w:rsidRPr="00C444C3">
        <w:rPr>
          <w:spacing w:val="-3"/>
        </w:rPr>
        <w:t xml:space="preserve"> </w:t>
      </w:r>
      <w:r w:rsidRPr="00C444C3">
        <w:t>information</w:t>
      </w:r>
      <w:r w:rsidRPr="00C444C3">
        <w:rPr>
          <w:spacing w:val="-2"/>
        </w:rPr>
        <w:t xml:space="preserve"> </w:t>
      </w:r>
      <w:r w:rsidRPr="00C444C3">
        <w:t>about</w:t>
      </w:r>
      <w:r w:rsidRPr="00C444C3">
        <w:rPr>
          <w:spacing w:val="-2"/>
        </w:rPr>
        <w:t xml:space="preserve"> </w:t>
      </w:r>
      <w:r w:rsidRPr="00C444C3">
        <w:t>priority</w:t>
      </w:r>
      <w:r w:rsidRPr="00C444C3">
        <w:rPr>
          <w:spacing w:val="-3"/>
        </w:rPr>
        <w:t xml:space="preserve"> </w:t>
      </w:r>
      <w:r w:rsidRPr="00C444C3">
        <w:t>port</w:t>
      </w:r>
      <w:r w:rsidRPr="00C444C3">
        <w:rPr>
          <w:spacing w:val="-5"/>
        </w:rPr>
        <w:t xml:space="preserve"> </w:t>
      </w:r>
      <w:r w:rsidRPr="00C444C3">
        <w:t>master</w:t>
      </w:r>
      <w:r w:rsidRPr="00C444C3">
        <w:rPr>
          <w:spacing w:val="-4"/>
        </w:rPr>
        <w:t xml:space="preserve"> </w:t>
      </w:r>
      <w:r w:rsidRPr="00C444C3">
        <w:t>planning</w:t>
      </w:r>
      <w:r w:rsidRPr="00C444C3">
        <w:rPr>
          <w:spacing w:val="-4"/>
        </w:rPr>
        <w:t xml:space="preserve"> </w:t>
      </w:r>
      <w:r w:rsidRPr="00C444C3">
        <w:t>processes</w:t>
      </w:r>
      <w:r w:rsidRPr="00C444C3">
        <w:rPr>
          <w:spacing w:val="-3"/>
        </w:rPr>
        <w:t xml:space="preserve"> </w:t>
      </w:r>
      <w:r w:rsidRPr="00C444C3">
        <w:t>and activities available subject to privacy/confidentiality restrictions</w:t>
      </w:r>
      <w:r w:rsidR="00820151" w:rsidRPr="00C444C3">
        <w:t>,</w:t>
      </w:r>
      <w:r w:rsidRPr="00C444C3">
        <w:t xml:space="preserve"> and</w:t>
      </w:r>
    </w:p>
    <w:p w14:paraId="5BF67C82" w14:textId="77777777" w:rsidR="00403412" w:rsidRPr="00C444C3" w:rsidRDefault="00403412" w:rsidP="00FF5F29">
      <w:pPr>
        <w:pStyle w:val="ListParagraph0"/>
        <w:widowControl w:val="0"/>
        <w:numPr>
          <w:ilvl w:val="0"/>
          <w:numId w:val="8"/>
        </w:numPr>
        <w:tabs>
          <w:tab w:val="left" w:pos="1843"/>
        </w:tabs>
        <w:autoSpaceDE w:val="0"/>
        <w:autoSpaceDN w:val="0"/>
        <w:spacing w:before="122"/>
        <w:ind w:left="426" w:right="120"/>
        <w:jc w:val="both"/>
      </w:pPr>
      <w:r w:rsidRPr="00C444C3">
        <w:t>seeks</w:t>
      </w:r>
      <w:r w:rsidRPr="00C444C3">
        <w:rPr>
          <w:spacing w:val="-3"/>
        </w:rPr>
        <w:t xml:space="preserve"> </w:t>
      </w:r>
      <w:r w:rsidRPr="00C444C3">
        <w:t>public</w:t>
      </w:r>
      <w:r w:rsidRPr="00C444C3">
        <w:rPr>
          <w:spacing w:val="-3"/>
        </w:rPr>
        <w:t xml:space="preserve"> </w:t>
      </w:r>
      <w:r w:rsidRPr="00C444C3">
        <w:t>submissions</w:t>
      </w:r>
      <w:r w:rsidRPr="00C444C3">
        <w:rPr>
          <w:spacing w:val="-3"/>
        </w:rPr>
        <w:t xml:space="preserve"> </w:t>
      </w:r>
      <w:r w:rsidRPr="00C444C3">
        <w:t>at</w:t>
      </w:r>
      <w:r w:rsidRPr="00C444C3">
        <w:rPr>
          <w:spacing w:val="-2"/>
        </w:rPr>
        <w:t xml:space="preserve"> </w:t>
      </w:r>
      <w:r w:rsidRPr="00C444C3">
        <w:t>key</w:t>
      </w:r>
      <w:r w:rsidRPr="00C444C3">
        <w:rPr>
          <w:spacing w:val="-3"/>
        </w:rPr>
        <w:t xml:space="preserve"> </w:t>
      </w:r>
      <w:r w:rsidRPr="00C444C3">
        <w:t>points</w:t>
      </w:r>
      <w:r w:rsidRPr="00C444C3">
        <w:rPr>
          <w:spacing w:val="-5"/>
        </w:rPr>
        <w:t xml:space="preserve"> </w:t>
      </w:r>
      <w:r w:rsidRPr="00C444C3">
        <w:t>of</w:t>
      </w:r>
      <w:r w:rsidRPr="00C444C3">
        <w:rPr>
          <w:spacing w:val="-2"/>
        </w:rPr>
        <w:t xml:space="preserve"> </w:t>
      </w:r>
      <w:r w:rsidRPr="00C444C3">
        <w:t>the</w:t>
      </w:r>
      <w:r w:rsidRPr="00C444C3">
        <w:rPr>
          <w:spacing w:val="-4"/>
        </w:rPr>
        <w:t xml:space="preserve"> </w:t>
      </w:r>
      <w:r w:rsidRPr="00C444C3">
        <w:t>master</w:t>
      </w:r>
      <w:r w:rsidRPr="00C444C3">
        <w:rPr>
          <w:spacing w:val="-4"/>
        </w:rPr>
        <w:t xml:space="preserve"> </w:t>
      </w:r>
      <w:r w:rsidRPr="00C444C3">
        <w:t>planning</w:t>
      </w:r>
      <w:r w:rsidRPr="00C444C3">
        <w:rPr>
          <w:spacing w:val="-4"/>
        </w:rPr>
        <w:t xml:space="preserve"> </w:t>
      </w:r>
      <w:r w:rsidRPr="00C444C3">
        <w:t>and</w:t>
      </w:r>
      <w:r w:rsidRPr="00C444C3">
        <w:rPr>
          <w:spacing w:val="-2"/>
        </w:rPr>
        <w:t xml:space="preserve"> </w:t>
      </w:r>
      <w:r w:rsidRPr="00C444C3">
        <w:t>port</w:t>
      </w:r>
      <w:r w:rsidRPr="00C444C3">
        <w:rPr>
          <w:spacing w:val="-2"/>
        </w:rPr>
        <w:t xml:space="preserve"> </w:t>
      </w:r>
      <w:r w:rsidRPr="00C444C3">
        <w:t>overlay making processes.</w:t>
      </w:r>
    </w:p>
    <w:p w14:paraId="78DDC889" w14:textId="0FB958A5" w:rsidR="00403412" w:rsidRPr="00C444C3" w:rsidRDefault="00403412" w:rsidP="001F08BE">
      <w:pPr>
        <w:pStyle w:val="BodyText"/>
        <w:spacing w:before="122"/>
        <w:ind w:left="66" w:right="120"/>
        <w:contextualSpacing/>
        <w:jc w:val="both"/>
        <w:rPr>
          <w:color w:val="070B0F"/>
        </w:rPr>
      </w:pPr>
      <w:r w:rsidRPr="00C444C3">
        <w:t>A guideline on port master planning</w:t>
      </w:r>
      <w:r w:rsidR="00820151" w:rsidRPr="00C444C3">
        <w:t>,</w:t>
      </w:r>
      <w:r w:rsidRPr="00C444C3">
        <w:t xml:space="preserve"> outlining requirements for consultation and engagement</w:t>
      </w:r>
      <w:r w:rsidR="00820151" w:rsidRPr="00C444C3">
        <w:t>,</w:t>
      </w:r>
      <w:r w:rsidRPr="00C444C3">
        <w:t xml:space="preserve"> has been published and is publicly available at</w:t>
      </w:r>
      <w:r w:rsidR="00524DFA" w:rsidRPr="00C444C3">
        <w:t>:</w:t>
      </w:r>
      <w:r w:rsidR="00B83BF0" w:rsidRPr="00C444C3">
        <w:t xml:space="preserve"> </w:t>
      </w:r>
      <w:hyperlink r:id="rId15" w:history="1">
        <w:r w:rsidR="00C905B3" w:rsidRPr="00C444C3">
          <w:rPr>
            <w:rStyle w:val="Hyperlink"/>
            <w:spacing w:val="-2"/>
          </w:rPr>
          <w:t>https://www.tmr.qld.gov.au/business-industry/Transport-sectors/Ports/Sustainable-port-</w:t>
        </w:r>
      </w:hyperlink>
      <w:hyperlink r:id="rId16">
        <w:r w:rsidRPr="00C444C3">
          <w:rPr>
            <w:color w:val="0562C1"/>
            <w:spacing w:val="-2"/>
            <w:u w:val="single" w:color="0562C1"/>
          </w:rPr>
          <w:t>development-and-operation/Master-planning-for-priority-ports</w:t>
        </w:r>
      </w:hyperlink>
      <w:r w:rsidRPr="00C444C3">
        <w:rPr>
          <w:spacing w:val="-2"/>
        </w:rPr>
        <w:t>.</w:t>
      </w:r>
    </w:p>
    <w:p w14:paraId="2A3F761B" w14:textId="77777777" w:rsidR="00E47108" w:rsidRPr="00C444C3" w:rsidRDefault="00E47108" w:rsidP="00FF5F29">
      <w:pPr>
        <w:ind w:right="120"/>
        <w:jc w:val="both"/>
      </w:pPr>
    </w:p>
    <w:p w14:paraId="0B4166F0" w14:textId="0E1B2882" w:rsidR="00403412" w:rsidRPr="00C444C3" w:rsidRDefault="00403412" w:rsidP="00FF5F29">
      <w:pPr>
        <w:spacing w:before="122"/>
        <w:ind w:right="120"/>
        <w:contextualSpacing/>
        <w:jc w:val="both"/>
      </w:pPr>
      <w:r w:rsidRPr="00C444C3">
        <w:t>Reports</w:t>
      </w:r>
      <w:r w:rsidRPr="00C444C3">
        <w:rPr>
          <w:spacing w:val="-2"/>
        </w:rPr>
        <w:t xml:space="preserve"> </w:t>
      </w:r>
      <w:r w:rsidRPr="00C444C3">
        <w:t>on</w:t>
      </w:r>
      <w:r w:rsidRPr="00C444C3">
        <w:rPr>
          <w:spacing w:val="-1"/>
        </w:rPr>
        <w:t xml:space="preserve"> </w:t>
      </w:r>
      <w:r w:rsidRPr="00C444C3">
        <w:t>the</w:t>
      </w:r>
      <w:r w:rsidRPr="00C444C3">
        <w:rPr>
          <w:spacing w:val="-3"/>
        </w:rPr>
        <w:t xml:space="preserve"> </w:t>
      </w:r>
      <w:r w:rsidRPr="00C444C3">
        <w:t>outcomes</w:t>
      </w:r>
      <w:r w:rsidRPr="00C444C3">
        <w:rPr>
          <w:spacing w:val="-2"/>
        </w:rPr>
        <w:t xml:space="preserve"> </w:t>
      </w:r>
      <w:r w:rsidRPr="00C444C3">
        <w:t>of</w:t>
      </w:r>
      <w:r w:rsidRPr="00C444C3">
        <w:rPr>
          <w:spacing w:val="-4"/>
        </w:rPr>
        <w:t xml:space="preserve"> </w:t>
      </w:r>
      <w:r w:rsidRPr="00C444C3">
        <w:t>public</w:t>
      </w:r>
      <w:r w:rsidRPr="00C444C3">
        <w:rPr>
          <w:spacing w:val="-2"/>
        </w:rPr>
        <w:t xml:space="preserve"> </w:t>
      </w:r>
      <w:r w:rsidRPr="00C444C3">
        <w:t>consultation</w:t>
      </w:r>
      <w:r w:rsidRPr="00C444C3">
        <w:rPr>
          <w:spacing w:val="-1"/>
        </w:rPr>
        <w:t xml:space="preserve"> </w:t>
      </w:r>
      <w:r w:rsidRPr="00C444C3">
        <w:t>processes</w:t>
      </w:r>
      <w:r w:rsidRPr="00C444C3">
        <w:rPr>
          <w:spacing w:val="-2"/>
        </w:rPr>
        <w:t xml:space="preserve"> </w:t>
      </w:r>
      <w:r w:rsidRPr="00C444C3">
        <w:t>for</w:t>
      </w:r>
      <w:r w:rsidRPr="00C444C3">
        <w:rPr>
          <w:spacing w:val="-3"/>
        </w:rPr>
        <w:t xml:space="preserve"> </w:t>
      </w:r>
      <w:r w:rsidRPr="00C444C3">
        <w:t>draft</w:t>
      </w:r>
      <w:r w:rsidRPr="00C444C3">
        <w:rPr>
          <w:spacing w:val="-4"/>
        </w:rPr>
        <w:t xml:space="preserve"> </w:t>
      </w:r>
      <w:r w:rsidRPr="00C444C3">
        <w:t>port</w:t>
      </w:r>
      <w:r w:rsidRPr="00C444C3">
        <w:rPr>
          <w:spacing w:val="-1"/>
        </w:rPr>
        <w:t xml:space="preserve"> </w:t>
      </w:r>
      <w:r w:rsidRPr="00C444C3">
        <w:t>overlays</w:t>
      </w:r>
      <w:r w:rsidRPr="00C444C3">
        <w:rPr>
          <w:spacing w:val="-4"/>
        </w:rPr>
        <w:t xml:space="preserve"> </w:t>
      </w:r>
      <w:r w:rsidRPr="00C444C3">
        <w:t>for</w:t>
      </w:r>
      <w:r w:rsidRPr="00C444C3">
        <w:rPr>
          <w:spacing w:val="-3"/>
        </w:rPr>
        <w:t xml:space="preserve"> </w:t>
      </w:r>
      <w:r w:rsidRPr="00C444C3">
        <w:t>the priority ports of Townsville and Gladstone were published online in August 2020. The</w:t>
      </w:r>
      <w:r w:rsidR="00E47108" w:rsidRPr="00C444C3">
        <w:t xml:space="preserve"> </w:t>
      </w:r>
      <w:r w:rsidRPr="00C444C3">
        <w:t>outcomes</w:t>
      </w:r>
      <w:r w:rsidRPr="00C444C3">
        <w:rPr>
          <w:spacing w:val="-4"/>
        </w:rPr>
        <w:t xml:space="preserve"> </w:t>
      </w:r>
      <w:r w:rsidRPr="00C444C3">
        <w:t>of</w:t>
      </w:r>
      <w:r w:rsidRPr="00C444C3">
        <w:rPr>
          <w:spacing w:val="-4"/>
        </w:rPr>
        <w:t xml:space="preserve"> </w:t>
      </w:r>
      <w:r w:rsidRPr="00C444C3">
        <w:t>the</w:t>
      </w:r>
      <w:r w:rsidRPr="00C444C3">
        <w:rPr>
          <w:spacing w:val="-3"/>
        </w:rPr>
        <w:t xml:space="preserve"> </w:t>
      </w:r>
      <w:r w:rsidRPr="00C444C3">
        <w:t>public</w:t>
      </w:r>
      <w:r w:rsidRPr="00C444C3">
        <w:rPr>
          <w:spacing w:val="-2"/>
        </w:rPr>
        <w:t xml:space="preserve"> </w:t>
      </w:r>
      <w:r w:rsidRPr="00C444C3">
        <w:t>consultation</w:t>
      </w:r>
      <w:r w:rsidRPr="00C444C3">
        <w:rPr>
          <w:spacing w:val="-3"/>
        </w:rPr>
        <w:t xml:space="preserve"> </w:t>
      </w:r>
      <w:r w:rsidRPr="00C444C3">
        <w:t>processes</w:t>
      </w:r>
      <w:r w:rsidRPr="00C444C3">
        <w:rPr>
          <w:spacing w:val="-2"/>
        </w:rPr>
        <w:t xml:space="preserve"> </w:t>
      </w:r>
      <w:r w:rsidRPr="00C444C3">
        <w:t>for</w:t>
      </w:r>
      <w:r w:rsidRPr="00C444C3">
        <w:rPr>
          <w:spacing w:val="-3"/>
        </w:rPr>
        <w:t xml:space="preserve"> </w:t>
      </w:r>
      <w:r w:rsidRPr="00C444C3">
        <w:t>the</w:t>
      </w:r>
      <w:r w:rsidRPr="00C444C3">
        <w:rPr>
          <w:spacing w:val="-1"/>
        </w:rPr>
        <w:t xml:space="preserve"> </w:t>
      </w:r>
      <w:r w:rsidRPr="00C444C3">
        <w:t>draft</w:t>
      </w:r>
      <w:r w:rsidRPr="00C444C3">
        <w:rPr>
          <w:spacing w:val="-1"/>
        </w:rPr>
        <w:t xml:space="preserve"> </w:t>
      </w:r>
      <w:r w:rsidRPr="00C444C3">
        <w:t>port</w:t>
      </w:r>
      <w:r w:rsidRPr="00C444C3">
        <w:rPr>
          <w:spacing w:val="-1"/>
        </w:rPr>
        <w:t xml:space="preserve"> </w:t>
      </w:r>
      <w:r w:rsidRPr="00C444C3">
        <w:t>overlays</w:t>
      </w:r>
      <w:r w:rsidRPr="00C444C3">
        <w:rPr>
          <w:spacing w:val="-2"/>
        </w:rPr>
        <w:t xml:space="preserve"> </w:t>
      </w:r>
      <w:r w:rsidRPr="00C444C3">
        <w:t>for</w:t>
      </w:r>
      <w:r w:rsidRPr="00C444C3">
        <w:rPr>
          <w:spacing w:val="-3"/>
        </w:rPr>
        <w:t xml:space="preserve"> </w:t>
      </w:r>
      <w:r w:rsidRPr="00C444C3">
        <w:t>the</w:t>
      </w:r>
      <w:r w:rsidRPr="00C444C3">
        <w:rPr>
          <w:spacing w:val="-1"/>
        </w:rPr>
        <w:t xml:space="preserve"> </w:t>
      </w:r>
      <w:r w:rsidRPr="00C444C3">
        <w:t xml:space="preserve">priority ports of Hay Point/Mackay and Abbot Point </w:t>
      </w:r>
      <w:r w:rsidR="1725EFEE" w:rsidRPr="00C444C3">
        <w:rPr>
          <w:rFonts w:eastAsia="Arial" w:cs="Arial"/>
          <w:szCs w:val="24"/>
        </w:rPr>
        <w:t>were</w:t>
      </w:r>
      <w:r w:rsidRPr="00C444C3">
        <w:rPr>
          <w:rFonts w:eastAsia="Arial" w:cs="Arial"/>
          <w:szCs w:val="24"/>
        </w:rPr>
        <w:t xml:space="preserve"> published </w:t>
      </w:r>
      <w:r w:rsidR="1725EFEE" w:rsidRPr="00C444C3">
        <w:rPr>
          <w:rFonts w:eastAsia="Arial" w:cs="Arial"/>
          <w:szCs w:val="24"/>
        </w:rPr>
        <w:t xml:space="preserve">online </w:t>
      </w:r>
      <w:r w:rsidRPr="00C444C3">
        <w:rPr>
          <w:rFonts w:eastAsia="Arial" w:cs="Arial"/>
          <w:szCs w:val="24"/>
        </w:rPr>
        <w:t xml:space="preserve">in </w:t>
      </w:r>
      <w:r w:rsidR="1725EFEE" w:rsidRPr="00C444C3">
        <w:rPr>
          <w:rFonts w:eastAsia="Arial" w:cs="Arial"/>
          <w:szCs w:val="24"/>
        </w:rPr>
        <w:t>September</w:t>
      </w:r>
      <w:r w:rsidRPr="00C444C3">
        <w:rPr>
          <w:rFonts w:eastAsia="Arial" w:cs="Arial"/>
          <w:szCs w:val="24"/>
        </w:rPr>
        <w:t xml:space="preserve"> 2024.</w:t>
      </w:r>
    </w:p>
    <w:p w14:paraId="07B26F88" w14:textId="77777777" w:rsidR="00E47108" w:rsidRPr="00C444C3" w:rsidRDefault="00E47108" w:rsidP="00FF5F29">
      <w:pPr>
        <w:ind w:right="120"/>
        <w:jc w:val="both"/>
      </w:pPr>
    </w:p>
    <w:p w14:paraId="6716AC00" w14:textId="77777777" w:rsidR="00403412" w:rsidRPr="00C444C3" w:rsidRDefault="00403412" w:rsidP="00FF5F29">
      <w:pPr>
        <w:pStyle w:val="BodyText"/>
        <w:spacing w:before="122"/>
        <w:ind w:left="66" w:right="120"/>
        <w:contextualSpacing/>
        <w:jc w:val="both"/>
      </w:pPr>
      <w:r w:rsidRPr="00C444C3">
        <w:t>Port Master planning documentation, including information used to inform master planning, is provided on TMR's website:</w:t>
      </w:r>
    </w:p>
    <w:p w14:paraId="6BD15949" w14:textId="3FEE56D1" w:rsidR="00403412" w:rsidRPr="00C444C3" w:rsidRDefault="00403412" w:rsidP="00FF5F29">
      <w:pPr>
        <w:pStyle w:val="ListParagraph0"/>
        <w:widowControl w:val="0"/>
        <w:numPr>
          <w:ilvl w:val="0"/>
          <w:numId w:val="8"/>
        </w:numPr>
        <w:autoSpaceDE w:val="0"/>
        <w:autoSpaceDN w:val="0"/>
        <w:spacing w:before="122"/>
        <w:ind w:left="426" w:right="120"/>
      </w:pPr>
      <w:r w:rsidRPr="00C444C3">
        <w:t xml:space="preserve">Master planning for the priority Port of Gladstone: </w:t>
      </w:r>
      <w:hyperlink r:id="rId17">
        <w:r w:rsidRPr="00C444C3">
          <w:rPr>
            <w:color w:val="0562C1"/>
            <w:spacing w:val="-2"/>
            <w:u w:val="single" w:color="0562C1"/>
          </w:rPr>
          <w:t>https://www.tmr.qld.gov.au/business-industry/Transport-sectors/Ports/Sustainable-</w:t>
        </w:r>
      </w:hyperlink>
      <w:r w:rsidRPr="00C444C3">
        <w:rPr>
          <w:color w:val="0562C1"/>
          <w:spacing w:val="-2"/>
        </w:rPr>
        <w:t xml:space="preserve"> </w:t>
      </w:r>
      <w:hyperlink r:id="rId18">
        <w:r w:rsidRPr="00C444C3">
          <w:rPr>
            <w:color w:val="0562C1"/>
            <w:spacing w:val="-2"/>
            <w:u w:val="single" w:color="0562C1"/>
          </w:rPr>
          <w:t>port-development-and-operation/Master-planning-for-priority-ports/Master-planning-</w:t>
        </w:r>
      </w:hyperlink>
      <w:hyperlink r:id="rId19">
        <w:r w:rsidRPr="00C444C3">
          <w:rPr>
            <w:color w:val="0562C1"/>
            <w:spacing w:val="-2"/>
            <w:u w:val="single" w:color="0562C1"/>
          </w:rPr>
          <w:t>for-the-priority-Port-of-Gladstone</w:t>
        </w:r>
      </w:hyperlink>
    </w:p>
    <w:p w14:paraId="57C043F9" w14:textId="77777777" w:rsidR="00A33D57" w:rsidRPr="00C444C3" w:rsidRDefault="00A33D57" w:rsidP="00FF5F29">
      <w:pPr>
        <w:pStyle w:val="ListParagraph0"/>
        <w:widowControl w:val="0"/>
        <w:autoSpaceDE w:val="0"/>
        <w:autoSpaceDN w:val="0"/>
        <w:spacing w:before="122" w:line="278" w:lineRule="auto"/>
        <w:ind w:left="426" w:right="120"/>
      </w:pPr>
    </w:p>
    <w:p w14:paraId="595B24D4" w14:textId="767DEB7E" w:rsidR="00403412" w:rsidRDefault="00403412" w:rsidP="00FF5F29">
      <w:pPr>
        <w:pStyle w:val="ListParagraph0"/>
        <w:widowControl w:val="0"/>
        <w:numPr>
          <w:ilvl w:val="0"/>
          <w:numId w:val="8"/>
        </w:numPr>
        <w:autoSpaceDE w:val="0"/>
        <w:autoSpaceDN w:val="0"/>
        <w:spacing w:before="122" w:line="278" w:lineRule="auto"/>
        <w:ind w:left="426" w:right="120"/>
      </w:pPr>
      <w:r w:rsidRPr="00C444C3">
        <w:t xml:space="preserve">Master planning for the priority Port of Townsville: </w:t>
      </w:r>
      <w:hyperlink r:id="rId20">
        <w:r w:rsidRPr="00C444C3">
          <w:rPr>
            <w:color w:val="0562C1"/>
            <w:spacing w:val="-2"/>
            <w:u w:val="single" w:color="0562C1"/>
          </w:rPr>
          <w:t>https://www.tmr.qld.gov.au/business-industry/Transport-sectors/Ports/Sustainable-</w:t>
        </w:r>
      </w:hyperlink>
      <w:r w:rsidRPr="00C444C3">
        <w:rPr>
          <w:color w:val="0562C1"/>
          <w:spacing w:val="-2"/>
        </w:rPr>
        <w:t xml:space="preserve"> </w:t>
      </w:r>
      <w:hyperlink r:id="rId21">
        <w:r w:rsidRPr="00C444C3">
          <w:rPr>
            <w:color w:val="0562C1"/>
            <w:spacing w:val="-2"/>
            <w:u w:val="single" w:color="0562C1"/>
          </w:rPr>
          <w:t>port-development-and-operation/Master-planning-for-priority-ports/Master-planning-</w:t>
        </w:r>
      </w:hyperlink>
      <w:hyperlink r:id="rId22">
        <w:r>
          <w:rPr>
            <w:color w:val="0562C1"/>
            <w:spacing w:val="-2"/>
            <w:u w:val="single" w:color="0562C1"/>
          </w:rPr>
          <w:t>for-the-priority-Port-of-Townsville</w:t>
        </w:r>
      </w:hyperlink>
    </w:p>
    <w:p w14:paraId="43498EA9" w14:textId="77777777" w:rsidR="00A33D57" w:rsidRDefault="00A33D57" w:rsidP="00FF5F29">
      <w:pPr>
        <w:pStyle w:val="ListParagraph0"/>
        <w:widowControl w:val="0"/>
        <w:autoSpaceDE w:val="0"/>
        <w:autoSpaceDN w:val="0"/>
        <w:spacing w:before="122" w:line="278" w:lineRule="auto"/>
        <w:ind w:left="426" w:right="120"/>
      </w:pPr>
    </w:p>
    <w:p w14:paraId="18A0B4A8" w14:textId="05FC8366" w:rsidR="00403412" w:rsidRDefault="00403412" w:rsidP="00FF5F29">
      <w:pPr>
        <w:pStyle w:val="ListParagraph0"/>
        <w:widowControl w:val="0"/>
        <w:numPr>
          <w:ilvl w:val="0"/>
          <w:numId w:val="8"/>
        </w:numPr>
        <w:autoSpaceDE w:val="0"/>
        <w:autoSpaceDN w:val="0"/>
        <w:spacing w:before="122" w:line="278" w:lineRule="auto"/>
        <w:ind w:left="426" w:right="120"/>
      </w:pPr>
      <w:r>
        <w:t xml:space="preserve">Master planning for the priority Port of Hay Point/Mackay: </w:t>
      </w:r>
      <w:hyperlink r:id="rId23">
        <w:r>
          <w:rPr>
            <w:color w:val="0562C1"/>
            <w:spacing w:val="-2"/>
            <w:u w:val="single" w:color="0562C1"/>
          </w:rPr>
          <w:t>https://www.tmr.qld.gov.au/business-industry/Transport-sectors/Ports/Sustainable-</w:t>
        </w:r>
      </w:hyperlink>
      <w:r>
        <w:rPr>
          <w:color w:val="0562C1"/>
          <w:spacing w:val="-2"/>
        </w:rPr>
        <w:t xml:space="preserve"> </w:t>
      </w:r>
      <w:hyperlink r:id="rId24">
        <w:r>
          <w:rPr>
            <w:color w:val="0562C1"/>
            <w:spacing w:val="-2"/>
            <w:u w:val="single" w:color="0562C1"/>
          </w:rPr>
          <w:t>port-development-and-operation/Master-planning-for-priority-ports/Master-planning-</w:t>
        </w:r>
      </w:hyperlink>
      <w:hyperlink r:id="rId25">
        <w:r>
          <w:rPr>
            <w:color w:val="0562C1"/>
            <w:spacing w:val="-2"/>
            <w:u w:val="single" w:color="0562C1"/>
          </w:rPr>
          <w:t>for-the-priority-Port-of-Hay-Point-Mackay</w:t>
        </w:r>
      </w:hyperlink>
    </w:p>
    <w:p w14:paraId="371BE7C3" w14:textId="77777777" w:rsidR="00A33D57" w:rsidRPr="00A33D57" w:rsidRDefault="00A33D57" w:rsidP="00FF5F29">
      <w:pPr>
        <w:pStyle w:val="ListParagraph0"/>
        <w:spacing w:before="122" w:line="278" w:lineRule="auto"/>
        <w:ind w:left="426" w:right="120"/>
        <w:jc w:val="both"/>
        <w:rPr>
          <w:b/>
          <w:bCs/>
          <w:i/>
          <w:iCs/>
        </w:rPr>
      </w:pPr>
    </w:p>
    <w:p w14:paraId="6D3C80AA" w14:textId="77F2C27B" w:rsidR="00465FBD" w:rsidRPr="00E15610" w:rsidRDefault="00403412" w:rsidP="00FF5F29">
      <w:pPr>
        <w:pStyle w:val="ListParagraph0"/>
        <w:numPr>
          <w:ilvl w:val="0"/>
          <w:numId w:val="8"/>
        </w:numPr>
        <w:spacing w:before="122" w:line="278" w:lineRule="auto"/>
        <w:ind w:left="426" w:right="120"/>
        <w:jc w:val="both"/>
        <w:rPr>
          <w:b/>
          <w:bCs/>
          <w:i/>
          <w:iCs/>
        </w:rPr>
      </w:pPr>
      <w:r>
        <w:t xml:space="preserve">Master planning for the priority Port of Abbot Point: </w:t>
      </w:r>
      <w:hyperlink r:id="rId26">
        <w:r w:rsidRPr="00E15610">
          <w:rPr>
            <w:color w:val="0562C1"/>
            <w:spacing w:val="-2"/>
            <w:u w:val="single" w:color="0562C1"/>
          </w:rPr>
          <w:t>https://www.tmr.qld.gov.au/business-industry/transport-sectors/ports/sustainable-</w:t>
        </w:r>
      </w:hyperlink>
      <w:hyperlink r:id="rId27">
        <w:r w:rsidRPr="00E15610">
          <w:rPr>
            <w:color w:val="0562C1"/>
            <w:spacing w:val="-2"/>
            <w:u w:val="single" w:color="0562C1"/>
          </w:rPr>
          <w:t>port-development-and-operation/master-planning-for-priority-ports/master-planning</w:t>
        </w:r>
      </w:hyperlink>
      <w:r w:rsidR="00285CF0">
        <w:rPr>
          <w:color w:val="0562C1"/>
          <w:spacing w:val="-2"/>
          <w:u w:val="single" w:color="0562C1"/>
        </w:rPr>
        <w:t>-</w:t>
      </w:r>
      <w:hyperlink r:id="rId28">
        <w:r w:rsidRPr="00E15610">
          <w:rPr>
            <w:color w:val="0562C1"/>
            <w:spacing w:val="-2"/>
            <w:u w:val="single" w:color="0562C1"/>
          </w:rPr>
          <w:t>for-the-priority-port-of-abbot-point</w:t>
        </w:r>
      </w:hyperlink>
    </w:p>
    <w:p w14:paraId="6FEAC9BE" w14:textId="77777777" w:rsidR="00A33D57" w:rsidRDefault="00A33D57" w:rsidP="00FF5F29">
      <w:pPr>
        <w:pStyle w:val="ListBullet"/>
        <w:numPr>
          <w:ilvl w:val="0"/>
          <w:numId w:val="0"/>
        </w:numPr>
        <w:ind w:left="567" w:right="120"/>
      </w:pPr>
    </w:p>
    <w:p w14:paraId="5DBA960B" w14:textId="77777777" w:rsidR="003177CA" w:rsidRDefault="003177CA">
      <w:pPr>
        <w:spacing w:after="160" w:line="259" w:lineRule="auto"/>
      </w:pPr>
      <w:r>
        <w:br w:type="page"/>
      </w:r>
    </w:p>
    <w:p w14:paraId="5DEA16F8" w14:textId="0768E234" w:rsidR="005E0336" w:rsidRDefault="005E0336" w:rsidP="00FF5F29">
      <w:pPr>
        <w:pStyle w:val="ListBullet"/>
        <w:numPr>
          <w:ilvl w:val="0"/>
          <w:numId w:val="0"/>
        </w:numPr>
        <w:ind w:left="567" w:right="120"/>
      </w:pPr>
      <w:r>
        <w:rPr>
          <w:noProof/>
        </w:rPr>
        <w:lastRenderedPageBreak/>
        <mc:AlternateContent>
          <mc:Choice Requires="wps">
            <w:drawing>
              <wp:anchor distT="0" distB="0" distL="114300" distR="114300" simplePos="0" relativeHeight="251693568" behindDoc="0" locked="0" layoutInCell="1" allowOverlap="1" wp14:anchorId="78801988" wp14:editId="656076C2">
                <wp:simplePos x="0" y="0"/>
                <wp:positionH relativeFrom="margin">
                  <wp:posOffset>3175</wp:posOffset>
                </wp:positionH>
                <wp:positionV relativeFrom="paragraph">
                  <wp:posOffset>276225</wp:posOffset>
                </wp:positionV>
                <wp:extent cx="5160010" cy="621030"/>
                <wp:effectExtent l="0" t="0" r="2540" b="7620"/>
                <wp:wrapTopAndBottom/>
                <wp:docPr id="1" name="Arrow: Pentagon 1"/>
                <wp:cNvGraphicFramePr/>
                <a:graphic xmlns:a="http://schemas.openxmlformats.org/drawingml/2006/main">
                  <a:graphicData uri="http://schemas.microsoft.com/office/word/2010/wordprocessingShape">
                    <wps:wsp>
                      <wps:cNvSpPr/>
                      <wps:spPr>
                        <a:xfrm>
                          <a:off x="0" y="0"/>
                          <a:ext cx="5160010" cy="621030"/>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2C0B7" w14:textId="77777777" w:rsidR="005E0336" w:rsidRDefault="005E0336" w:rsidP="005E0336">
                            <w:r>
                              <w:rPr>
                                <w:b/>
                                <w:bCs/>
                                <w:color w:val="FFFFFF" w:themeColor="background1"/>
                                <w:sz w:val="36"/>
                                <w:szCs w:val="36"/>
                              </w:rPr>
                              <w:t>Data breaches and smartcard product replacement</w:t>
                            </w:r>
                          </w:p>
                          <w:p w14:paraId="7F882B7B" w14:textId="77777777" w:rsidR="005E0336" w:rsidRDefault="005E0336" w:rsidP="005E03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01988" id="Arrow: Pentagon 1" o:spid="_x0000_s1054" type="#_x0000_t15" style="position:absolute;left:0;text-align:left;margin-left:.25pt;margin-top:21.75pt;width:406.3pt;height:48.9pt;z-index:251693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" adj="20300" fillcolor="#003e69 [3204]" stroked="f" strokeweight="1pt">
                <v:textbox>
                  <w:txbxContent>
                    <w:p w14:paraId="7862C0B7" w14:textId="77777777" w:rsidR="005E0336" w:rsidRDefault="005E0336" w:rsidP="005E0336">
                      <w:r>
                        <w:rPr>
                          <w:b/>
                          <w:bCs/>
                          <w:color w:val="FFFFFF" w:themeColor="background1"/>
                          <w:sz w:val="36"/>
                          <w:szCs w:val="36"/>
                        </w:rPr>
                        <w:t>Data breaches and smartcard product replacement</w:t>
                      </w:r>
                    </w:p>
                    <w:p w14:paraId="7F882B7B" w14:textId="77777777" w:rsidR="005E0336" w:rsidRDefault="005E0336" w:rsidP="005E0336"/>
                  </w:txbxContent>
                </v:textbox>
                <w10:wrap type="topAndBottom" anchorx="margin"/>
              </v:shape>
            </w:pict>
          </mc:Fallback>
        </mc:AlternateContent>
      </w:r>
    </w:p>
    <w:p w14:paraId="52E82224" w14:textId="77777777" w:rsidR="00325795" w:rsidRDefault="00325795" w:rsidP="00FF5F29">
      <w:pPr>
        <w:spacing w:after="160"/>
        <w:ind w:right="120"/>
        <w:jc w:val="both"/>
      </w:pPr>
    </w:p>
    <w:p w14:paraId="46A33130" w14:textId="161F896F" w:rsidR="0098790C" w:rsidRDefault="00AC0915" w:rsidP="00FF5F29">
      <w:pPr>
        <w:spacing w:after="160"/>
        <w:ind w:right="120"/>
        <w:jc w:val="both"/>
      </w:pPr>
      <w:r w:rsidRPr="006F6390">
        <w:t xml:space="preserve">In response to </w:t>
      </w:r>
      <w:proofErr w:type="gramStart"/>
      <w:r w:rsidRPr="006F6390">
        <w:t>a number of</w:t>
      </w:r>
      <w:proofErr w:type="gramEnd"/>
      <w:r w:rsidRPr="006F6390">
        <w:t xml:space="preserve"> high-profile data breaches, legislative amendments were made </w:t>
      </w:r>
      <w:r w:rsidR="0081347E" w:rsidRPr="006F6390">
        <w:t xml:space="preserve">in July 2023 </w:t>
      </w:r>
      <w:r w:rsidR="00BF20A6" w:rsidRPr="006F6390">
        <w:t xml:space="preserve">to the </w:t>
      </w:r>
      <w:r w:rsidR="00BF20A6" w:rsidRPr="006F6390">
        <w:rPr>
          <w:i/>
          <w:iCs/>
        </w:rPr>
        <w:t xml:space="preserve">Transport Operations (Road Use Management – </w:t>
      </w:r>
      <w:r w:rsidR="00F6492C" w:rsidRPr="006F6390">
        <w:rPr>
          <w:i/>
          <w:iCs/>
        </w:rPr>
        <w:t>Driver Licensing</w:t>
      </w:r>
      <w:r w:rsidR="00BF20A6" w:rsidRPr="006F6390">
        <w:rPr>
          <w:i/>
          <w:iCs/>
        </w:rPr>
        <w:t xml:space="preserve">) </w:t>
      </w:r>
      <w:r w:rsidR="0081347E" w:rsidRPr="006F6390">
        <w:rPr>
          <w:i/>
          <w:iCs/>
        </w:rPr>
        <w:t>Regulation 2021</w:t>
      </w:r>
      <w:r w:rsidR="0081347E" w:rsidRPr="006F6390">
        <w:t xml:space="preserve"> </w:t>
      </w:r>
      <w:r w:rsidRPr="006F6390">
        <w:t xml:space="preserve">to provide certainty that smartcards, such as driver licences, can be replaced where a person’s data may have been compromised. </w:t>
      </w:r>
    </w:p>
    <w:p w14:paraId="464951AF" w14:textId="0C9EE426" w:rsidR="00F12F76" w:rsidRPr="006F6390" w:rsidRDefault="00AC0915" w:rsidP="00FF5F29">
      <w:pPr>
        <w:spacing w:after="160"/>
        <w:ind w:right="120"/>
        <w:jc w:val="both"/>
      </w:pPr>
      <w:r w:rsidRPr="006F6390">
        <w:t>Following data breaches, for privacy and security reasons, customers may wish to replace their TMR-issued smartcard. This initiative is responsive and accountable to TMR’s customers who may be concerned about the security of important identity credentials following a data breach. It also ensures that TMR is operating within a clear legislated authority when replacing a smartcard following a possible data breach</w:t>
      </w:r>
      <w:r w:rsidR="00CB27D9" w:rsidRPr="006F6390">
        <w:t>.</w:t>
      </w:r>
    </w:p>
    <w:p w14:paraId="0275EB97" w14:textId="77777777" w:rsidR="00F12F76" w:rsidRDefault="00F12F76" w:rsidP="00FF5F29">
      <w:pPr>
        <w:spacing w:after="160" w:line="259" w:lineRule="auto"/>
        <w:ind w:right="120"/>
      </w:pPr>
    </w:p>
    <w:p w14:paraId="6D966EDB" w14:textId="05CF72DB" w:rsidR="00E47108" w:rsidRDefault="00E47108" w:rsidP="00FF5F29">
      <w:pPr>
        <w:spacing w:after="160" w:line="259" w:lineRule="auto"/>
        <w:ind w:right="120"/>
      </w:pPr>
      <w:r>
        <w:br w:type="page"/>
      </w:r>
    </w:p>
    <w:p w14:paraId="4F9E0C1B" w14:textId="77777777" w:rsidR="00194AFB" w:rsidRDefault="00194AFB" w:rsidP="00FF5F29">
      <w:pPr>
        <w:pStyle w:val="Heading1"/>
        <w:ind w:right="120"/>
      </w:pPr>
      <w:bookmarkStart w:id="29" w:name="_Toc152143229"/>
      <w:bookmarkStart w:id="30" w:name="_Toc184395464"/>
      <w:bookmarkStart w:id="31" w:name="_Toc185328314"/>
      <w:r w:rsidRPr="001A7D14">
        <w:lastRenderedPageBreak/>
        <w:t>Appendix 1 – Portfolio legislation</w:t>
      </w:r>
      <w:bookmarkEnd w:id="29"/>
      <w:bookmarkEnd w:id="30"/>
      <w:bookmarkEnd w:id="31"/>
    </w:p>
    <w:p w14:paraId="648C2712" w14:textId="77777777" w:rsidR="001B7546" w:rsidRPr="001B7546" w:rsidRDefault="001B7546" w:rsidP="00FF5F29">
      <w:pPr>
        <w:ind w:right="120"/>
      </w:pPr>
    </w:p>
    <w:tbl>
      <w:tblPr>
        <w:tblStyle w:val="NavyTable"/>
        <w:tblW w:w="4900" w:type="pct"/>
        <w:tblLook w:val="0620" w:firstRow="1" w:lastRow="0" w:firstColumn="0" w:lastColumn="0" w:noHBand="1" w:noVBand="1"/>
      </w:tblPr>
      <w:tblGrid>
        <w:gridCol w:w="9008"/>
      </w:tblGrid>
      <w:tr w:rsidR="00194AFB" w14:paraId="3773D4EC" w14:textId="77777777" w:rsidTr="001A7D14">
        <w:trPr>
          <w:cnfStyle w:val="100000000000" w:firstRow="1" w:lastRow="0" w:firstColumn="0" w:lastColumn="0" w:oddVBand="0" w:evenVBand="0" w:oddHBand="0" w:evenHBand="0" w:firstRowFirstColumn="0" w:firstRowLastColumn="0" w:lastRowFirstColumn="0" w:lastRowLastColumn="0"/>
          <w:tblHeader/>
        </w:trPr>
        <w:tc>
          <w:tcPr>
            <w:tcW w:w="9445" w:type="dxa"/>
          </w:tcPr>
          <w:p w14:paraId="178DD6BD" w14:textId="7939C35B" w:rsidR="00194AFB" w:rsidRPr="00B52BF2" w:rsidRDefault="00194AFB" w:rsidP="00FF5F29">
            <w:pPr>
              <w:pStyle w:val="TableHeading"/>
              <w:ind w:right="120"/>
              <w:rPr>
                <w:b w:val="0"/>
                <w:bCs/>
              </w:rPr>
            </w:pPr>
            <w:r>
              <w:rPr>
                <w:b w:val="0"/>
                <w:bCs/>
              </w:rPr>
              <w:t xml:space="preserve">Acts, Regulations and Standards as at </w:t>
            </w:r>
            <w:r w:rsidRPr="00744DE1">
              <w:rPr>
                <w:b w:val="0"/>
                <w:bCs/>
              </w:rPr>
              <w:t>December 202</w:t>
            </w:r>
            <w:r w:rsidR="00DE51C8">
              <w:rPr>
                <w:b w:val="0"/>
                <w:bCs/>
              </w:rPr>
              <w:t>4</w:t>
            </w:r>
          </w:p>
        </w:tc>
      </w:tr>
      <w:tr w:rsidR="00194AFB" w:rsidRPr="002106C4" w14:paraId="5A410ADD" w14:textId="77777777" w:rsidTr="001A7D14">
        <w:tc>
          <w:tcPr>
            <w:tcW w:w="9445" w:type="dxa"/>
          </w:tcPr>
          <w:p w14:paraId="71BC276A" w14:textId="77777777" w:rsidR="00194AFB" w:rsidRPr="00F27016" w:rsidRDefault="00194AFB" w:rsidP="00FF5F29">
            <w:pPr>
              <w:pStyle w:val="TableText"/>
              <w:ind w:right="120"/>
              <w:rPr>
                <w:i/>
                <w:iCs/>
              </w:rPr>
            </w:pPr>
            <w:r w:rsidRPr="00F27016">
              <w:rPr>
                <w:i/>
                <w:iCs/>
              </w:rPr>
              <w:t>Air Navigation Act 1937</w:t>
            </w:r>
          </w:p>
        </w:tc>
      </w:tr>
      <w:tr w:rsidR="00194AFB" w:rsidRPr="002106C4" w14:paraId="2460D6CD" w14:textId="77777777" w:rsidTr="001A7D14">
        <w:tc>
          <w:tcPr>
            <w:tcW w:w="9445" w:type="dxa"/>
          </w:tcPr>
          <w:p w14:paraId="0C4A95C8" w14:textId="77777777" w:rsidR="00194AFB" w:rsidRPr="00180894" w:rsidRDefault="00194AFB" w:rsidP="00FF5F29">
            <w:pPr>
              <w:pStyle w:val="TableText"/>
              <w:ind w:right="120"/>
            </w:pPr>
            <w:r w:rsidRPr="00F27016">
              <w:rPr>
                <w:i/>
                <w:iCs/>
              </w:rPr>
              <w:t>Century Zinc Project Act 1997</w:t>
            </w:r>
            <w:r w:rsidRPr="00180894">
              <w:t xml:space="preserve"> (ss 5(2) – (7), 11, 12, 13)</w:t>
            </w:r>
          </w:p>
        </w:tc>
      </w:tr>
      <w:tr w:rsidR="00194AFB" w:rsidRPr="002106C4" w14:paraId="25211277" w14:textId="77777777" w:rsidTr="001A7D14">
        <w:tc>
          <w:tcPr>
            <w:tcW w:w="9445" w:type="dxa"/>
          </w:tcPr>
          <w:p w14:paraId="321D3257" w14:textId="77777777" w:rsidR="00194AFB" w:rsidRPr="00F27016" w:rsidRDefault="00194AFB" w:rsidP="00FF5F29">
            <w:pPr>
              <w:pStyle w:val="TableText"/>
              <w:ind w:right="120"/>
              <w:rPr>
                <w:i/>
                <w:iCs/>
              </w:rPr>
            </w:pPr>
            <w:r w:rsidRPr="00F27016">
              <w:rPr>
                <w:i/>
                <w:iCs/>
              </w:rPr>
              <w:t>Civil Aviation (Carriers' Liability) Act 1964</w:t>
            </w:r>
          </w:p>
        </w:tc>
      </w:tr>
      <w:tr w:rsidR="00194AFB" w:rsidRPr="002106C4" w14:paraId="2C428C6A" w14:textId="77777777" w:rsidTr="001A7D14">
        <w:tc>
          <w:tcPr>
            <w:tcW w:w="9445" w:type="dxa"/>
          </w:tcPr>
          <w:p w14:paraId="00CE376D" w14:textId="77777777" w:rsidR="00194AFB" w:rsidRPr="00F27016" w:rsidRDefault="00194AFB" w:rsidP="00FF5F29">
            <w:pPr>
              <w:pStyle w:val="TableText"/>
              <w:ind w:right="120"/>
              <w:rPr>
                <w:i/>
                <w:iCs/>
              </w:rPr>
            </w:pPr>
            <w:r w:rsidRPr="00F27016">
              <w:rPr>
                <w:i/>
                <w:iCs/>
              </w:rPr>
              <w:t>Cross River Rail Delivery Authority Act 2016</w:t>
            </w:r>
          </w:p>
          <w:p w14:paraId="0230FC0F" w14:textId="77777777" w:rsidR="00194AFB" w:rsidRPr="00180894" w:rsidRDefault="00194AFB" w:rsidP="00FF5F29">
            <w:pPr>
              <w:pStyle w:val="TableText"/>
              <w:ind w:right="120"/>
            </w:pPr>
            <w:r w:rsidRPr="00180894">
              <w:t xml:space="preserve"> Cross River Rail Delivery Authority Regulation 2019</w:t>
            </w:r>
          </w:p>
        </w:tc>
      </w:tr>
      <w:tr w:rsidR="00194AFB" w:rsidRPr="002106C4" w14:paraId="4D6848A5" w14:textId="77777777" w:rsidTr="001A7D14">
        <w:tc>
          <w:tcPr>
            <w:tcW w:w="9445" w:type="dxa"/>
          </w:tcPr>
          <w:p w14:paraId="10118FFE" w14:textId="77777777" w:rsidR="00194AFB" w:rsidRPr="00F27016" w:rsidRDefault="00194AFB" w:rsidP="00FF5F29">
            <w:pPr>
              <w:pStyle w:val="TableText"/>
              <w:ind w:right="120"/>
              <w:rPr>
                <w:i/>
                <w:iCs/>
              </w:rPr>
            </w:pPr>
            <w:r w:rsidRPr="00F27016">
              <w:rPr>
                <w:i/>
                <w:iCs/>
              </w:rPr>
              <w:t>Gold Coast Waterways Authority Act 2012</w:t>
            </w:r>
          </w:p>
          <w:p w14:paraId="0CCDC76D" w14:textId="77777777" w:rsidR="00194AFB" w:rsidRPr="00180894" w:rsidRDefault="00194AFB" w:rsidP="00FF5F29">
            <w:pPr>
              <w:pStyle w:val="TableText"/>
              <w:ind w:right="120"/>
            </w:pPr>
            <w:r w:rsidRPr="00180894">
              <w:t xml:space="preserve"> Gold Cost Waterways Authority Regulation </w:t>
            </w:r>
            <w:r>
              <w:t>2022</w:t>
            </w:r>
          </w:p>
        </w:tc>
      </w:tr>
      <w:tr w:rsidR="00194AFB" w:rsidRPr="002106C4" w14:paraId="5EEA2B9B" w14:textId="77777777" w:rsidTr="001A7D14">
        <w:tc>
          <w:tcPr>
            <w:tcW w:w="9445" w:type="dxa"/>
          </w:tcPr>
          <w:p w14:paraId="34B7D24C" w14:textId="77777777" w:rsidR="00194AFB" w:rsidRPr="00F27016" w:rsidRDefault="00194AFB" w:rsidP="00FF5F29">
            <w:pPr>
              <w:pStyle w:val="TableText"/>
              <w:ind w:right="120"/>
              <w:rPr>
                <w:i/>
                <w:iCs/>
              </w:rPr>
            </w:pPr>
            <w:r w:rsidRPr="00F27016">
              <w:rPr>
                <w:i/>
                <w:iCs/>
              </w:rPr>
              <w:t>Heavy Vehicle National Law Act 2012</w:t>
            </w:r>
          </w:p>
          <w:p w14:paraId="0B0B826F" w14:textId="77777777" w:rsidR="00194AFB" w:rsidRPr="00180894" w:rsidRDefault="00194AFB" w:rsidP="00FF5F29">
            <w:pPr>
              <w:pStyle w:val="TableText"/>
              <w:ind w:right="120"/>
            </w:pPr>
            <w:r w:rsidRPr="00180894">
              <w:t xml:space="preserve"> Heavy Vehicle (Fatigue Management) National Regulation</w:t>
            </w:r>
          </w:p>
          <w:p w14:paraId="5397811D" w14:textId="77777777" w:rsidR="00194AFB" w:rsidRPr="00180894" w:rsidRDefault="00194AFB" w:rsidP="00FF5F29">
            <w:pPr>
              <w:pStyle w:val="TableText"/>
              <w:ind w:right="120"/>
            </w:pPr>
            <w:r w:rsidRPr="00180894">
              <w:t xml:space="preserve"> Heavy Vehicle (General) National Regulation</w:t>
            </w:r>
          </w:p>
          <w:p w14:paraId="7641167D" w14:textId="77777777" w:rsidR="00194AFB" w:rsidRDefault="00194AFB" w:rsidP="00FF5F29">
            <w:pPr>
              <w:pStyle w:val="TableText"/>
              <w:ind w:right="120"/>
            </w:pPr>
            <w:r w:rsidRPr="00180894">
              <w:t xml:space="preserve"> Heavy Vehicle (Mass, Dimension and Loading) National Regulation</w:t>
            </w:r>
          </w:p>
          <w:p w14:paraId="582F75CA" w14:textId="4CFEB455" w:rsidR="00F949CD" w:rsidRDefault="007722E7" w:rsidP="00FF5F29">
            <w:pPr>
              <w:pStyle w:val="TableText"/>
              <w:ind w:right="120"/>
              <w:rPr>
                <w:rFonts w:ascii="Calibri" w:hAnsi="Calibri"/>
              </w:rPr>
            </w:pPr>
            <w:r>
              <w:t xml:space="preserve"> </w:t>
            </w:r>
            <w:r w:rsidR="00F949CD" w:rsidRPr="007722E7">
              <w:t>Heavy Vehicle (Vehicle Standards) National Regulation</w:t>
            </w:r>
          </w:p>
          <w:p w14:paraId="3A08BB43" w14:textId="77777777" w:rsidR="00194AFB" w:rsidRPr="00180894" w:rsidRDefault="00194AFB" w:rsidP="00FF5F29">
            <w:pPr>
              <w:pStyle w:val="TableText"/>
              <w:ind w:right="120"/>
            </w:pPr>
            <w:r w:rsidRPr="00180894">
              <w:t xml:space="preserve"> Heavy Vehicle National Law Regulation 2014</w:t>
            </w:r>
          </w:p>
          <w:p w14:paraId="7C04CAEF" w14:textId="77777777" w:rsidR="00194AFB" w:rsidRPr="00180894" w:rsidRDefault="00194AFB" w:rsidP="00FF5F29">
            <w:pPr>
              <w:pStyle w:val="TableText"/>
              <w:ind w:right="120"/>
            </w:pPr>
            <w:r w:rsidRPr="00180894">
              <w:t xml:space="preserve"> Heavy Vehicle (Registration) National Regulation</w:t>
            </w:r>
          </w:p>
        </w:tc>
      </w:tr>
      <w:tr w:rsidR="00194AFB" w:rsidRPr="00F27016" w14:paraId="5360D532" w14:textId="77777777" w:rsidTr="001A7D14">
        <w:tc>
          <w:tcPr>
            <w:tcW w:w="9445" w:type="dxa"/>
          </w:tcPr>
          <w:p w14:paraId="5897D204" w14:textId="77777777" w:rsidR="00194AFB" w:rsidRPr="00F27016" w:rsidRDefault="00194AFB" w:rsidP="00FF5F29">
            <w:pPr>
              <w:pStyle w:val="TableText"/>
              <w:ind w:right="120"/>
              <w:rPr>
                <w:i/>
                <w:iCs/>
              </w:rPr>
            </w:pPr>
            <w:r w:rsidRPr="00F27016">
              <w:rPr>
                <w:i/>
                <w:iCs/>
              </w:rPr>
              <w:t>Maritime Safety Queensland Act 2002</w:t>
            </w:r>
          </w:p>
        </w:tc>
      </w:tr>
      <w:tr w:rsidR="00194AFB" w:rsidRPr="002106C4" w14:paraId="2FDC76C0" w14:textId="77777777" w:rsidTr="001A7D14">
        <w:tc>
          <w:tcPr>
            <w:tcW w:w="9445" w:type="dxa"/>
          </w:tcPr>
          <w:p w14:paraId="44DFAEAA" w14:textId="77777777" w:rsidR="00194AFB" w:rsidRPr="00F27016" w:rsidRDefault="00194AFB" w:rsidP="00FF5F29">
            <w:pPr>
              <w:pStyle w:val="TableText"/>
              <w:ind w:right="120"/>
              <w:rPr>
                <w:i/>
                <w:iCs/>
              </w:rPr>
            </w:pPr>
            <w:r w:rsidRPr="00F27016">
              <w:rPr>
                <w:i/>
                <w:iCs/>
              </w:rPr>
              <w:t>Photo Identification Card Act 2008</w:t>
            </w:r>
          </w:p>
          <w:p w14:paraId="543C7EE2" w14:textId="77777777" w:rsidR="00194AFB" w:rsidRPr="00180894" w:rsidRDefault="00194AFB" w:rsidP="00FF5F29">
            <w:pPr>
              <w:pStyle w:val="TableText"/>
              <w:ind w:right="120"/>
            </w:pPr>
            <w:r w:rsidRPr="00180894">
              <w:t xml:space="preserve"> Photo Identification Card Regulation 2019</w:t>
            </w:r>
          </w:p>
        </w:tc>
      </w:tr>
      <w:tr w:rsidR="00194AFB" w:rsidRPr="002106C4" w14:paraId="0455A699" w14:textId="77777777" w:rsidTr="001A7D14">
        <w:tc>
          <w:tcPr>
            <w:tcW w:w="9445" w:type="dxa"/>
          </w:tcPr>
          <w:p w14:paraId="37C464A4" w14:textId="77777777" w:rsidR="00194AFB" w:rsidRPr="00F27016" w:rsidRDefault="00194AFB" w:rsidP="00FF5F29">
            <w:pPr>
              <w:pStyle w:val="TableText"/>
              <w:ind w:right="120"/>
              <w:rPr>
                <w:i/>
                <w:iCs/>
              </w:rPr>
            </w:pPr>
            <w:r w:rsidRPr="00F27016">
              <w:rPr>
                <w:i/>
                <w:iCs/>
              </w:rPr>
              <w:t>Queensland Rail Transit Authority Act 2013</w:t>
            </w:r>
          </w:p>
        </w:tc>
      </w:tr>
      <w:tr w:rsidR="00194AFB" w:rsidRPr="002106C4" w14:paraId="511C15F4" w14:textId="77777777" w:rsidTr="001A7D14">
        <w:tc>
          <w:tcPr>
            <w:tcW w:w="9445" w:type="dxa"/>
          </w:tcPr>
          <w:p w14:paraId="64E4E5D7" w14:textId="77777777" w:rsidR="00194AFB" w:rsidRPr="00F27016" w:rsidRDefault="00194AFB" w:rsidP="00FF5F29">
            <w:pPr>
              <w:pStyle w:val="TableText"/>
              <w:ind w:right="120"/>
              <w:rPr>
                <w:i/>
                <w:iCs/>
              </w:rPr>
            </w:pPr>
            <w:r w:rsidRPr="00F27016">
              <w:rPr>
                <w:i/>
                <w:iCs/>
              </w:rPr>
              <w:t>Rail Safety National Law (Queensland) Act 2017</w:t>
            </w:r>
          </w:p>
          <w:p w14:paraId="3C525407" w14:textId="77777777" w:rsidR="00194AFB" w:rsidRPr="00180894" w:rsidRDefault="00194AFB" w:rsidP="00FF5F29">
            <w:pPr>
              <w:pStyle w:val="TableText"/>
              <w:ind w:right="120"/>
            </w:pPr>
            <w:r w:rsidRPr="00180894">
              <w:t xml:space="preserve"> Rail Safety National Law Regulations 2012</w:t>
            </w:r>
          </w:p>
          <w:p w14:paraId="3D6E721A" w14:textId="77777777" w:rsidR="00194AFB" w:rsidRPr="00180894" w:rsidRDefault="00194AFB" w:rsidP="00FF5F29">
            <w:pPr>
              <w:pStyle w:val="TableText"/>
              <w:ind w:right="120"/>
            </w:pPr>
            <w:r w:rsidRPr="00180894">
              <w:t xml:space="preserve"> Rail Safety National Law (Queensland) Regulation 2017</w:t>
            </w:r>
          </w:p>
        </w:tc>
      </w:tr>
      <w:tr w:rsidR="00194AFB" w:rsidRPr="002106C4" w14:paraId="66EC2466" w14:textId="77777777" w:rsidTr="001A7D14">
        <w:tc>
          <w:tcPr>
            <w:tcW w:w="9445" w:type="dxa"/>
          </w:tcPr>
          <w:p w14:paraId="3D83088F" w14:textId="77777777" w:rsidR="00194AFB" w:rsidRPr="00F27016" w:rsidRDefault="00194AFB" w:rsidP="00FF5F29">
            <w:pPr>
              <w:pStyle w:val="TableText"/>
              <w:ind w:right="120"/>
              <w:rPr>
                <w:i/>
                <w:iCs/>
              </w:rPr>
            </w:pPr>
            <w:r w:rsidRPr="00F27016">
              <w:rPr>
                <w:i/>
                <w:iCs/>
              </w:rPr>
              <w:t>State Transport Act 1938</w:t>
            </w:r>
          </w:p>
        </w:tc>
      </w:tr>
      <w:tr w:rsidR="00194AFB" w:rsidRPr="002106C4" w14:paraId="24755519" w14:textId="77777777" w:rsidTr="001A7D14">
        <w:tc>
          <w:tcPr>
            <w:tcW w:w="9445" w:type="dxa"/>
          </w:tcPr>
          <w:p w14:paraId="0C3D3DB7" w14:textId="77777777" w:rsidR="00194AFB" w:rsidRPr="00F27016" w:rsidRDefault="00194AFB" w:rsidP="00FF5F29">
            <w:pPr>
              <w:pStyle w:val="TableText"/>
              <w:ind w:right="120"/>
              <w:rPr>
                <w:i/>
                <w:iCs/>
              </w:rPr>
            </w:pPr>
            <w:r w:rsidRPr="00F27016">
              <w:rPr>
                <w:i/>
                <w:iCs/>
              </w:rPr>
              <w:t>State Transport (People Movers) Act 1989</w:t>
            </w:r>
          </w:p>
        </w:tc>
      </w:tr>
      <w:tr w:rsidR="00194AFB" w:rsidRPr="002106C4" w14:paraId="61B0D13B" w14:textId="77777777" w:rsidTr="001A7D14">
        <w:tc>
          <w:tcPr>
            <w:tcW w:w="9445" w:type="dxa"/>
          </w:tcPr>
          <w:p w14:paraId="444E5BBA" w14:textId="77777777" w:rsidR="00194AFB" w:rsidRPr="00F27016" w:rsidRDefault="00194AFB" w:rsidP="00FF5F29">
            <w:pPr>
              <w:pStyle w:val="TableText"/>
              <w:ind w:right="120"/>
              <w:rPr>
                <w:i/>
                <w:iCs/>
              </w:rPr>
            </w:pPr>
            <w:r w:rsidRPr="00F27016">
              <w:rPr>
                <w:i/>
                <w:iCs/>
              </w:rPr>
              <w:t>Sustainable Ports Development Act 2015</w:t>
            </w:r>
          </w:p>
          <w:p w14:paraId="0D21B887" w14:textId="77777777" w:rsidR="00194AFB" w:rsidRPr="00180894" w:rsidRDefault="00194AFB" w:rsidP="00FF5F29">
            <w:pPr>
              <w:pStyle w:val="TableText"/>
              <w:ind w:right="120"/>
            </w:pPr>
            <w:r w:rsidRPr="00180894">
              <w:t xml:space="preserve"> Sustainable Ports Development Regulation 2018</w:t>
            </w:r>
          </w:p>
        </w:tc>
      </w:tr>
      <w:tr w:rsidR="00194AFB" w:rsidRPr="002106C4" w14:paraId="5BC0C2AA" w14:textId="77777777" w:rsidTr="001A7D14">
        <w:tc>
          <w:tcPr>
            <w:tcW w:w="9445" w:type="dxa"/>
          </w:tcPr>
          <w:p w14:paraId="5757BB7E" w14:textId="52B71387" w:rsidR="00194AFB" w:rsidRPr="00F27016" w:rsidRDefault="00194AFB" w:rsidP="00FF5F29">
            <w:pPr>
              <w:pStyle w:val="TableText"/>
              <w:ind w:right="120"/>
              <w:rPr>
                <w:i/>
                <w:iCs/>
              </w:rPr>
            </w:pPr>
            <w:r w:rsidRPr="00F27016">
              <w:rPr>
                <w:i/>
                <w:iCs/>
              </w:rPr>
              <w:t xml:space="preserve">Thiess Peabody Mitsui Coal Pty. Ltd Agreements Act 1965 </w:t>
            </w:r>
            <w:r w:rsidR="00683DA8" w:rsidRPr="00683DA8">
              <w:t>(except to the extent administered by the Treasurer, Minister for Energy and Minister for Home Ownership; and the Minister for Natural Resources and Mines, Minister for Manufacturing and Minister for Regional and Rural Development)</w:t>
            </w:r>
          </w:p>
        </w:tc>
      </w:tr>
      <w:tr w:rsidR="00194AFB" w:rsidRPr="002106C4" w14:paraId="4452C9C1" w14:textId="77777777" w:rsidTr="001A7D14">
        <w:tc>
          <w:tcPr>
            <w:tcW w:w="9445" w:type="dxa"/>
          </w:tcPr>
          <w:p w14:paraId="0CF8D132" w14:textId="3D08A5A7" w:rsidR="00194AFB" w:rsidRPr="00F32A3A" w:rsidRDefault="00194AFB" w:rsidP="00FF5F29">
            <w:pPr>
              <w:pStyle w:val="TableText"/>
              <w:ind w:right="120"/>
              <w:rPr>
                <w:i/>
                <w:iCs/>
              </w:rPr>
            </w:pPr>
            <w:r w:rsidRPr="00F32A3A">
              <w:rPr>
                <w:i/>
                <w:iCs/>
              </w:rPr>
              <w:t xml:space="preserve">Tow Truck Act </w:t>
            </w:r>
            <w:r w:rsidR="00EF6780" w:rsidRPr="00F32A3A">
              <w:rPr>
                <w:i/>
                <w:iCs/>
              </w:rPr>
              <w:t>2023</w:t>
            </w:r>
          </w:p>
          <w:p w14:paraId="407E320C" w14:textId="5DDA356C" w:rsidR="00194AFB" w:rsidRPr="00F32A3A" w:rsidRDefault="00194AFB" w:rsidP="00FF5F29">
            <w:pPr>
              <w:pStyle w:val="TableText"/>
              <w:ind w:right="120"/>
            </w:pPr>
            <w:r w:rsidRPr="00F32A3A">
              <w:t xml:space="preserve"> Tow Truck Regulation </w:t>
            </w:r>
            <w:r w:rsidR="00EF6780" w:rsidRPr="00F32A3A">
              <w:t>2024</w:t>
            </w:r>
          </w:p>
        </w:tc>
      </w:tr>
      <w:tr w:rsidR="00194AFB" w:rsidRPr="002106C4" w14:paraId="1036E735" w14:textId="77777777" w:rsidTr="001A7D14">
        <w:tc>
          <w:tcPr>
            <w:tcW w:w="9445" w:type="dxa"/>
          </w:tcPr>
          <w:p w14:paraId="3712D152" w14:textId="77777777" w:rsidR="00194AFB" w:rsidRPr="001B27C2" w:rsidRDefault="00194AFB" w:rsidP="00FF5F29">
            <w:pPr>
              <w:pStyle w:val="TableText"/>
              <w:ind w:right="120"/>
              <w:rPr>
                <w:i/>
                <w:iCs/>
              </w:rPr>
            </w:pPr>
            <w:r w:rsidRPr="001B27C2">
              <w:rPr>
                <w:i/>
                <w:iCs/>
              </w:rPr>
              <w:t>Transport Infrastructure Act 1994</w:t>
            </w:r>
          </w:p>
          <w:p w14:paraId="67F51951" w14:textId="77777777" w:rsidR="00194AFB" w:rsidRPr="00180894" w:rsidRDefault="00194AFB" w:rsidP="00FF5F29">
            <w:pPr>
              <w:pStyle w:val="TableText"/>
              <w:ind w:right="120"/>
            </w:pPr>
            <w:r w:rsidRPr="00180894">
              <w:t xml:space="preserve"> Transport Infrastructure (Dangerous Goods by Rail) Regulation 2018</w:t>
            </w:r>
          </w:p>
          <w:p w14:paraId="40D93329" w14:textId="77777777" w:rsidR="00194AFB" w:rsidRPr="00180894" w:rsidRDefault="00194AFB" w:rsidP="00FF5F29">
            <w:pPr>
              <w:pStyle w:val="TableText"/>
              <w:ind w:right="120"/>
            </w:pPr>
            <w:r w:rsidRPr="00180894">
              <w:t xml:space="preserve"> Transport Infrastructure (Ports) Regulation 2016</w:t>
            </w:r>
          </w:p>
          <w:p w14:paraId="673084F0" w14:textId="77777777" w:rsidR="00107844" w:rsidRDefault="00194AFB" w:rsidP="00FF5F29">
            <w:pPr>
              <w:pStyle w:val="TableText"/>
              <w:ind w:right="120"/>
              <w:rPr>
                <w:rFonts w:ascii="Calibri" w:hAnsi="Calibri"/>
              </w:rPr>
            </w:pPr>
            <w:r w:rsidRPr="00180894">
              <w:t xml:space="preserve"> </w:t>
            </w:r>
            <w:r w:rsidR="00107844" w:rsidRPr="00AF60D7">
              <w:t>Transport Infrastructure (Public Marine Facilities) Regulation 2023</w:t>
            </w:r>
          </w:p>
          <w:p w14:paraId="123BAE45" w14:textId="65403CF5" w:rsidR="00194AFB" w:rsidRPr="00180894" w:rsidRDefault="005B1ECE" w:rsidP="00FF5F29">
            <w:pPr>
              <w:pStyle w:val="TableText"/>
              <w:ind w:right="120"/>
            </w:pPr>
            <w:r>
              <w:t xml:space="preserve"> </w:t>
            </w:r>
            <w:r w:rsidR="00194AFB" w:rsidRPr="00180894">
              <w:t>Transport Infrastructure (State-controlled Roads) Regulation 2017</w:t>
            </w:r>
          </w:p>
          <w:p w14:paraId="16993FF2" w14:textId="77777777" w:rsidR="00194AFB" w:rsidRPr="00180894" w:rsidRDefault="00194AFB" w:rsidP="00FF5F29">
            <w:pPr>
              <w:pStyle w:val="TableText"/>
              <w:ind w:right="120"/>
            </w:pPr>
            <w:r w:rsidRPr="00180894">
              <w:t xml:space="preserve"> Transport Infrastructure (Waterways Management) Regulation 2012</w:t>
            </w:r>
          </w:p>
        </w:tc>
      </w:tr>
      <w:tr w:rsidR="00194AFB" w:rsidRPr="002106C4" w14:paraId="58CC4495" w14:textId="77777777" w:rsidTr="001A7D14">
        <w:tc>
          <w:tcPr>
            <w:tcW w:w="9445" w:type="dxa"/>
          </w:tcPr>
          <w:p w14:paraId="255089E3" w14:textId="77777777" w:rsidR="00194AFB" w:rsidRPr="001B27C2" w:rsidRDefault="00194AFB" w:rsidP="00FF5F29">
            <w:pPr>
              <w:pStyle w:val="TableText"/>
              <w:ind w:right="120"/>
              <w:rPr>
                <w:i/>
                <w:iCs/>
              </w:rPr>
            </w:pPr>
            <w:r w:rsidRPr="001B27C2">
              <w:rPr>
                <w:i/>
                <w:iCs/>
              </w:rPr>
              <w:t>Transport Operations (Marine Pollution) Act 1995</w:t>
            </w:r>
          </w:p>
          <w:p w14:paraId="1DC694B2" w14:textId="77777777" w:rsidR="00194AFB" w:rsidRPr="00180894" w:rsidRDefault="00194AFB" w:rsidP="00FF5F29">
            <w:pPr>
              <w:pStyle w:val="TableText"/>
              <w:ind w:right="120"/>
            </w:pPr>
            <w:r w:rsidRPr="00180894">
              <w:t xml:space="preserve"> Transport Operations (Marine Pollution) Regulation 2018</w:t>
            </w:r>
          </w:p>
          <w:p w14:paraId="66433239" w14:textId="77777777" w:rsidR="00194AFB" w:rsidRPr="00180894" w:rsidRDefault="00194AFB" w:rsidP="00FF5F29">
            <w:pPr>
              <w:pStyle w:val="TableText"/>
              <w:ind w:right="120"/>
            </w:pPr>
            <w:r w:rsidRPr="00180894">
              <w:t xml:space="preserve"> Transport Operations (Marine Safety Act) 1994</w:t>
            </w:r>
          </w:p>
          <w:p w14:paraId="3AEAB270" w14:textId="77777777" w:rsidR="00194AFB" w:rsidRPr="00180894" w:rsidRDefault="00194AFB" w:rsidP="00FF5F29">
            <w:pPr>
              <w:pStyle w:val="TableText"/>
              <w:ind w:right="120"/>
            </w:pPr>
            <w:r w:rsidRPr="00180894">
              <w:t xml:space="preserve"> Transport Operations (Marine Safety) Regulation 2016</w:t>
            </w:r>
          </w:p>
        </w:tc>
      </w:tr>
      <w:tr w:rsidR="00194AFB" w:rsidRPr="002106C4" w14:paraId="379FFCBF" w14:textId="77777777" w:rsidTr="001A7D14">
        <w:tc>
          <w:tcPr>
            <w:tcW w:w="9445" w:type="dxa"/>
          </w:tcPr>
          <w:p w14:paraId="2F6FF66D" w14:textId="77777777" w:rsidR="00194AFB" w:rsidRPr="001B27C2" w:rsidRDefault="00194AFB" w:rsidP="00FF5F29">
            <w:pPr>
              <w:pStyle w:val="TableText"/>
              <w:ind w:right="120"/>
              <w:rPr>
                <w:i/>
                <w:iCs/>
              </w:rPr>
            </w:pPr>
            <w:r w:rsidRPr="001B27C2">
              <w:rPr>
                <w:i/>
                <w:iCs/>
              </w:rPr>
              <w:lastRenderedPageBreak/>
              <w:t>Transport Operations (Marine Safety—Domestic Commercial Vessel National Law Application) Act 2016</w:t>
            </w:r>
          </w:p>
          <w:p w14:paraId="754D7575" w14:textId="77777777" w:rsidR="00194AFB" w:rsidRPr="00180894" w:rsidRDefault="00194AFB" w:rsidP="00FF5F29">
            <w:pPr>
              <w:pStyle w:val="TableText"/>
              <w:ind w:right="120"/>
            </w:pPr>
            <w:r w:rsidRPr="00180894">
              <w:t xml:space="preserve"> Transport Operations (Marine Safety—Queensland Regulated Ships Miscellaneous Equipment) Standard 2017</w:t>
            </w:r>
          </w:p>
        </w:tc>
      </w:tr>
      <w:tr w:rsidR="00194AFB" w:rsidRPr="002106C4" w14:paraId="02EB241E" w14:textId="77777777" w:rsidTr="001A7D14">
        <w:tc>
          <w:tcPr>
            <w:tcW w:w="9445" w:type="dxa"/>
          </w:tcPr>
          <w:p w14:paraId="0FAFECF4" w14:textId="77777777" w:rsidR="00194AFB" w:rsidRPr="001B27C2" w:rsidRDefault="00194AFB" w:rsidP="00FF5F29">
            <w:pPr>
              <w:pStyle w:val="TableText"/>
              <w:ind w:right="120"/>
              <w:rPr>
                <w:i/>
                <w:iCs/>
              </w:rPr>
            </w:pPr>
            <w:r w:rsidRPr="001B27C2">
              <w:rPr>
                <w:i/>
                <w:iCs/>
              </w:rPr>
              <w:t>Transport Operations (Passenger Transport) Act 1994</w:t>
            </w:r>
          </w:p>
          <w:p w14:paraId="6B21FDA4" w14:textId="77777777" w:rsidR="00194AFB" w:rsidRPr="00180894" w:rsidRDefault="00194AFB" w:rsidP="00FF5F29">
            <w:pPr>
              <w:pStyle w:val="TableText"/>
              <w:ind w:right="120"/>
            </w:pPr>
            <w:r w:rsidRPr="00180894">
              <w:t xml:space="preserve"> Transport Operations (Passenger Transport) Regulation 2018</w:t>
            </w:r>
          </w:p>
          <w:p w14:paraId="120C74D7" w14:textId="77777777" w:rsidR="00194AFB" w:rsidRPr="00180894" w:rsidRDefault="00194AFB" w:rsidP="00FF5F29">
            <w:pPr>
              <w:pStyle w:val="TableText"/>
              <w:ind w:right="120"/>
            </w:pPr>
            <w:r w:rsidRPr="00180894">
              <w:t xml:space="preserve"> Transport Operations (Passenger Transport) Standard 2010</w:t>
            </w:r>
          </w:p>
        </w:tc>
      </w:tr>
      <w:tr w:rsidR="00194AFB" w:rsidRPr="002106C4" w14:paraId="2F7291FC" w14:textId="77777777" w:rsidTr="001A7D14">
        <w:tc>
          <w:tcPr>
            <w:tcW w:w="9445" w:type="dxa"/>
          </w:tcPr>
          <w:p w14:paraId="11D5355E" w14:textId="77777777" w:rsidR="00194AFB" w:rsidRPr="001B27C2" w:rsidRDefault="00194AFB" w:rsidP="00FF5F29">
            <w:pPr>
              <w:pStyle w:val="TableText"/>
              <w:ind w:right="120"/>
              <w:rPr>
                <w:i/>
                <w:iCs/>
              </w:rPr>
            </w:pPr>
            <w:r w:rsidRPr="001B27C2">
              <w:rPr>
                <w:i/>
                <w:iCs/>
              </w:rPr>
              <w:t>Transport Operations (Road Use Management) Act 1995</w:t>
            </w:r>
          </w:p>
          <w:p w14:paraId="3B6D1FE8" w14:textId="77777777" w:rsidR="00194AFB" w:rsidRPr="00180894" w:rsidRDefault="00194AFB" w:rsidP="00FF5F29">
            <w:pPr>
              <w:pStyle w:val="TableText"/>
              <w:ind w:right="120"/>
            </w:pPr>
            <w:r w:rsidRPr="00180894">
              <w:t xml:space="preserve"> Traffic Regulation 1962</w:t>
            </w:r>
          </w:p>
          <w:p w14:paraId="646DE012" w14:textId="77777777" w:rsidR="00194AFB" w:rsidRPr="00180894" w:rsidRDefault="00194AFB" w:rsidP="00FF5F29">
            <w:pPr>
              <w:pStyle w:val="TableText"/>
              <w:ind w:right="120"/>
            </w:pPr>
            <w:r w:rsidRPr="00180894">
              <w:t xml:space="preserve"> Transport Operations (Road Use Management – Accreditation and Other Provisions) Regulation 2015 </w:t>
            </w:r>
          </w:p>
          <w:p w14:paraId="6639F5BE" w14:textId="77777777" w:rsidR="00194AFB" w:rsidRPr="00180894" w:rsidRDefault="00194AFB" w:rsidP="00FF5F29">
            <w:pPr>
              <w:pStyle w:val="TableText"/>
              <w:ind w:right="120"/>
            </w:pPr>
            <w:r w:rsidRPr="00180894">
              <w:t xml:space="preserve"> Transport Operations (Road Use Management – Dangerous Goods) Regulation 2018 </w:t>
            </w:r>
          </w:p>
          <w:p w14:paraId="589566BE" w14:textId="77777777" w:rsidR="00194AFB" w:rsidRPr="00180894" w:rsidRDefault="00194AFB" w:rsidP="00FF5F29">
            <w:pPr>
              <w:pStyle w:val="TableText"/>
              <w:ind w:right="120"/>
            </w:pPr>
            <w:r w:rsidRPr="00180894">
              <w:t xml:space="preserve"> Transport Operations (Road Use Management – Driver Licencing) Regulation 2021</w:t>
            </w:r>
          </w:p>
          <w:p w14:paraId="7693765D" w14:textId="77777777" w:rsidR="00194AFB" w:rsidRPr="00180894" w:rsidRDefault="00194AFB" w:rsidP="00FF5F29">
            <w:pPr>
              <w:pStyle w:val="TableText"/>
              <w:ind w:right="120"/>
            </w:pPr>
            <w:r w:rsidRPr="00180894">
              <w:t xml:space="preserve"> Transport Operations (Road Use Management – Road Rules) Regulation 2009</w:t>
            </w:r>
          </w:p>
          <w:p w14:paraId="1230CAD8" w14:textId="77777777" w:rsidR="00194AFB" w:rsidRPr="00180894" w:rsidRDefault="00194AFB" w:rsidP="00FF5F29">
            <w:pPr>
              <w:pStyle w:val="TableText"/>
              <w:ind w:right="120"/>
            </w:pPr>
            <w:r w:rsidRPr="00180894">
              <w:t xml:space="preserve"> Transport Operations (Road Use Management – Vehicle Registration) Regulation 2021</w:t>
            </w:r>
          </w:p>
          <w:p w14:paraId="74E27A16" w14:textId="77777777" w:rsidR="00194AFB" w:rsidRPr="00180894" w:rsidRDefault="00194AFB" w:rsidP="00FF5F29">
            <w:pPr>
              <w:pStyle w:val="TableText"/>
              <w:ind w:right="120"/>
            </w:pPr>
            <w:r w:rsidRPr="00180894">
              <w:t xml:space="preserve"> Transport Operations (Road Use Management – Vehicle Standards and Safety) Regulation 2021</w:t>
            </w:r>
          </w:p>
        </w:tc>
      </w:tr>
      <w:tr w:rsidR="00194AFB" w:rsidRPr="002106C4" w14:paraId="70A05186" w14:textId="77777777" w:rsidTr="001A7D14">
        <w:tc>
          <w:tcPr>
            <w:tcW w:w="9445" w:type="dxa"/>
          </w:tcPr>
          <w:p w14:paraId="59572AEA" w14:textId="77777777" w:rsidR="00194AFB" w:rsidRPr="001B27C2" w:rsidRDefault="00194AFB" w:rsidP="00FF5F29">
            <w:pPr>
              <w:pStyle w:val="TableText"/>
              <w:ind w:right="120"/>
              <w:rPr>
                <w:i/>
                <w:iCs/>
              </w:rPr>
            </w:pPr>
            <w:r w:rsidRPr="001B27C2">
              <w:rPr>
                <w:i/>
                <w:iCs/>
              </w:rPr>
              <w:t>Transport Planning and Coordination Act 1994</w:t>
            </w:r>
          </w:p>
          <w:p w14:paraId="00163FF5" w14:textId="77777777" w:rsidR="00194AFB" w:rsidRPr="00180894" w:rsidRDefault="00194AFB" w:rsidP="00FF5F29">
            <w:pPr>
              <w:pStyle w:val="TableText"/>
              <w:ind w:right="120"/>
            </w:pPr>
            <w:r w:rsidRPr="00180894">
              <w:t xml:space="preserve"> Transport Planning and Coordination Regulation 2017</w:t>
            </w:r>
          </w:p>
        </w:tc>
      </w:tr>
      <w:tr w:rsidR="00194AFB" w:rsidRPr="002106C4" w14:paraId="15849555" w14:textId="77777777" w:rsidTr="001A7D14">
        <w:tc>
          <w:tcPr>
            <w:tcW w:w="9445" w:type="dxa"/>
          </w:tcPr>
          <w:p w14:paraId="5164725F" w14:textId="77777777" w:rsidR="00194AFB" w:rsidRPr="001B27C2" w:rsidRDefault="00194AFB" w:rsidP="00FF5F29">
            <w:pPr>
              <w:pStyle w:val="TableText"/>
              <w:ind w:right="120"/>
              <w:rPr>
                <w:i/>
                <w:iCs/>
              </w:rPr>
            </w:pPr>
            <w:r w:rsidRPr="001B27C2">
              <w:rPr>
                <w:i/>
                <w:iCs/>
              </w:rPr>
              <w:t>Transport (South Bank Corporation Area Land) Act 1999</w:t>
            </w:r>
          </w:p>
        </w:tc>
      </w:tr>
      <w:tr w:rsidR="00194AFB" w:rsidRPr="002106C4" w14:paraId="2FC996ED" w14:textId="77777777" w:rsidTr="001A7D14">
        <w:tc>
          <w:tcPr>
            <w:tcW w:w="9445" w:type="dxa"/>
          </w:tcPr>
          <w:p w14:paraId="1A61AA29" w14:textId="77777777" w:rsidR="00194AFB" w:rsidRPr="001B27C2" w:rsidRDefault="00194AFB" w:rsidP="00FF5F29">
            <w:pPr>
              <w:pStyle w:val="TableText"/>
              <w:ind w:right="120"/>
              <w:rPr>
                <w:i/>
                <w:iCs/>
              </w:rPr>
            </w:pPr>
            <w:r w:rsidRPr="001B27C2">
              <w:rPr>
                <w:i/>
                <w:iCs/>
              </w:rPr>
              <w:t>Transport Security (Counter-Terrorism) Act 2008</w:t>
            </w:r>
          </w:p>
        </w:tc>
      </w:tr>
    </w:tbl>
    <w:p w14:paraId="63AFC621" w14:textId="77777777" w:rsidR="00194AFB" w:rsidRPr="00B52BF2" w:rsidRDefault="00194AFB" w:rsidP="00FF5F29">
      <w:pPr>
        <w:pStyle w:val="BodyText"/>
        <w:ind w:right="120"/>
      </w:pPr>
    </w:p>
    <w:p w14:paraId="0780E1E1" w14:textId="77777777" w:rsidR="00194AFB" w:rsidRPr="00194AFB" w:rsidRDefault="00194AFB" w:rsidP="00FF5F29">
      <w:pPr>
        <w:ind w:right="120"/>
      </w:pPr>
    </w:p>
    <w:sectPr w:rsidR="00194AFB" w:rsidRPr="00194AFB" w:rsidSect="00961C30">
      <w:headerReference w:type="default" r:id="rId29"/>
      <w:footerReference w:type="default" r:id="rId30"/>
      <w:pgSz w:w="11906" w:h="16838" w:code="9"/>
      <w:pgMar w:top="1418" w:right="1274" w:bottom="1440" w:left="1440" w:header="454" w:footer="7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9632" w14:textId="77777777" w:rsidR="003D1D5A" w:rsidRDefault="003D1D5A" w:rsidP="00A9280E">
      <w:pPr>
        <w:spacing w:line="240" w:lineRule="auto"/>
      </w:pPr>
      <w:r>
        <w:separator/>
      </w:r>
    </w:p>
  </w:endnote>
  <w:endnote w:type="continuationSeparator" w:id="0">
    <w:p w14:paraId="14236414" w14:textId="77777777" w:rsidR="003D1D5A" w:rsidRDefault="003D1D5A" w:rsidP="00A9280E">
      <w:pPr>
        <w:spacing w:line="240" w:lineRule="auto"/>
      </w:pPr>
      <w:r>
        <w:continuationSeparator/>
      </w:r>
    </w:p>
  </w:endnote>
  <w:endnote w:type="continuationNotice" w:id="1">
    <w:p w14:paraId="523F692D" w14:textId="77777777" w:rsidR="003D1D5A" w:rsidRDefault="003D1D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Pro-CondNor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D822" w14:textId="32452E82" w:rsidR="00E55EFC" w:rsidRPr="00E60253" w:rsidRDefault="00E55EFC" w:rsidP="00E60253">
    <w:pPr>
      <w:pStyle w:val="Footer"/>
      <w:tabs>
        <w:tab w:val="clear" w:pos="4536"/>
      </w:tabs>
      <w:jc w:val="right"/>
    </w:pPr>
    <w:r w:rsidRPr="00E55EFC">
      <w:rPr>
        <w:sz w:val="18"/>
        <w:szCs w:val="16"/>
      </w:rPr>
      <w:t>Regulator Performance Framework Report 2023-24</w:t>
    </w:r>
    <w:r w:rsidR="00E60253">
      <w:rPr>
        <w:sz w:val="18"/>
        <w:szCs w:val="16"/>
      </w:rPr>
      <w:tab/>
    </w:r>
    <w:sdt>
      <w:sdtPr>
        <w:id w:val="-444307289"/>
        <w:docPartObj>
          <w:docPartGallery w:val="Page Numbers (Bottom of Page)"/>
          <w:docPartUnique/>
        </w:docPartObj>
      </w:sdtPr>
      <w:sdtEndPr>
        <w:rPr>
          <w:noProof/>
          <w:sz w:val="18"/>
          <w:szCs w:val="28"/>
        </w:rPr>
      </w:sdtEndPr>
      <w:sdtContent>
        <w:r w:rsidR="00E60253">
          <w:fldChar w:fldCharType="begin"/>
        </w:r>
        <w:r w:rsidR="00E60253">
          <w:instrText xml:space="preserve"> PAGE   \* MERGEFORMAT </w:instrText>
        </w:r>
        <w:r w:rsidR="00E60253">
          <w:fldChar w:fldCharType="separate"/>
        </w:r>
        <w:r w:rsidR="00E60253">
          <w:t>- 2 -</w:t>
        </w:r>
        <w:r w:rsidR="00E60253">
          <w:rPr>
            <w:noProof/>
          </w:rPr>
          <w:fldChar w:fldCharType="end"/>
        </w:r>
      </w:sdtContent>
    </w:sdt>
  </w:p>
  <w:p w14:paraId="5EE234C0" w14:textId="000BB636" w:rsidR="00DC31F0" w:rsidRDefault="00DC31F0" w:rsidP="00BF6F0B">
    <w:pPr>
      <w:pStyle w:val="Footer"/>
      <w:tabs>
        <w:tab w:val="clear" w:pos="9072"/>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A63D" w14:textId="77777777" w:rsidR="003D1D5A" w:rsidRDefault="003D1D5A" w:rsidP="00A9280E">
      <w:pPr>
        <w:spacing w:line="240" w:lineRule="auto"/>
      </w:pPr>
      <w:r>
        <w:separator/>
      </w:r>
    </w:p>
  </w:footnote>
  <w:footnote w:type="continuationSeparator" w:id="0">
    <w:p w14:paraId="5779B53A" w14:textId="77777777" w:rsidR="003D1D5A" w:rsidRDefault="003D1D5A" w:rsidP="00A9280E">
      <w:pPr>
        <w:spacing w:line="240" w:lineRule="auto"/>
      </w:pPr>
      <w:r>
        <w:continuationSeparator/>
      </w:r>
    </w:p>
  </w:footnote>
  <w:footnote w:type="continuationNotice" w:id="1">
    <w:p w14:paraId="3C9FEDEC" w14:textId="77777777" w:rsidR="003D1D5A" w:rsidRDefault="003D1D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171" w14:textId="461B5F27" w:rsidR="002B5E6D" w:rsidRPr="002B5E6D" w:rsidRDefault="002B5E6D">
    <w:pPr>
      <w:pStyle w:val="Header"/>
      <w:rPr>
        <w:sz w:val="20"/>
        <w:szCs w:val="32"/>
      </w:rPr>
    </w:pPr>
    <w:r w:rsidRPr="002B5E6D">
      <w:rPr>
        <w:sz w:val="20"/>
        <w:szCs w:val="32"/>
      </w:rPr>
      <w:t xml:space="preserve">Regulator Performance Framework </w:t>
    </w:r>
    <w:r>
      <w:rPr>
        <w:sz w:val="20"/>
        <w:szCs w:val="32"/>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5EEA750"/>
    <w:lvl w:ilvl="0">
      <w:start w:val="1"/>
      <w:numFmt w:val="decimal"/>
      <w:lvlText w:val="%1."/>
      <w:lvlJc w:val="left"/>
      <w:pPr>
        <w:tabs>
          <w:tab w:val="num" w:pos="360"/>
        </w:tabs>
        <w:ind w:left="360" w:hanging="360"/>
      </w:p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13C522DD"/>
    <w:multiLevelType w:val="hybridMultilevel"/>
    <w:tmpl w:val="5042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066FC3"/>
    <w:multiLevelType w:val="hybridMultilevel"/>
    <w:tmpl w:val="B3F6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386AE6"/>
    <w:multiLevelType w:val="hybridMultilevel"/>
    <w:tmpl w:val="AB94E9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7A3288"/>
    <w:multiLevelType w:val="hybridMultilevel"/>
    <w:tmpl w:val="1FA2EBF0"/>
    <w:lvl w:ilvl="0" w:tplc="C9C89A2E">
      <w:numFmt w:val="bullet"/>
      <w:lvlText w:val=""/>
      <w:lvlJc w:val="left"/>
      <w:pPr>
        <w:ind w:left="1052" w:hanging="360"/>
      </w:pPr>
      <w:rPr>
        <w:rFonts w:ascii="Symbol" w:eastAsia="Symbol" w:hAnsi="Symbol" w:cs="Symbol" w:hint="default"/>
        <w:b w:val="0"/>
        <w:bCs w:val="0"/>
        <w:i w:val="0"/>
        <w:iCs w:val="0"/>
        <w:spacing w:val="0"/>
        <w:w w:val="100"/>
        <w:sz w:val="24"/>
        <w:szCs w:val="24"/>
        <w:lang w:val="en-US" w:eastAsia="en-US" w:bidi="ar-SA"/>
      </w:rPr>
    </w:lvl>
    <w:lvl w:ilvl="1" w:tplc="6BC8382C">
      <w:numFmt w:val="bullet"/>
      <w:lvlText w:val="•"/>
      <w:lvlJc w:val="left"/>
      <w:pPr>
        <w:ind w:left="1998" w:hanging="360"/>
      </w:pPr>
      <w:rPr>
        <w:rFonts w:hint="default"/>
        <w:lang w:val="en-US" w:eastAsia="en-US" w:bidi="ar-SA"/>
      </w:rPr>
    </w:lvl>
    <w:lvl w:ilvl="2" w:tplc="49583904">
      <w:numFmt w:val="bullet"/>
      <w:lvlText w:val="•"/>
      <w:lvlJc w:val="left"/>
      <w:pPr>
        <w:ind w:left="2937" w:hanging="360"/>
      </w:pPr>
      <w:rPr>
        <w:rFonts w:hint="default"/>
        <w:lang w:val="en-US" w:eastAsia="en-US" w:bidi="ar-SA"/>
      </w:rPr>
    </w:lvl>
    <w:lvl w:ilvl="3" w:tplc="E008497C">
      <w:numFmt w:val="bullet"/>
      <w:lvlText w:val="•"/>
      <w:lvlJc w:val="left"/>
      <w:pPr>
        <w:ind w:left="3875" w:hanging="360"/>
      </w:pPr>
      <w:rPr>
        <w:rFonts w:hint="default"/>
        <w:lang w:val="en-US" w:eastAsia="en-US" w:bidi="ar-SA"/>
      </w:rPr>
    </w:lvl>
    <w:lvl w:ilvl="4" w:tplc="79D8C782">
      <w:numFmt w:val="bullet"/>
      <w:lvlText w:val="•"/>
      <w:lvlJc w:val="left"/>
      <w:pPr>
        <w:ind w:left="4814" w:hanging="360"/>
      </w:pPr>
      <w:rPr>
        <w:rFonts w:hint="default"/>
        <w:lang w:val="en-US" w:eastAsia="en-US" w:bidi="ar-SA"/>
      </w:rPr>
    </w:lvl>
    <w:lvl w:ilvl="5" w:tplc="75BAD544">
      <w:numFmt w:val="bullet"/>
      <w:lvlText w:val="•"/>
      <w:lvlJc w:val="left"/>
      <w:pPr>
        <w:ind w:left="5753" w:hanging="360"/>
      </w:pPr>
      <w:rPr>
        <w:rFonts w:hint="default"/>
        <w:lang w:val="en-US" w:eastAsia="en-US" w:bidi="ar-SA"/>
      </w:rPr>
    </w:lvl>
    <w:lvl w:ilvl="6" w:tplc="4B427468">
      <w:numFmt w:val="bullet"/>
      <w:lvlText w:val="•"/>
      <w:lvlJc w:val="left"/>
      <w:pPr>
        <w:ind w:left="6691" w:hanging="360"/>
      </w:pPr>
      <w:rPr>
        <w:rFonts w:hint="default"/>
        <w:lang w:val="en-US" w:eastAsia="en-US" w:bidi="ar-SA"/>
      </w:rPr>
    </w:lvl>
    <w:lvl w:ilvl="7" w:tplc="34FE5C5C">
      <w:numFmt w:val="bullet"/>
      <w:lvlText w:val="•"/>
      <w:lvlJc w:val="left"/>
      <w:pPr>
        <w:ind w:left="7630" w:hanging="360"/>
      </w:pPr>
      <w:rPr>
        <w:rFonts w:hint="default"/>
        <w:lang w:val="en-US" w:eastAsia="en-US" w:bidi="ar-SA"/>
      </w:rPr>
    </w:lvl>
    <w:lvl w:ilvl="8" w:tplc="984E964A">
      <w:numFmt w:val="bullet"/>
      <w:lvlText w:val="•"/>
      <w:lvlJc w:val="left"/>
      <w:pPr>
        <w:ind w:left="8569" w:hanging="360"/>
      </w:pPr>
      <w:rPr>
        <w:rFonts w:hint="default"/>
        <w:lang w:val="en-US" w:eastAsia="en-US" w:bidi="ar-SA"/>
      </w:rPr>
    </w:lvl>
  </w:abstractNum>
  <w:abstractNum w:abstractNumId="6" w15:restartNumberingAfterBreak="0">
    <w:nsid w:val="35483E58"/>
    <w:multiLevelType w:val="hybridMultilevel"/>
    <w:tmpl w:val="7FD0D976"/>
    <w:lvl w:ilvl="0" w:tplc="22A698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E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071E3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E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071E3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4ACC403D"/>
    <w:multiLevelType w:val="hybridMultilevel"/>
    <w:tmpl w:val="51AA4028"/>
    <w:lvl w:ilvl="0" w:tplc="A1CA65D0">
      <w:numFmt w:val="bullet"/>
      <w:lvlText w:val=""/>
      <w:lvlJc w:val="left"/>
      <w:pPr>
        <w:ind w:left="899" w:hanging="567"/>
      </w:pPr>
      <w:rPr>
        <w:rFonts w:ascii="Symbol" w:eastAsia="Symbol" w:hAnsi="Symbol" w:cs="Symbol" w:hint="default"/>
        <w:b w:val="0"/>
        <w:bCs w:val="0"/>
        <w:i w:val="0"/>
        <w:iCs w:val="0"/>
        <w:spacing w:val="0"/>
        <w:w w:val="100"/>
        <w:sz w:val="24"/>
        <w:szCs w:val="24"/>
        <w:lang w:val="en-US" w:eastAsia="en-US" w:bidi="ar-SA"/>
      </w:rPr>
    </w:lvl>
    <w:lvl w:ilvl="1" w:tplc="57BE9EEC">
      <w:numFmt w:val="bullet"/>
      <w:lvlText w:val="•"/>
      <w:lvlJc w:val="left"/>
      <w:pPr>
        <w:ind w:left="1854" w:hanging="567"/>
      </w:pPr>
      <w:rPr>
        <w:rFonts w:hint="default"/>
        <w:lang w:val="en-US" w:eastAsia="en-US" w:bidi="ar-SA"/>
      </w:rPr>
    </w:lvl>
    <w:lvl w:ilvl="2" w:tplc="564054AC">
      <w:numFmt w:val="bullet"/>
      <w:lvlText w:val="•"/>
      <w:lvlJc w:val="left"/>
      <w:pPr>
        <w:ind w:left="2809" w:hanging="567"/>
      </w:pPr>
      <w:rPr>
        <w:rFonts w:hint="default"/>
        <w:lang w:val="en-US" w:eastAsia="en-US" w:bidi="ar-SA"/>
      </w:rPr>
    </w:lvl>
    <w:lvl w:ilvl="3" w:tplc="B3960DDC">
      <w:numFmt w:val="bullet"/>
      <w:lvlText w:val="•"/>
      <w:lvlJc w:val="left"/>
      <w:pPr>
        <w:ind w:left="3763" w:hanging="567"/>
      </w:pPr>
      <w:rPr>
        <w:rFonts w:hint="default"/>
        <w:lang w:val="en-US" w:eastAsia="en-US" w:bidi="ar-SA"/>
      </w:rPr>
    </w:lvl>
    <w:lvl w:ilvl="4" w:tplc="16F40F1A">
      <w:numFmt w:val="bullet"/>
      <w:lvlText w:val="•"/>
      <w:lvlJc w:val="left"/>
      <w:pPr>
        <w:ind w:left="4718" w:hanging="567"/>
      </w:pPr>
      <w:rPr>
        <w:rFonts w:hint="default"/>
        <w:lang w:val="en-US" w:eastAsia="en-US" w:bidi="ar-SA"/>
      </w:rPr>
    </w:lvl>
    <w:lvl w:ilvl="5" w:tplc="D818BE7C">
      <w:numFmt w:val="bullet"/>
      <w:lvlText w:val="•"/>
      <w:lvlJc w:val="left"/>
      <w:pPr>
        <w:ind w:left="5673" w:hanging="567"/>
      </w:pPr>
      <w:rPr>
        <w:rFonts w:hint="default"/>
        <w:lang w:val="en-US" w:eastAsia="en-US" w:bidi="ar-SA"/>
      </w:rPr>
    </w:lvl>
    <w:lvl w:ilvl="6" w:tplc="297277F4">
      <w:numFmt w:val="bullet"/>
      <w:lvlText w:val="•"/>
      <w:lvlJc w:val="left"/>
      <w:pPr>
        <w:ind w:left="6627" w:hanging="567"/>
      </w:pPr>
      <w:rPr>
        <w:rFonts w:hint="default"/>
        <w:lang w:val="en-US" w:eastAsia="en-US" w:bidi="ar-SA"/>
      </w:rPr>
    </w:lvl>
    <w:lvl w:ilvl="7" w:tplc="65FCF5F2">
      <w:numFmt w:val="bullet"/>
      <w:lvlText w:val="•"/>
      <w:lvlJc w:val="left"/>
      <w:pPr>
        <w:ind w:left="7582" w:hanging="567"/>
      </w:pPr>
      <w:rPr>
        <w:rFonts w:hint="default"/>
        <w:lang w:val="en-US" w:eastAsia="en-US" w:bidi="ar-SA"/>
      </w:rPr>
    </w:lvl>
    <w:lvl w:ilvl="8" w:tplc="0E8A48F8">
      <w:numFmt w:val="bullet"/>
      <w:lvlText w:val="•"/>
      <w:lvlJc w:val="left"/>
      <w:pPr>
        <w:ind w:left="8537" w:hanging="567"/>
      </w:pPr>
      <w:rPr>
        <w:rFonts w:hint="default"/>
        <w:lang w:val="en-US" w:eastAsia="en-US" w:bidi="ar-SA"/>
      </w:rPr>
    </w:lvl>
  </w:abstractNum>
  <w:abstractNum w:abstractNumId="9" w15:restartNumberingAfterBreak="0">
    <w:nsid w:val="614554CA"/>
    <w:multiLevelType w:val="hybridMultilevel"/>
    <w:tmpl w:val="60A295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1" w15:restartNumberingAfterBreak="0">
    <w:nsid w:val="63FC7BBD"/>
    <w:multiLevelType w:val="hybridMultilevel"/>
    <w:tmpl w:val="B4B89DC8"/>
    <w:lvl w:ilvl="0" w:tplc="9AD42D16">
      <w:numFmt w:val="bullet"/>
      <w:lvlText w:val=""/>
      <w:lvlJc w:val="left"/>
      <w:pPr>
        <w:ind w:left="899" w:hanging="567"/>
      </w:pPr>
      <w:rPr>
        <w:rFonts w:ascii="Symbol" w:eastAsia="Symbol" w:hAnsi="Symbol" w:cs="Symbol" w:hint="default"/>
        <w:b w:val="0"/>
        <w:bCs w:val="0"/>
        <w:i w:val="0"/>
        <w:iCs w:val="0"/>
        <w:spacing w:val="0"/>
        <w:w w:val="100"/>
        <w:sz w:val="24"/>
        <w:szCs w:val="24"/>
        <w:lang w:val="en-US" w:eastAsia="en-US" w:bidi="ar-SA"/>
      </w:rPr>
    </w:lvl>
    <w:lvl w:ilvl="1" w:tplc="FDC86EAA">
      <w:numFmt w:val="bullet"/>
      <w:lvlText w:val="•"/>
      <w:lvlJc w:val="left"/>
      <w:pPr>
        <w:ind w:left="1854" w:hanging="567"/>
      </w:pPr>
      <w:rPr>
        <w:rFonts w:hint="default"/>
        <w:lang w:val="en-US" w:eastAsia="en-US" w:bidi="ar-SA"/>
      </w:rPr>
    </w:lvl>
    <w:lvl w:ilvl="2" w:tplc="D4EE3798">
      <w:numFmt w:val="bullet"/>
      <w:lvlText w:val="•"/>
      <w:lvlJc w:val="left"/>
      <w:pPr>
        <w:ind w:left="2809" w:hanging="567"/>
      </w:pPr>
      <w:rPr>
        <w:rFonts w:hint="default"/>
        <w:lang w:val="en-US" w:eastAsia="en-US" w:bidi="ar-SA"/>
      </w:rPr>
    </w:lvl>
    <w:lvl w:ilvl="3" w:tplc="2822EC3C">
      <w:numFmt w:val="bullet"/>
      <w:lvlText w:val="•"/>
      <w:lvlJc w:val="left"/>
      <w:pPr>
        <w:ind w:left="3763" w:hanging="567"/>
      </w:pPr>
      <w:rPr>
        <w:rFonts w:hint="default"/>
        <w:lang w:val="en-US" w:eastAsia="en-US" w:bidi="ar-SA"/>
      </w:rPr>
    </w:lvl>
    <w:lvl w:ilvl="4" w:tplc="7890A2BE">
      <w:numFmt w:val="bullet"/>
      <w:lvlText w:val="•"/>
      <w:lvlJc w:val="left"/>
      <w:pPr>
        <w:ind w:left="4718" w:hanging="567"/>
      </w:pPr>
      <w:rPr>
        <w:rFonts w:hint="default"/>
        <w:lang w:val="en-US" w:eastAsia="en-US" w:bidi="ar-SA"/>
      </w:rPr>
    </w:lvl>
    <w:lvl w:ilvl="5" w:tplc="C8CA89EA">
      <w:numFmt w:val="bullet"/>
      <w:lvlText w:val="•"/>
      <w:lvlJc w:val="left"/>
      <w:pPr>
        <w:ind w:left="5673" w:hanging="567"/>
      </w:pPr>
      <w:rPr>
        <w:rFonts w:hint="default"/>
        <w:lang w:val="en-US" w:eastAsia="en-US" w:bidi="ar-SA"/>
      </w:rPr>
    </w:lvl>
    <w:lvl w:ilvl="6" w:tplc="4950DB8E">
      <w:numFmt w:val="bullet"/>
      <w:lvlText w:val="•"/>
      <w:lvlJc w:val="left"/>
      <w:pPr>
        <w:ind w:left="6627" w:hanging="567"/>
      </w:pPr>
      <w:rPr>
        <w:rFonts w:hint="default"/>
        <w:lang w:val="en-US" w:eastAsia="en-US" w:bidi="ar-SA"/>
      </w:rPr>
    </w:lvl>
    <w:lvl w:ilvl="7" w:tplc="9280D5B0">
      <w:numFmt w:val="bullet"/>
      <w:lvlText w:val="•"/>
      <w:lvlJc w:val="left"/>
      <w:pPr>
        <w:ind w:left="7582" w:hanging="567"/>
      </w:pPr>
      <w:rPr>
        <w:rFonts w:hint="default"/>
        <w:lang w:val="en-US" w:eastAsia="en-US" w:bidi="ar-SA"/>
      </w:rPr>
    </w:lvl>
    <w:lvl w:ilvl="8" w:tplc="6F9A07E0">
      <w:numFmt w:val="bullet"/>
      <w:lvlText w:val="•"/>
      <w:lvlJc w:val="left"/>
      <w:pPr>
        <w:ind w:left="8537" w:hanging="567"/>
      </w:pPr>
      <w:rPr>
        <w:rFonts w:hint="default"/>
        <w:lang w:val="en-US" w:eastAsia="en-US" w:bidi="ar-SA"/>
      </w:rPr>
    </w:lvl>
  </w:abstractNum>
  <w:abstractNum w:abstractNumId="12" w15:restartNumberingAfterBreak="0">
    <w:nsid w:val="64C0592C"/>
    <w:multiLevelType w:val="hybridMultilevel"/>
    <w:tmpl w:val="9AD09E36"/>
    <w:lvl w:ilvl="0" w:tplc="7CF64E50">
      <w:numFmt w:val="bullet"/>
      <w:lvlText w:val=""/>
      <w:lvlJc w:val="left"/>
      <w:pPr>
        <w:ind w:left="899" w:hanging="567"/>
      </w:pPr>
      <w:rPr>
        <w:rFonts w:ascii="Symbol" w:eastAsia="Symbol" w:hAnsi="Symbol" w:cs="Symbol" w:hint="default"/>
        <w:b w:val="0"/>
        <w:bCs w:val="0"/>
        <w:i w:val="0"/>
        <w:iCs w:val="0"/>
        <w:spacing w:val="0"/>
        <w:w w:val="100"/>
        <w:sz w:val="24"/>
        <w:szCs w:val="24"/>
        <w:lang w:val="en-US" w:eastAsia="en-US" w:bidi="ar-SA"/>
      </w:rPr>
    </w:lvl>
    <w:lvl w:ilvl="1" w:tplc="D2129E68">
      <w:numFmt w:val="bullet"/>
      <w:lvlText w:val=""/>
      <w:lvlJc w:val="left"/>
      <w:pPr>
        <w:ind w:left="1052" w:hanging="360"/>
      </w:pPr>
      <w:rPr>
        <w:rFonts w:ascii="Symbol" w:eastAsia="Symbol" w:hAnsi="Symbol" w:cs="Symbol" w:hint="default"/>
        <w:b w:val="0"/>
        <w:bCs w:val="0"/>
        <w:i w:val="0"/>
        <w:iCs w:val="0"/>
        <w:spacing w:val="0"/>
        <w:w w:val="100"/>
        <w:sz w:val="24"/>
        <w:szCs w:val="24"/>
        <w:lang w:val="en-US" w:eastAsia="en-US" w:bidi="ar-SA"/>
      </w:rPr>
    </w:lvl>
    <w:lvl w:ilvl="2" w:tplc="978C67BE">
      <w:numFmt w:val="bullet"/>
      <w:lvlText w:val="•"/>
      <w:lvlJc w:val="left"/>
      <w:pPr>
        <w:ind w:left="2102" w:hanging="360"/>
      </w:pPr>
      <w:rPr>
        <w:rFonts w:hint="default"/>
        <w:lang w:val="en-US" w:eastAsia="en-US" w:bidi="ar-SA"/>
      </w:rPr>
    </w:lvl>
    <w:lvl w:ilvl="3" w:tplc="6A605978">
      <w:numFmt w:val="bullet"/>
      <w:lvlText w:val="•"/>
      <w:lvlJc w:val="left"/>
      <w:pPr>
        <w:ind w:left="3145" w:hanging="360"/>
      </w:pPr>
      <w:rPr>
        <w:rFonts w:hint="default"/>
        <w:lang w:val="en-US" w:eastAsia="en-US" w:bidi="ar-SA"/>
      </w:rPr>
    </w:lvl>
    <w:lvl w:ilvl="4" w:tplc="A600F130">
      <w:numFmt w:val="bullet"/>
      <w:lvlText w:val="•"/>
      <w:lvlJc w:val="left"/>
      <w:pPr>
        <w:ind w:left="4188" w:hanging="360"/>
      </w:pPr>
      <w:rPr>
        <w:rFonts w:hint="default"/>
        <w:lang w:val="en-US" w:eastAsia="en-US" w:bidi="ar-SA"/>
      </w:rPr>
    </w:lvl>
    <w:lvl w:ilvl="5" w:tplc="655CD70C">
      <w:numFmt w:val="bullet"/>
      <w:lvlText w:val="•"/>
      <w:lvlJc w:val="left"/>
      <w:pPr>
        <w:ind w:left="5231" w:hanging="360"/>
      </w:pPr>
      <w:rPr>
        <w:rFonts w:hint="default"/>
        <w:lang w:val="en-US" w:eastAsia="en-US" w:bidi="ar-SA"/>
      </w:rPr>
    </w:lvl>
    <w:lvl w:ilvl="6" w:tplc="A582D5AE">
      <w:numFmt w:val="bullet"/>
      <w:lvlText w:val="•"/>
      <w:lvlJc w:val="left"/>
      <w:pPr>
        <w:ind w:left="6274" w:hanging="360"/>
      </w:pPr>
      <w:rPr>
        <w:rFonts w:hint="default"/>
        <w:lang w:val="en-US" w:eastAsia="en-US" w:bidi="ar-SA"/>
      </w:rPr>
    </w:lvl>
    <w:lvl w:ilvl="7" w:tplc="251E4362">
      <w:numFmt w:val="bullet"/>
      <w:lvlText w:val="•"/>
      <w:lvlJc w:val="left"/>
      <w:pPr>
        <w:ind w:left="7317" w:hanging="360"/>
      </w:pPr>
      <w:rPr>
        <w:rFonts w:hint="default"/>
        <w:lang w:val="en-US" w:eastAsia="en-US" w:bidi="ar-SA"/>
      </w:rPr>
    </w:lvl>
    <w:lvl w:ilvl="8" w:tplc="95765E04">
      <w:numFmt w:val="bullet"/>
      <w:lvlText w:val="•"/>
      <w:lvlJc w:val="left"/>
      <w:pPr>
        <w:ind w:left="8360" w:hanging="360"/>
      </w:pPr>
      <w:rPr>
        <w:rFonts w:hint="default"/>
        <w:lang w:val="en-US" w:eastAsia="en-US" w:bidi="ar-SA"/>
      </w:rPr>
    </w:lvl>
  </w:abstractNum>
  <w:abstractNum w:abstractNumId="13"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4" w15:restartNumberingAfterBreak="0">
    <w:nsid w:val="7E61285D"/>
    <w:multiLevelType w:val="singleLevel"/>
    <w:tmpl w:val="5BC29636"/>
    <w:name w:val="Bullet List 1"/>
    <w:lvl w:ilvl="0">
      <w:start w:val="1"/>
      <w:numFmt w:val="bullet"/>
      <w:lvlRestart w:val="0"/>
      <w:pStyle w:val="ListBullet"/>
      <w:lvlText w:val=""/>
      <w:lvlJc w:val="left"/>
      <w:pPr>
        <w:tabs>
          <w:tab w:val="num" w:pos="567"/>
        </w:tabs>
        <w:ind w:left="567" w:hanging="567"/>
      </w:pPr>
      <w:rPr>
        <w:rFonts w:ascii="Symbol" w:hAnsi="Symbol" w:hint="default"/>
        <w:color w:val="auto"/>
      </w:rPr>
    </w:lvl>
  </w:abstractNum>
  <w:abstractNum w:abstractNumId="15"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1647934016">
    <w:abstractNumId w:val="10"/>
  </w:num>
  <w:num w:numId="2" w16cid:durableId="2014918122">
    <w:abstractNumId w:val="14"/>
  </w:num>
  <w:num w:numId="3" w16cid:durableId="513375113">
    <w:abstractNumId w:val="15"/>
  </w:num>
  <w:num w:numId="4" w16cid:durableId="705443730">
    <w:abstractNumId w:val="13"/>
  </w:num>
  <w:num w:numId="5" w16cid:durableId="1387948988">
    <w:abstractNumId w:val="1"/>
  </w:num>
  <w:num w:numId="6" w16cid:durableId="1982616952">
    <w:abstractNumId w:val="7"/>
  </w:num>
  <w:num w:numId="7" w16cid:durableId="1975988381">
    <w:abstractNumId w:val="11"/>
  </w:num>
  <w:num w:numId="8" w16cid:durableId="706299598">
    <w:abstractNumId w:val="5"/>
  </w:num>
  <w:num w:numId="9" w16cid:durableId="1100419444">
    <w:abstractNumId w:val="8"/>
  </w:num>
  <w:num w:numId="10" w16cid:durableId="21322242">
    <w:abstractNumId w:val="12"/>
  </w:num>
  <w:num w:numId="11" w16cid:durableId="1218391276">
    <w:abstractNumId w:val="2"/>
  </w:num>
  <w:num w:numId="12" w16cid:durableId="1033728793">
    <w:abstractNumId w:val="9"/>
  </w:num>
  <w:num w:numId="13" w16cid:durableId="1677154494">
    <w:abstractNumId w:val="0"/>
  </w:num>
  <w:num w:numId="14" w16cid:durableId="555316992">
    <w:abstractNumId w:val="6"/>
  </w:num>
  <w:num w:numId="15" w16cid:durableId="210650146">
    <w:abstractNumId w:val="3"/>
  </w:num>
  <w:num w:numId="16" w16cid:durableId="900409083">
    <w:abstractNumId w:val="4"/>
  </w:num>
  <w:num w:numId="17" w16cid:durableId="2094278520">
    <w:abstractNumId w:val="14"/>
  </w:num>
  <w:num w:numId="18" w16cid:durableId="1742751517">
    <w:abstractNumId w:val="14"/>
  </w:num>
  <w:num w:numId="19" w16cid:durableId="16420786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F4"/>
    <w:rsid w:val="0000000A"/>
    <w:rsid w:val="00004E70"/>
    <w:rsid w:val="00012835"/>
    <w:rsid w:val="00012CAD"/>
    <w:rsid w:val="0001356D"/>
    <w:rsid w:val="00015B44"/>
    <w:rsid w:val="00024C73"/>
    <w:rsid w:val="00024EAF"/>
    <w:rsid w:val="00031D70"/>
    <w:rsid w:val="000336A3"/>
    <w:rsid w:val="0003417E"/>
    <w:rsid w:val="00034D2C"/>
    <w:rsid w:val="00034D4D"/>
    <w:rsid w:val="000356FE"/>
    <w:rsid w:val="00040D81"/>
    <w:rsid w:val="00042EB5"/>
    <w:rsid w:val="00047AEE"/>
    <w:rsid w:val="000507D0"/>
    <w:rsid w:val="0005692C"/>
    <w:rsid w:val="0005765C"/>
    <w:rsid w:val="00063EC5"/>
    <w:rsid w:val="00067CCE"/>
    <w:rsid w:val="00070C21"/>
    <w:rsid w:val="00071761"/>
    <w:rsid w:val="00073B95"/>
    <w:rsid w:val="000863BC"/>
    <w:rsid w:val="000869DF"/>
    <w:rsid w:val="000919D4"/>
    <w:rsid w:val="00093FF8"/>
    <w:rsid w:val="000A1772"/>
    <w:rsid w:val="000A21FE"/>
    <w:rsid w:val="000B5DC9"/>
    <w:rsid w:val="000B62D3"/>
    <w:rsid w:val="000B6367"/>
    <w:rsid w:val="000B6944"/>
    <w:rsid w:val="000C5205"/>
    <w:rsid w:val="000D09E1"/>
    <w:rsid w:val="000D786D"/>
    <w:rsid w:val="000F4982"/>
    <w:rsid w:val="000F63F6"/>
    <w:rsid w:val="000F7889"/>
    <w:rsid w:val="00101A73"/>
    <w:rsid w:val="0010298C"/>
    <w:rsid w:val="0010496C"/>
    <w:rsid w:val="00107844"/>
    <w:rsid w:val="00114540"/>
    <w:rsid w:val="00114FB5"/>
    <w:rsid w:val="00115C63"/>
    <w:rsid w:val="001160FB"/>
    <w:rsid w:val="001208E5"/>
    <w:rsid w:val="00121B3F"/>
    <w:rsid w:val="00127A5C"/>
    <w:rsid w:val="0013021B"/>
    <w:rsid w:val="00135F0D"/>
    <w:rsid w:val="00140CB2"/>
    <w:rsid w:val="001417E8"/>
    <w:rsid w:val="00147C14"/>
    <w:rsid w:val="00150DE3"/>
    <w:rsid w:val="00151ACD"/>
    <w:rsid w:val="001534EB"/>
    <w:rsid w:val="00153B2B"/>
    <w:rsid w:val="00154AB7"/>
    <w:rsid w:val="00155B63"/>
    <w:rsid w:val="0016579A"/>
    <w:rsid w:val="00165EA5"/>
    <w:rsid w:val="00171882"/>
    <w:rsid w:val="00172F20"/>
    <w:rsid w:val="00173160"/>
    <w:rsid w:val="0018390F"/>
    <w:rsid w:val="00190D28"/>
    <w:rsid w:val="00193460"/>
    <w:rsid w:val="001945A4"/>
    <w:rsid w:val="00194AFB"/>
    <w:rsid w:val="00195153"/>
    <w:rsid w:val="001A69A1"/>
    <w:rsid w:val="001A7D14"/>
    <w:rsid w:val="001B1346"/>
    <w:rsid w:val="001B4129"/>
    <w:rsid w:val="001B6099"/>
    <w:rsid w:val="001B7546"/>
    <w:rsid w:val="001C29FA"/>
    <w:rsid w:val="001D2430"/>
    <w:rsid w:val="001D371F"/>
    <w:rsid w:val="001E570E"/>
    <w:rsid w:val="001F08BE"/>
    <w:rsid w:val="001F29CB"/>
    <w:rsid w:val="001F2D5B"/>
    <w:rsid w:val="00204517"/>
    <w:rsid w:val="00204A19"/>
    <w:rsid w:val="00205555"/>
    <w:rsid w:val="002160FD"/>
    <w:rsid w:val="002258D6"/>
    <w:rsid w:val="002326AC"/>
    <w:rsid w:val="00236BBB"/>
    <w:rsid w:val="002375C2"/>
    <w:rsid w:val="00242092"/>
    <w:rsid w:val="00242BA4"/>
    <w:rsid w:val="00247D21"/>
    <w:rsid w:val="00251AB0"/>
    <w:rsid w:val="002660DC"/>
    <w:rsid w:val="00267FDF"/>
    <w:rsid w:val="00270534"/>
    <w:rsid w:val="002716BD"/>
    <w:rsid w:val="00282F40"/>
    <w:rsid w:val="00284328"/>
    <w:rsid w:val="00284375"/>
    <w:rsid w:val="00285CF0"/>
    <w:rsid w:val="002909B5"/>
    <w:rsid w:val="00293985"/>
    <w:rsid w:val="0029596C"/>
    <w:rsid w:val="00295CC7"/>
    <w:rsid w:val="00296A34"/>
    <w:rsid w:val="002A40E0"/>
    <w:rsid w:val="002A5F6F"/>
    <w:rsid w:val="002A7912"/>
    <w:rsid w:val="002B0E85"/>
    <w:rsid w:val="002B592F"/>
    <w:rsid w:val="002B5E6D"/>
    <w:rsid w:val="002D0FB7"/>
    <w:rsid w:val="002D341D"/>
    <w:rsid w:val="002D53C2"/>
    <w:rsid w:val="002D6D86"/>
    <w:rsid w:val="002D7D2F"/>
    <w:rsid w:val="002E09FA"/>
    <w:rsid w:val="002E4692"/>
    <w:rsid w:val="002E47E1"/>
    <w:rsid w:val="002E5AD7"/>
    <w:rsid w:val="002E6907"/>
    <w:rsid w:val="002F2F61"/>
    <w:rsid w:val="002F2FF2"/>
    <w:rsid w:val="002F3B4D"/>
    <w:rsid w:val="002F6F3A"/>
    <w:rsid w:val="00306C10"/>
    <w:rsid w:val="00306DC2"/>
    <w:rsid w:val="00310C82"/>
    <w:rsid w:val="003177CA"/>
    <w:rsid w:val="00321BB9"/>
    <w:rsid w:val="0032444C"/>
    <w:rsid w:val="00325795"/>
    <w:rsid w:val="00330284"/>
    <w:rsid w:val="0033045E"/>
    <w:rsid w:val="0033184A"/>
    <w:rsid w:val="0034090D"/>
    <w:rsid w:val="00342CEB"/>
    <w:rsid w:val="00343009"/>
    <w:rsid w:val="0034377A"/>
    <w:rsid w:val="00350353"/>
    <w:rsid w:val="003518BE"/>
    <w:rsid w:val="003533A6"/>
    <w:rsid w:val="0035644A"/>
    <w:rsid w:val="0036148E"/>
    <w:rsid w:val="00372625"/>
    <w:rsid w:val="003765AF"/>
    <w:rsid w:val="003813F2"/>
    <w:rsid w:val="00381476"/>
    <w:rsid w:val="003873D9"/>
    <w:rsid w:val="00394461"/>
    <w:rsid w:val="00397C07"/>
    <w:rsid w:val="003A1781"/>
    <w:rsid w:val="003A7F3C"/>
    <w:rsid w:val="003B118C"/>
    <w:rsid w:val="003B4322"/>
    <w:rsid w:val="003B4F47"/>
    <w:rsid w:val="003B7C48"/>
    <w:rsid w:val="003C006A"/>
    <w:rsid w:val="003C73AE"/>
    <w:rsid w:val="003D1D5A"/>
    <w:rsid w:val="003D295F"/>
    <w:rsid w:val="003D3DDE"/>
    <w:rsid w:val="003D404E"/>
    <w:rsid w:val="003E0083"/>
    <w:rsid w:val="003F021E"/>
    <w:rsid w:val="003F7EE8"/>
    <w:rsid w:val="00403243"/>
    <w:rsid w:val="00403412"/>
    <w:rsid w:val="0040506E"/>
    <w:rsid w:val="004143EF"/>
    <w:rsid w:val="0041534D"/>
    <w:rsid w:val="0042018F"/>
    <w:rsid w:val="0042710A"/>
    <w:rsid w:val="00434EE7"/>
    <w:rsid w:val="00435625"/>
    <w:rsid w:val="0044056A"/>
    <w:rsid w:val="0044466D"/>
    <w:rsid w:val="00444D2D"/>
    <w:rsid w:val="00446ECA"/>
    <w:rsid w:val="00450C8A"/>
    <w:rsid w:val="0045457B"/>
    <w:rsid w:val="00461EE2"/>
    <w:rsid w:val="00465903"/>
    <w:rsid w:val="00465FBD"/>
    <w:rsid w:val="0047097D"/>
    <w:rsid w:val="004716A2"/>
    <w:rsid w:val="00482035"/>
    <w:rsid w:val="00484BD0"/>
    <w:rsid w:val="00485069"/>
    <w:rsid w:val="00487FD7"/>
    <w:rsid w:val="004923EC"/>
    <w:rsid w:val="00492B82"/>
    <w:rsid w:val="00492FF4"/>
    <w:rsid w:val="004965B6"/>
    <w:rsid w:val="004976D1"/>
    <w:rsid w:val="004A08A8"/>
    <w:rsid w:val="004A1DC2"/>
    <w:rsid w:val="004A4775"/>
    <w:rsid w:val="004A6BAC"/>
    <w:rsid w:val="004A7F1A"/>
    <w:rsid w:val="004C6FAE"/>
    <w:rsid w:val="004D56A9"/>
    <w:rsid w:val="004E6D66"/>
    <w:rsid w:val="004F108A"/>
    <w:rsid w:val="004F2EA4"/>
    <w:rsid w:val="004F3131"/>
    <w:rsid w:val="004F6230"/>
    <w:rsid w:val="004F77A4"/>
    <w:rsid w:val="004F7996"/>
    <w:rsid w:val="00503AD7"/>
    <w:rsid w:val="005075D9"/>
    <w:rsid w:val="0051037C"/>
    <w:rsid w:val="00510ADC"/>
    <w:rsid w:val="00511F74"/>
    <w:rsid w:val="00513DF7"/>
    <w:rsid w:val="005174E0"/>
    <w:rsid w:val="005203AC"/>
    <w:rsid w:val="0052240A"/>
    <w:rsid w:val="00524DFA"/>
    <w:rsid w:val="005356D0"/>
    <w:rsid w:val="005364E2"/>
    <w:rsid w:val="00545452"/>
    <w:rsid w:val="00546311"/>
    <w:rsid w:val="00555DA2"/>
    <w:rsid w:val="0055669A"/>
    <w:rsid w:val="00560347"/>
    <w:rsid w:val="00567279"/>
    <w:rsid w:val="005712AD"/>
    <w:rsid w:val="005717A7"/>
    <w:rsid w:val="0057777A"/>
    <w:rsid w:val="00583030"/>
    <w:rsid w:val="00591C84"/>
    <w:rsid w:val="00592481"/>
    <w:rsid w:val="00592751"/>
    <w:rsid w:val="00596985"/>
    <w:rsid w:val="00597AE1"/>
    <w:rsid w:val="005A0D28"/>
    <w:rsid w:val="005A40EF"/>
    <w:rsid w:val="005A5909"/>
    <w:rsid w:val="005A7E17"/>
    <w:rsid w:val="005B13E2"/>
    <w:rsid w:val="005B1ECE"/>
    <w:rsid w:val="005B23E4"/>
    <w:rsid w:val="005B366A"/>
    <w:rsid w:val="005B5D84"/>
    <w:rsid w:val="005C435D"/>
    <w:rsid w:val="005C5663"/>
    <w:rsid w:val="005C595D"/>
    <w:rsid w:val="005C7094"/>
    <w:rsid w:val="005D0D40"/>
    <w:rsid w:val="005D1A10"/>
    <w:rsid w:val="005D1B96"/>
    <w:rsid w:val="005D5861"/>
    <w:rsid w:val="005E0336"/>
    <w:rsid w:val="005F0630"/>
    <w:rsid w:val="005F07A0"/>
    <w:rsid w:val="00600F34"/>
    <w:rsid w:val="00620282"/>
    <w:rsid w:val="00623B41"/>
    <w:rsid w:val="00623BD6"/>
    <w:rsid w:val="00631695"/>
    <w:rsid w:val="00647005"/>
    <w:rsid w:val="00650A5D"/>
    <w:rsid w:val="0065548C"/>
    <w:rsid w:val="0066290B"/>
    <w:rsid w:val="00671A61"/>
    <w:rsid w:val="0067263C"/>
    <w:rsid w:val="006751D6"/>
    <w:rsid w:val="0067596A"/>
    <w:rsid w:val="00677771"/>
    <w:rsid w:val="00682ADB"/>
    <w:rsid w:val="006835F7"/>
    <w:rsid w:val="00683DA8"/>
    <w:rsid w:val="00684AC4"/>
    <w:rsid w:val="0068573B"/>
    <w:rsid w:val="006902D2"/>
    <w:rsid w:val="00692EE8"/>
    <w:rsid w:val="00697FDC"/>
    <w:rsid w:val="006A257D"/>
    <w:rsid w:val="006A7D3F"/>
    <w:rsid w:val="006B0114"/>
    <w:rsid w:val="006B0F20"/>
    <w:rsid w:val="006B2A9C"/>
    <w:rsid w:val="006B37E5"/>
    <w:rsid w:val="006C30AB"/>
    <w:rsid w:val="006D0235"/>
    <w:rsid w:val="006D12CD"/>
    <w:rsid w:val="006D212E"/>
    <w:rsid w:val="006E5118"/>
    <w:rsid w:val="006E7009"/>
    <w:rsid w:val="006F2E79"/>
    <w:rsid w:val="006F44A2"/>
    <w:rsid w:val="006F5454"/>
    <w:rsid w:val="006F5A70"/>
    <w:rsid w:val="006F6390"/>
    <w:rsid w:val="006F7B3D"/>
    <w:rsid w:val="007026BA"/>
    <w:rsid w:val="00713C38"/>
    <w:rsid w:val="00715DBD"/>
    <w:rsid w:val="00717A13"/>
    <w:rsid w:val="00723604"/>
    <w:rsid w:val="0073339D"/>
    <w:rsid w:val="00734C60"/>
    <w:rsid w:val="00737BE9"/>
    <w:rsid w:val="007408E2"/>
    <w:rsid w:val="00741406"/>
    <w:rsid w:val="0074228F"/>
    <w:rsid w:val="00754193"/>
    <w:rsid w:val="00754EEE"/>
    <w:rsid w:val="0076001E"/>
    <w:rsid w:val="0076058C"/>
    <w:rsid w:val="00761C1C"/>
    <w:rsid w:val="00764064"/>
    <w:rsid w:val="007669A4"/>
    <w:rsid w:val="00770404"/>
    <w:rsid w:val="00770C98"/>
    <w:rsid w:val="00772088"/>
    <w:rsid w:val="007722E7"/>
    <w:rsid w:val="007777F6"/>
    <w:rsid w:val="00781A25"/>
    <w:rsid w:val="007833C7"/>
    <w:rsid w:val="00794CEF"/>
    <w:rsid w:val="007A5120"/>
    <w:rsid w:val="007A65AD"/>
    <w:rsid w:val="007B55B4"/>
    <w:rsid w:val="007B5787"/>
    <w:rsid w:val="007B71FC"/>
    <w:rsid w:val="007D2EFE"/>
    <w:rsid w:val="007D4297"/>
    <w:rsid w:val="007E0CD4"/>
    <w:rsid w:val="007E3CE0"/>
    <w:rsid w:val="007E45D3"/>
    <w:rsid w:val="007E6613"/>
    <w:rsid w:val="007F258E"/>
    <w:rsid w:val="00805700"/>
    <w:rsid w:val="00805CF7"/>
    <w:rsid w:val="0081347E"/>
    <w:rsid w:val="008170CC"/>
    <w:rsid w:val="00817400"/>
    <w:rsid w:val="00820151"/>
    <w:rsid w:val="00831DDA"/>
    <w:rsid w:val="00832E05"/>
    <w:rsid w:val="00842472"/>
    <w:rsid w:val="0084404D"/>
    <w:rsid w:val="00846C72"/>
    <w:rsid w:val="00850F61"/>
    <w:rsid w:val="0085186A"/>
    <w:rsid w:val="00852377"/>
    <w:rsid w:val="008538FB"/>
    <w:rsid w:val="00855C3F"/>
    <w:rsid w:val="00865FE0"/>
    <w:rsid w:val="00870C53"/>
    <w:rsid w:val="008720B7"/>
    <w:rsid w:val="00873D82"/>
    <w:rsid w:val="008769E5"/>
    <w:rsid w:val="00881DE3"/>
    <w:rsid w:val="00883D75"/>
    <w:rsid w:val="0088793C"/>
    <w:rsid w:val="008938DB"/>
    <w:rsid w:val="00895B13"/>
    <w:rsid w:val="008A05EE"/>
    <w:rsid w:val="008A3417"/>
    <w:rsid w:val="008B3A3E"/>
    <w:rsid w:val="008C0F00"/>
    <w:rsid w:val="008C1240"/>
    <w:rsid w:val="008C26A3"/>
    <w:rsid w:val="008C35B2"/>
    <w:rsid w:val="008C3D6F"/>
    <w:rsid w:val="008C72DC"/>
    <w:rsid w:val="008D375B"/>
    <w:rsid w:val="008D45CD"/>
    <w:rsid w:val="008D5B98"/>
    <w:rsid w:val="008E08B2"/>
    <w:rsid w:val="008F6D69"/>
    <w:rsid w:val="00900DEE"/>
    <w:rsid w:val="009015DE"/>
    <w:rsid w:val="00902F08"/>
    <w:rsid w:val="00902FB8"/>
    <w:rsid w:val="0090474A"/>
    <w:rsid w:val="00912B54"/>
    <w:rsid w:val="0091497D"/>
    <w:rsid w:val="00923EA4"/>
    <w:rsid w:val="00924579"/>
    <w:rsid w:val="00924776"/>
    <w:rsid w:val="00933D31"/>
    <w:rsid w:val="00934640"/>
    <w:rsid w:val="0094184C"/>
    <w:rsid w:val="00943C11"/>
    <w:rsid w:val="00945215"/>
    <w:rsid w:val="00952710"/>
    <w:rsid w:val="00954EB3"/>
    <w:rsid w:val="00955CFE"/>
    <w:rsid w:val="00961C30"/>
    <w:rsid w:val="0096363D"/>
    <w:rsid w:val="00965E64"/>
    <w:rsid w:val="00966CEB"/>
    <w:rsid w:val="00966D2D"/>
    <w:rsid w:val="00983F9E"/>
    <w:rsid w:val="00984F2A"/>
    <w:rsid w:val="00985F19"/>
    <w:rsid w:val="009868A8"/>
    <w:rsid w:val="0098790C"/>
    <w:rsid w:val="00987E49"/>
    <w:rsid w:val="0099621E"/>
    <w:rsid w:val="009978B0"/>
    <w:rsid w:val="009A0C59"/>
    <w:rsid w:val="009A127C"/>
    <w:rsid w:val="009A255E"/>
    <w:rsid w:val="009A2C4A"/>
    <w:rsid w:val="009A4AED"/>
    <w:rsid w:val="009B024D"/>
    <w:rsid w:val="009B7A01"/>
    <w:rsid w:val="009C3577"/>
    <w:rsid w:val="009C476A"/>
    <w:rsid w:val="009C54B9"/>
    <w:rsid w:val="009C73E7"/>
    <w:rsid w:val="009E0E0E"/>
    <w:rsid w:val="009E6D19"/>
    <w:rsid w:val="009E78E8"/>
    <w:rsid w:val="009F302F"/>
    <w:rsid w:val="009F7C75"/>
    <w:rsid w:val="00A03027"/>
    <w:rsid w:val="00A05E2C"/>
    <w:rsid w:val="00A0786A"/>
    <w:rsid w:val="00A13321"/>
    <w:rsid w:val="00A24538"/>
    <w:rsid w:val="00A250D6"/>
    <w:rsid w:val="00A33D57"/>
    <w:rsid w:val="00A4090A"/>
    <w:rsid w:val="00A46D5B"/>
    <w:rsid w:val="00A47358"/>
    <w:rsid w:val="00A47768"/>
    <w:rsid w:val="00A478AB"/>
    <w:rsid w:val="00A534A5"/>
    <w:rsid w:val="00A536F6"/>
    <w:rsid w:val="00A53C5A"/>
    <w:rsid w:val="00A57DAE"/>
    <w:rsid w:val="00A60E89"/>
    <w:rsid w:val="00A63DCB"/>
    <w:rsid w:val="00A67B95"/>
    <w:rsid w:val="00A76CA0"/>
    <w:rsid w:val="00A771E0"/>
    <w:rsid w:val="00A80330"/>
    <w:rsid w:val="00A81B47"/>
    <w:rsid w:val="00A85161"/>
    <w:rsid w:val="00A90B0F"/>
    <w:rsid w:val="00A9280E"/>
    <w:rsid w:val="00A930AC"/>
    <w:rsid w:val="00A93A0A"/>
    <w:rsid w:val="00A93D4F"/>
    <w:rsid w:val="00A93E9C"/>
    <w:rsid w:val="00AA1BB3"/>
    <w:rsid w:val="00AA6509"/>
    <w:rsid w:val="00AC0915"/>
    <w:rsid w:val="00AC1BF8"/>
    <w:rsid w:val="00AC2DB7"/>
    <w:rsid w:val="00AC5699"/>
    <w:rsid w:val="00AC5C31"/>
    <w:rsid w:val="00AD0EE9"/>
    <w:rsid w:val="00AD6FAC"/>
    <w:rsid w:val="00AE1EA6"/>
    <w:rsid w:val="00AE2692"/>
    <w:rsid w:val="00AF60D7"/>
    <w:rsid w:val="00B01571"/>
    <w:rsid w:val="00B02107"/>
    <w:rsid w:val="00B1179E"/>
    <w:rsid w:val="00B15666"/>
    <w:rsid w:val="00B22558"/>
    <w:rsid w:val="00B27765"/>
    <w:rsid w:val="00B44753"/>
    <w:rsid w:val="00B44A61"/>
    <w:rsid w:val="00B54845"/>
    <w:rsid w:val="00B55CF4"/>
    <w:rsid w:val="00B56ABB"/>
    <w:rsid w:val="00B616F5"/>
    <w:rsid w:val="00B65437"/>
    <w:rsid w:val="00B70360"/>
    <w:rsid w:val="00B82F8E"/>
    <w:rsid w:val="00B83BF0"/>
    <w:rsid w:val="00B84F0D"/>
    <w:rsid w:val="00B9023E"/>
    <w:rsid w:val="00B9137A"/>
    <w:rsid w:val="00BA202D"/>
    <w:rsid w:val="00BA51DE"/>
    <w:rsid w:val="00BB29BA"/>
    <w:rsid w:val="00BB35E9"/>
    <w:rsid w:val="00BB77FD"/>
    <w:rsid w:val="00BC2BF6"/>
    <w:rsid w:val="00BC37A0"/>
    <w:rsid w:val="00BC6363"/>
    <w:rsid w:val="00BD0ECB"/>
    <w:rsid w:val="00BD13A1"/>
    <w:rsid w:val="00BD5632"/>
    <w:rsid w:val="00BD65D7"/>
    <w:rsid w:val="00BE5AFE"/>
    <w:rsid w:val="00BE75E5"/>
    <w:rsid w:val="00BF20A6"/>
    <w:rsid w:val="00BF2945"/>
    <w:rsid w:val="00BF6F0B"/>
    <w:rsid w:val="00C11DF4"/>
    <w:rsid w:val="00C155AD"/>
    <w:rsid w:val="00C23925"/>
    <w:rsid w:val="00C34319"/>
    <w:rsid w:val="00C358A6"/>
    <w:rsid w:val="00C379FE"/>
    <w:rsid w:val="00C42ACD"/>
    <w:rsid w:val="00C444C3"/>
    <w:rsid w:val="00C615CB"/>
    <w:rsid w:val="00C66610"/>
    <w:rsid w:val="00C6745A"/>
    <w:rsid w:val="00C70DC3"/>
    <w:rsid w:val="00C73988"/>
    <w:rsid w:val="00C8230E"/>
    <w:rsid w:val="00C84109"/>
    <w:rsid w:val="00C905B3"/>
    <w:rsid w:val="00C92269"/>
    <w:rsid w:val="00C9510C"/>
    <w:rsid w:val="00CB27D9"/>
    <w:rsid w:val="00CB3374"/>
    <w:rsid w:val="00CB6F7C"/>
    <w:rsid w:val="00CB756E"/>
    <w:rsid w:val="00CC0639"/>
    <w:rsid w:val="00CC44BB"/>
    <w:rsid w:val="00CC4C42"/>
    <w:rsid w:val="00CC55B4"/>
    <w:rsid w:val="00CC58D5"/>
    <w:rsid w:val="00CC5EC8"/>
    <w:rsid w:val="00CC6209"/>
    <w:rsid w:val="00CC7D0B"/>
    <w:rsid w:val="00CD1D72"/>
    <w:rsid w:val="00CD37F0"/>
    <w:rsid w:val="00CD7194"/>
    <w:rsid w:val="00CE00ED"/>
    <w:rsid w:val="00CE0CFA"/>
    <w:rsid w:val="00CE195E"/>
    <w:rsid w:val="00CE1FBC"/>
    <w:rsid w:val="00CE30C2"/>
    <w:rsid w:val="00CF6F4E"/>
    <w:rsid w:val="00CF70AD"/>
    <w:rsid w:val="00D03C36"/>
    <w:rsid w:val="00D10E5E"/>
    <w:rsid w:val="00D15443"/>
    <w:rsid w:val="00D221A7"/>
    <w:rsid w:val="00D242AE"/>
    <w:rsid w:val="00D2663B"/>
    <w:rsid w:val="00D37F41"/>
    <w:rsid w:val="00D41288"/>
    <w:rsid w:val="00D421AE"/>
    <w:rsid w:val="00D44CFB"/>
    <w:rsid w:val="00D45111"/>
    <w:rsid w:val="00D464E0"/>
    <w:rsid w:val="00D474EE"/>
    <w:rsid w:val="00D52057"/>
    <w:rsid w:val="00D62542"/>
    <w:rsid w:val="00D67139"/>
    <w:rsid w:val="00D715DF"/>
    <w:rsid w:val="00D768BE"/>
    <w:rsid w:val="00D77F76"/>
    <w:rsid w:val="00D8103A"/>
    <w:rsid w:val="00D816B1"/>
    <w:rsid w:val="00D840FD"/>
    <w:rsid w:val="00D91F41"/>
    <w:rsid w:val="00D93EBF"/>
    <w:rsid w:val="00DA4485"/>
    <w:rsid w:val="00DB6008"/>
    <w:rsid w:val="00DC0880"/>
    <w:rsid w:val="00DC31F0"/>
    <w:rsid w:val="00DC5925"/>
    <w:rsid w:val="00DC5F4B"/>
    <w:rsid w:val="00DD0260"/>
    <w:rsid w:val="00DD3941"/>
    <w:rsid w:val="00DD5DC7"/>
    <w:rsid w:val="00DE01DD"/>
    <w:rsid w:val="00DE0712"/>
    <w:rsid w:val="00DE51C8"/>
    <w:rsid w:val="00DE7EF7"/>
    <w:rsid w:val="00DF3309"/>
    <w:rsid w:val="00DF6D52"/>
    <w:rsid w:val="00DF6DB1"/>
    <w:rsid w:val="00E0135B"/>
    <w:rsid w:val="00E153D5"/>
    <w:rsid w:val="00E15610"/>
    <w:rsid w:val="00E15635"/>
    <w:rsid w:val="00E16AC8"/>
    <w:rsid w:val="00E20C17"/>
    <w:rsid w:val="00E24203"/>
    <w:rsid w:val="00E32AB3"/>
    <w:rsid w:val="00E37E7D"/>
    <w:rsid w:val="00E428AE"/>
    <w:rsid w:val="00E4305A"/>
    <w:rsid w:val="00E43405"/>
    <w:rsid w:val="00E46886"/>
    <w:rsid w:val="00E468E2"/>
    <w:rsid w:val="00E46D56"/>
    <w:rsid w:val="00E47108"/>
    <w:rsid w:val="00E52AF7"/>
    <w:rsid w:val="00E53976"/>
    <w:rsid w:val="00E55EFC"/>
    <w:rsid w:val="00E60253"/>
    <w:rsid w:val="00E60B79"/>
    <w:rsid w:val="00E712EE"/>
    <w:rsid w:val="00E713FE"/>
    <w:rsid w:val="00E72D19"/>
    <w:rsid w:val="00E76081"/>
    <w:rsid w:val="00E81E60"/>
    <w:rsid w:val="00E826E1"/>
    <w:rsid w:val="00E838C0"/>
    <w:rsid w:val="00E83A68"/>
    <w:rsid w:val="00E852AF"/>
    <w:rsid w:val="00E87807"/>
    <w:rsid w:val="00E92154"/>
    <w:rsid w:val="00EA0820"/>
    <w:rsid w:val="00EA5C45"/>
    <w:rsid w:val="00EB0321"/>
    <w:rsid w:val="00EB1643"/>
    <w:rsid w:val="00EB21D5"/>
    <w:rsid w:val="00EB3C3D"/>
    <w:rsid w:val="00EB60A5"/>
    <w:rsid w:val="00EC6B2D"/>
    <w:rsid w:val="00ED1855"/>
    <w:rsid w:val="00ED3240"/>
    <w:rsid w:val="00ED7759"/>
    <w:rsid w:val="00EE0595"/>
    <w:rsid w:val="00EE495F"/>
    <w:rsid w:val="00EF03D9"/>
    <w:rsid w:val="00EF4C23"/>
    <w:rsid w:val="00EF5AD1"/>
    <w:rsid w:val="00EF6780"/>
    <w:rsid w:val="00F03013"/>
    <w:rsid w:val="00F0674F"/>
    <w:rsid w:val="00F12B31"/>
    <w:rsid w:val="00F12F76"/>
    <w:rsid w:val="00F139AE"/>
    <w:rsid w:val="00F212D1"/>
    <w:rsid w:val="00F2188A"/>
    <w:rsid w:val="00F32A3A"/>
    <w:rsid w:val="00F3649F"/>
    <w:rsid w:val="00F42ACE"/>
    <w:rsid w:val="00F46560"/>
    <w:rsid w:val="00F52838"/>
    <w:rsid w:val="00F533CE"/>
    <w:rsid w:val="00F55A44"/>
    <w:rsid w:val="00F60DDA"/>
    <w:rsid w:val="00F62CE6"/>
    <w:rsid w:val="00F62F07"/>
    <w:rsid w:val="00F6492C"/>
    <w:rsid w:val="00F65F59"/>
    <w:rsid w:val="00F66C72"/>
    <w:rsid w:val="00F72900"/>
    <w:rsid w:val="00F75B6A"/>
    <w:rsid w:val="00F85DC5"/>
    <w:rsid w:val="00F90738"/>
    <w:rsid w:val="00F90EA1"/>
    <w:rsid w:val="00F921F2"/>
    <w:rsid w:val="00F949CD"/>
    <w:rsid w:val="00FB7295"/>
    <w:rsid w:val="00FB7633"/>
    <w:rsid w:val="00FC0225"/>
    <w:rsid w:val="00FC2590"/>
    <w:rsid w:val="00FC4442"/>
    <w:rsid w:val="00FC645F"/>
    <w:rsid w:val="00FC76B9"/>
    <w:rsid w:val="00FD0817"/>
    <w:rsid w:val="00FD4080"/>
    <w:rsid w:val="00FD73D7"/>
    <w:rsid w:val="00FE2167"/>
    <w:rsid w:val="00FE6354"/>
    <w:rsid w:val="00FE7AE6"/>
    <w:rsid w:val="00FF49FF"/>
    <w:rsid w:val="00FF4E64"/>
    <w:rsid w:val="00FF5F29"/>
    <w:rsid w:val="00FF62C5"/>
    <w:rsid w:val="139A3B8D"/>
    <w:rsid w:val="1725EFEE"/>
    <w:rsid w:val="195B0284"/>
    <w:rsid w:val="249E3837"/>
    <w:rsid w:val="260EF769"/>
    <w:rsid w:val="27FE3967"/>
    <w:rsid w:val="2C92AF79"/>
    <w:rsid w:val="3B9099F0"/>
    <w:rsid w:val="426708AE"/>
    <w:rsid w:val="46F28F6B"/>
    <w:rsid w:val="5A810FA2"/>
    <w:rsid w:val="5EA6FF7A"/>
    <w:rsid w:val="62C9874F"/>
    <w:rsid w:val="6919E62A"/>
    <w:rsid w:val="6F990A58"/>
    <w:rsid w:val="710742FA"/>
    <w:rsid w:val="71761A2C"/>
    <w:rsid w:val="7EF622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B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DF6D52"/>
    <w:pPr>
      <w:keepNext/>
      <w:keepLines/>
      <w:spacing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DF6D52"/>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DF6D52"/>
  </w:style>
  <w:style w:type="character" w:customStyle="1" w:styleId="BodyTextChar">
    <w:name w:val="Body Text Char"/>
    <w:basedOn w:val="DefaultParagraphFont"/>
    <w:link w:val="BodyText"/>
    <w:rsid w:val="00DF6D52"/>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1"/>
      </w:numPr>
      <w:contextualSpacing/>
    </w:pPr>
  </w:style>
  <w:style w:type="paragraph" w:styleId="ListNumber2">
    <w:name w:val="List Number 2"/>
    <w:basedOn w:val="BodyText"/>
    <w:uiPriority w:val="99"/>
    <w:semiHidden/>
    <w:unhideWhenUsed/>
    <w:rsid w:val="004D56A9"/>
    <w:pPr>
      <w:numPr>
        <w:ilvl w:val="1"/>
        <w:numId w:val="1"/>
      </w:numPr>
      <w:contextualSpacing/>
    </w:pPr>
  </w:style>
  <w:style w:type="paragraph" w:styleId="ListNumber3">
    <w:name w:val="List Number 3"/>
    <w:basedOn w:val="BodyText"/>
    <w:uiPriority w:val="99"/>
    <w:semiHidden/>
    <w:unhideWhenUsed/>
    <w:rsid w:val="004D56A9"/>
    <w:pPr>
      <w:numPr>
        <w:ilvl w:val="2"/>
        <w:numId w:val="1"/>
      </w:numPr>
      <w:tabs>
        <w:tab w:val="clear" w:pos="720"/>
        <w:tab w:val="num" w:pos="850"/>
      </w:tabs>
      <w:ind w:left="850" w:hanging="850"/>
      <w:contextualSpacing/>
    </w:pPr>
  </w:style>
  <w:style w:type="paragraph" w:styleId="ListBullet">
    <w:name w:val="List Bullet"/>
    <w:basedOn w:val="BodyText"/>
    <w:uiPriority w:val="99"/>
    <w:unhideWhenUsed/>
    <w:rsid w:val="004D56A9"/>
    <w:pPr>
      <w:numPr>
        <w:numId w:val="2"/>
      </w:numPr>
      <w:contextualSpacing/>
    </w:pPr>
  </w:style>
  <w:style w:type="paragraph" w:styleId="ListBullet2">
    <w:name w:val="List Bullet 2"/>
    <w:basedOn w:val="BodyText"/>
    <w:uiPriority w:val="99"/>
    <w:semiHidden/>
    <w:unhideWhenUsed/>
    <w:rsid w:val="004D56A9"/>
    <w:pPr>
      <w:numPr>
        <w:numId w:val="3"/>
      </w:numPr>
      <w:contextualSpacing/>
    </w:pPr>
  </w:style>
  <w:style w:type="paragraph" w:styleId="ListBullet3">
    <w:name w:val="List Bullet 3"/>
    <w:basedOn w:val="BodyText"/>
    <w:uiPriority w:val="99"/>
    <w:semiHidden/>
    <w:unhideWhenUsed/>
    <w:rsid w:val="004D56A9"/>
    <w:pPr>
      <w:numPr>
        <w:numId w:val="4"/>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DF6D52"/>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0">
    <w:name w:val="List Paragraph"/>
    <w:basedOn w:val="Normal"/>
    <w:uiPriority w:val="34"/>
    <w:qFormat/>
    <w:rsid w:val="00B56ABB"/>
    <w:pPr>
      <w:ind w:left="720"/>
      <w:contextualSpacing/>
    </w:pPr>
  </w:style>
  <w:style w:type="character" w:customStyle="1" w:styleId="Heading2Char">
    <w:name w:val="Heading 2 Char"/>
    <w:basedOn w:val="DefaultParagraphFont"/>
    <w:link w:val="Heading2"/>
    <w:uiPriority w:val="9"/>
    <w:rsid w:val="00DF6D52"/>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paragraph" w:styleId="TOC3">
    <w:name w:val="toc 3"/>
    <w:basedOn w:val="Normal"/>
    <w:next w:val="Normal"/>
    <w:autoRedefine/>
    <w:uiPriority w:val="39"/>
    <w:unhideWhenUsed/>
    <w:rsid w:val="004A08A8"/>
    <w:pPr>
      <w:spacing w:after="100"/>
      <w:ind w:left="480"/>
    </w:pPr>
  </w:style>
  <w:style w:type="paragraph" w:styleId="TOC2">
    <w:name w:val="toc 2"/>
    <w:basedOn w:val="Normal"/>
    <w:next w:val="Normal"/>
    <w:autoRedefine/>
    <w:uiPriority w:val="39"/>
    <w:unhideWhenUsed/>
    <w:qFormat/>
    <w:rsid w:val="00DC31F0"/>
    <w:pPr>
      <w:spacing w:after="100"/>
      <w:ind w:left="240"/>
    </w:pPr>
  </w:style>
  <w:style w:type="character" w:styleId="Hyperlink">
    <w:name w:val="Hyperlink"/>
    <w:basedOn w:val="DefaultParagraphFont"/>
    <w:uiPriority w:val="99"/>
    <w:unhideWhenUsed/>
    <w:rsid w:val="00DC31F0"/>
    <w:rPr>
      <w:color w:val="0563C1" w:themeColor="hyperlink"/>
      <w:u w:val="single"/>
    </w:rPr>
  </w:style>
  <w:style w:type="numbering" w:customStyle="1" w:styleId="ListParagraph">
    <w:name w:val="List_Paragraph"/>
    <w:uiPriority w:val="99"/>
    <w:rsid w:val="00DC31F0"/>
    <w:pPr>
      <w:numPr>
        <w:numId w:val="5"/>
      </w:numPr>
    </w:pPr>
  </w:style>
  <w:style w:type="paragraph" w:customStyle="1" w:styleId="ListParagraph2">
    <w:name w:val="List Paragraph 2"/>
    <w:basedOn w:val="ListParagraph0"/>
    <w:uiPriority w:val="19"/>
    <w:rsid w:val="00DC31F0"/>
    <w:pPr>
      <w:tabs>
        <w:tab w:val="num" w:pos="360"/>
      </w:tabs>
      <w:spacing w:after="120" w:line="260" w:lineRule="atLeast"/>
      <w:ind w:left="567"/>
      <w:contextualSpacing w:val="0"/>
    </w:pPr>
    <w:rPr>
      <w:rFonts w:asciiTheme="minorHAnsi" w:eastAsia="Times New Roman" w:hAnsiTheme="minorHAnsi" w:cs="Times New Roman"/>
      <w:sz w:val="20"/>
      <w:szCs w:val="24"/>
      <w:lang w:eastAsia="en-AU"/>
    </w:rPr>
  </w:style>
  <w:style w:type="paragraph" w:customStyle="1" w:styleId="ListParagraph3">
    <w:name w:val="List Paragraph 3"/>
    <w:basedOn w:val="ListParagraph0"/>
    <w:uiPriority w:val="19"/>
    <w:rsid w:val="00DC31F0"/>
    <w:pPr>
      <w:tabs>
        <w:tab w:val="num" w:pos="360"/>
      </w:tabs>
      <w:spacing w:after="120" w:line="260" w:lineRule="atLeast"/>
      <w:ind w:left="851"/>
      <w:contextualSpacing w:val="0"/>
    </w:pPr>
    <w:rPr>
      <w:rFonts w:asciiTheme="minorHAnsi" w:eastAsia="Times New Roman" w:hAnsiTheme="minorHAnsi" w:cs="Times New Roman"/>
      <w:sz w:val="20"/>
      <w:szCs w:val="24"/>
      <w:lang w:eastAsia="en-AU"/>
    </w:rPr>
  </w:style>
  <w:style w:type="paragraph" w:customStyle="1" w:styleId="ListParagraph4">
    <w:name w:val="List Paragraph 4"/>
    <w:basedOn w:val="ListParagraph0"/>
    <w:uiPriority w:val="19"/>
    <w:rsid w:val="00DC31F0"/>
    <w:pPr>
      <w:tabs>
        <w:tab w:val="num" w:pos="360"/>
      </w:tabs>
      <w:spacing w:after="120" w:line="260" w:lineRule="atLeast"/>
      <w:ind w:left="1134"/>
      <w:contextualSpacing w:val="0"/>
    </w:pPr>
    <w:rPr>
      <w:rFonts w:asciiTheme="minorHAnsi" w:eastAsia="Times New Roman" w:hAnsiTheme="minorHAnsi" w:cs="Times New Roman"/>
      <w:sz w:val="20"/>
      <w:szCs w:val="24"/>
      <w:lang w:eastAsia="en-AU"/>
    </w:rPr>
  </w:style>
  <w:style w:type="paragraph" w:customStyle="1" w:styleId="ListParagraph5">
    <w:name w:val="List Paragraph 5"/>
    <w:basedOn w:val="ListParagraph0"/>
    <w:uiPriority w:val="19"/>
    <w:rsid w:val="00DC31F0"/>
    <w:pPr>
      <w:tabs>
        <w:tab w:val="num" w:pos="360"/>
      </w:tabs>
      <w:spacing w:after="120" w:line="260" w:lineRule="atLeast"/>
      <w:ind w:left="1418"/>
      <w:contextualSpacing w:val="0"/>
    </w:pPr>
    <w:rPr>
      <w:rFonts w:asciiTheme="minorHAnsi" w:eastAsia="Times New Roman" w:hAnsiTheme="minorHAnsi" w:cs="Times New Roman"/>
      <w:sz w:val="20"/>
      <w:szCs w:val="24"/>
      <w:lang w:eastAsia="en-AU"/>
    </w:rPr>
  </w:style>
  <w:style w:type="paragraph" w:customStyle="1" w:styleId="ListParagraph6">
    <w:name w:val="List Paragraph 6"/>
    <w:basedOn w:val="ListParagraph0"/>
    <w:uiPriority w:val="19"/>
    <w:rsid w:val="00DC31F0"/>
    <w:pPr>
      <w:tabs>
        <w:tab w:val="num" w:pos="360"/>
      </w:tabs>
      <w:spacing w:after="120" w:line="260" w:lineRule="atLeast"/>
      <w:ind w:left="1701"/>
      <w:contextualSpacing w:val="0"/>
    </w:pPr>
    <w:rPr>
      <w:rFonts w:asciiTheme="minorHAnsi" w:eastAsia="Times New Roman" w:hAnsiTheme="minorHAnsi" w:cs="Times New Roman"/>
      <w:sz w:val="20"/>
      <w:szCs w:val="24"/>
      <w:lang w:eastAsia="en-AU"/>
    </w:rPr>
  </w:style>
  <w:style w:type="paragraph" w:customStyle="1" w:styleId="FigureStyle">
    <w:name w:val="Figure Style"/>
    <w:basedOn w:val="BodyText"/>
    <w:uiPriority w:val="6"/>
    <w:qFormat/>
    <w:rsid w:val="00DC31F0"/>
    <w:pPr>
      <w:keepNext/>
      <w:spacing w:before="240" w:after="120" w:line="260" w:lineRule="atLeast"/>
      <w:jc w:val="center"/>
    </w:pPr>
    <w:rPr>
      <w:rFonts w:asciiTheme="minorHAnsi" w:eastAsia="Times New Roman" w:hAnsiTheme="minorHAnsi" w:cs="Times New Roman"/>
      <w:sz w:val="20"/>
      <w:szCs w:val="24"/>
      <w:lang w:eastAsia="en-AU"/>
    </w:rPr>
  </w:style>
  <w:style w:type="paragraph" w:customStyle="1" w:styleId="AltHeading1">
    <w:name w:val="Alt Heading 1"/>
    <w:basedOn w:val="Heading1"/>
    <w:next w:val="BodyText"/>
    <w:qFormat/>
    <w:rsid w:val="00194AFB"/>
    <w:pPr>
      <w:widowControl w:val="0"/>
      <w:numPr>
        <w:numId w:val="6"/>
      </w:numPr>
      <w:spacing w:before="480" w:after="240" w:line="240" w:lineRule="auto"/>
    </w:pPr>
    <w:rPr>
      <w:rFonts w:asciiTheme="majorHAnsi" w:eastAsia="Times New Roman" w:hAnsiTheme="majorHAnsi" w:cs="Arial"/>
      <w:color w:val="003E69" w:themeColor="accent1"/>
      <w:kern w:val="32"/>
      <w:sz w:val="40"/>
      <w:szCs w:val="32"/>
      <w:lang w:eastAsia="en-AU"/>
    </w:rPr>
  </w:style>
  <w:style w:type="paragraph" w:customStyle="1" w:styleId="AltHeading2">
    <w:name w:val="Alt Heading 2"/>
    <w:basedOn w:val="Heading2"/>
    <w:next w:val="BodyText"/>
    <w:qFormat/>
    <w:rsid w:val="00194AFB"/>
    <w:pPr>
      <w:numPr>
        <w:ilvl w:val="1"/>
        <w:numId w:val="6"/>
      </w:numPr>
      <w:spacing w:before="400" w:after="200" w:line="240" w:lineRule="auto"/>
    </w:pPr>
    <w:rPr>
      <w:rFonts w:asciiTheme="majorHAnsi" w:eastAsia="Times New Roman" w:hAnsiTheme="majorHAnsi" w:cs="Arial"/>
      <w:bCs/>
      <w:iCs/>
      <w:color w:val="071E30" w:themeColor="accent2"/>
      <w:sz w:val="36"/>
      <w:szCs w:val="28"/>
      <w:lang w:eastAsia="en-AU"/>
    </w:rPr>
  </w:style>
  <w:style w:type="paragraph" w:customStyle="1" w:styleId="AltHeading3">
    <w:name w:val="Alt Heading 3"/>
    <w:basedOn w:val="Heading3"/>
    <w:next w:val="BodyText"/>
    <w:qFormat/>
    <w:rsid w:val="00194AFB"/>
    <w:pPr>
      <w:numPr>
        <w:ilvl w:val="2"/>
        <w:numId w:val="6"/>
      </w:numPr>
      <w:spacing w:before="280" w:after="140" w:line="240" w:lineRule="auto"/>
    </w:pPr>
    <w:rPr>
      <w:rFonts w:asciiTheme="majorHAnsi" w:eastAsia="Times New Roman" w:hAnsiTheme="majorHAnsi" w:cs="Times New Roman"/>
      <w:bCs/>
      <w:color w:val="003E69" w:themeColor="accent1"/>
      <w:sz w:val="28"/>
      <w:szCs w:val="24"/>
      <w:lang w:eastAsia="en-AU"/>
    </w:rPr>
  </w:style>
  <w:style w:type="paragraph" w:customStyle="1" w:styleId="AltHeading4">
    <w:name w:val="Alt Heading 4"/>
    <w:basedOn w:val="Heading4"/>
    <w:next w:val="BodyText"/>
    <w:qFormat/>
    <w:rsid w:val="00194AFB"/>
    <w:pPr>
      <w:numPr>
        <w:ilvl w:val="3"/>
        <w:numId w:val="6"/>
      </w:numPr>
      <w:spacing w:before="240" w:after="120" w:line="240" w:lineRule="auto"/>
    </w:pPr>
    <w:rPr>
      <w:rFonts w:asciiTheme="majorHAnsi" w:eastAsia="Times New Roman" w:hAnsiTheme="majorHAnsi" w:cs="Times New Roman"/>
      <w:bCs/>
      <w:color w:val="071E30" w:themeColor="accent2"/>
      <w:szCs w:val="22"/>
      <w:lang w:eastAsia="en-AU"/>
    </w:rPr>
  </w:style>
  <w:style w:type="paragraph" w:customStyle="1" w:styleId="AltHeading5">
    <w:name w:val="Alt Heading 5"/>
    <w:basedOn w:val="Heading5"/>
    <w:next w:val="BodyText"/>
    <w:qFormat/>
    <w:rsid w:val="00194AFB"/>
    <w:pPr>
      <w:numPr>
        <w:ilvl w:val="4"/>
        <w:numId w:val="6"/>
      </w:numPr>
      <w:spacing w:before="240" w:after="120" w:line="240" w:lineRule="auto"/>
    </w:pPr>
    <w:rPr>
      <w:rFonts w:eastAsia="Times New Roman" w:cs="Times New Roman"/>
      <w:b/>
      <w:bCs/>
      <w:iCs/>
      <w:caps w:val="0"/>
      <w:color w:val="auto"/>
      <w:sz w:val="20"/>
      <w:szCs w:val="26"/>
      <w:lang w:eastAsia="en-AU"/>
    </w:rPr>
  </w:style>
  <w:style w:type="numbering" w:customStyle="1" w:styleId="ListNumberedHeadings">
    <w:name w:val="List_NumberedHeadings"/>
    <w:uiPriority w:val="99"/>
    <w:rsid w:val="00194AFB"/>
    <w:pPr>
      <w:numPr>
        <w:numId w:val="6"/>
      </w:numPr>
    </w:pPr>
  </w:style>
  <w:style w:type="character" w:styleId="CommentReference">
    <w:name w:val="annotation reference"/>
    <w:basedOn w:val="DefaultParagraphFont"/>
    <w:uiPriority w:val="99"/>
    <w:semiHidden/>
    <w:unhideWhenUsed/>
    <w:rsid w:val="00194AFB"/>
    <w:rPr>
      <w:sz w:val="16"/>
      <w:szCs w:val="16"/>
    </w:rPr>
  </w:style>
  <w:style w:type="paragraph" w:styleId="CommentText">
    <w:name w:val="annotation text"/>
    <w:basedOn w:val="Normal"/>
    <w:link w:val="CommentTextChar"/>
    <w:uiPriority w:val="99"/>
    <w:unhideWhenUsed/>
    <w:rsid w:val="00194AFB"/>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194AFB"/>
    <w:rPr>
      <w:sz w:val="20"/>
      <w:szCs w:val="20"/>
    </w:rPr>
  </w:style>
  <w:style w:type="paragraph" w:customStyle="1" w:styleId="Pa65">
    <w:name w:val="Pa65"/>
    <w:basedOn w:val="Normal"/>
    <w:next w:val="Normal"/>
    <w:uiPriority w:val="99"/>
    <w:rsid w:val="00194AFB"/>
    <w:pPr>
      <w:autoSpaceDE w:val="0"/>
      <w:autoSpaceDN w:val="0"/>
      <w:adjustRightInd w:val="0"/>
      <w:spacing w:line="161" w:lineRule="atLeast"/>
    </w:pPr>
    <w:rPr>
      <w:rFonts w:ascii="MetaPro-CondNorm" w:hAnsi="MetaPro-CondNorm"/>
      <w:szCs w:val="24"/>
    </w:rPr>
  </w:style>
  <w:style w:type="character" w:customStyle="1" w:styleId="normaltextrun">
    <w:name w:val="normaltextrun"/>
    <w:basedOn w:val="DefaultParagraphFont"/>
    <w:rsid w:val="00194AFB"/>
  </w:style>
  <w:style w:type="paragraph" w:customStyle="1" w:styleId="TableHeading">
    <w:name w:val="Table Heading"/>
    <w:basedOn w:val="Normal"/>
    <w:next w:val="BodyText"/>
    <w:uiPriority w:val="3"/>
    <w:qFormat/>
    <w:rsid w:val="00194AFB"/>
    <w:pPr>
      <w:spacing w:before="60" w:after="60" w:line="240" w:lineRule="auto"/>
    </w:pPr>
    <w:rPr>
      <w:rFonts w:asciiTheme="minorHAnsi" w:hAnsiTheme="minorHAnsi"/>
      <w:b/>
      <w:sz w:val="18"/>
    </w:rPr>
  </w:style>
  <w:style w:type="paragraph" w:customStyle="1" w:styleId="TableText">
    <w:name w:val="Table Text"/>
    <w:basedOn w:val="Normal"/>
    <w:uiPriority w:val="3"/>
    <w:qFormat/>
    <w:rsid w:val="00194AFB"/>
    <w:pPr>
      <w:spacing w:before="60" w:after="60" w:line="240" w:lineRule="auto"/>
    </w:pPr>
    <w:rPr>
      <w:rFonts w:asciiTheme="minorHAnsi" w:hAnsiTheme="minorHAnsi"/>
      <w:sz w:val="18"/>
    </w:rPr>
  </w:style>
  <w:style w:type="paragraph" w:customStyle="1" w:styleId="TableCaption">
    <w:name w:val="Table Caption"/>
    <w:basedOn w:val="Caption"/>
    <w:qFormat/>
    <w:rsid w:val="00194AFB"/>
    <w:pPr>
      <w:keepNext/>
      <w:tabs>
        <w:tab w:val="left" w:pos="1134"/>
      </w:tabs>
      <w:spacing w:before="240" w:after="120" w:line="260" w:lineRule="atLeast"/>
      <w:ind w:left="1134" w:hanging="1134"/>
    </w:pPr>
    <w:rPr>
      <w:rFonts w:asciiTheme="minorHAnsi" w:hAnsiTheme="minorHAnsi"/>
      <w:bCs w:val="0"/>
      <w:smallCaps w:val="0"/>
      <w:color w:val="auto"/>
      <w:sz w:val="20"/>
    </w:rPr>
  </w:style>
  <w:style w:type="table" w:customStyle="1" w:styleId="NavyTable">
    <w:name w:val="Navy Table"/>
    <w:basedOn w:val="TableNormal"/>
    <w:uiPriority w:val="99"/>
    <w:rsid w:val="00194AFB"/>
    <w:pPr>
      <w:spacing w:after="0" w:line="240" w:lineRule="auto"/>
    </w:pPr>
    <w:tblPr>
      <w:tblStyleRowBandSize w:val="1"/>
      <w:tblStyleColBandSize w:val="1"/>
      <w:tblInd w:w="108" w:type="dxa"/>
      <w:tblBorders>
        <w:bottom w:val="single" w:sz="4" w:space="0" w:color="003E69" w:themeColor="accent1"/>
        <w:insideH w:val="single" w:sz="4" w:space="0" w:color="003E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E69" w:themeFill="accent1"/>
      </w:tcPr>
    </w:tblStylePr>
    <w:tblStylePr w:type="lastRow">
      <w:rPr>
        <w:b w:val="0"/>
      </w:rPr>
      <w:tblPr/>
      <w:tcPr>
        <w:shd w:val="clear" w:color="auto" w:fill="99B1C3"/>
      </w:tcPr>
    </w:tblStylePr>
    <w:tblStylePr w:type="firstCol">
      <w:tblPr/>
      <w:tcPr>
        <w:tcBorders>
          <w:insideH w:val="nil"/>
        </w:tcBorders>
        <w:shd w:val="clear" w:color="auto" w:fill="003E69" w:themeFill="accent1"/>
      </w:tcPr>
    </w:tblStylePr>
    <w:tblStylePr w:type="band2Vert">
      <w:tblPr/>
      <w:tcPr>
        <w:shd w:val="clear" w:color="auto" w:fill="CCD8E1"/>
      </w:tcPr>
    </w:tblStylePr>
    <w:tblStylePr w:type="band2Horz">
      <w:tblPr/>
      <w:tcPr>
        <w:shd w:val="clear" w:color="auto" w:fill="CCD8E1"/>
      </w:tcPr>
    </w:tblStylePr>
  </w:style>
  <w:style w:type="paragraph" w:styleId="TOC1">
    <w:name w:val="toc 1"/>
    <w:basedOn w:val="Normal"/>
    <w:next w:val="Normal"/>
    <w:autoRedefine/>
    <w:uiPriority w:val="39"/>
    <w:unhideWhenUsed/>
    <w:qFormat/>
    <w:rsid w:val="00194AFB"/>
    <w:pPr>
      <w:spacing w:after="100"/>
    </w:pPr>
  </w:style>
  <w:style w:type="paragraph" w:styleId="Revision">
    <w:name w:val="Revision"/>
    <w:hidden/>
    <w:uiPriority w:val="99"/>
    <w:semiHidden/>
    <w:rsid w:val="001B4129"/>
    <w:pPr>
      <w:spacing w:after="0" w:line="240" w:lineRule="auto"/>
    </w:pPr>
    <w:rPr>
      <w:rFonts w:ascii="Arial" w:hAnsi="Arial"/>
      <w:sz w:val="24"/>
    </w:rPr>
  </w:style>
  <w:style w:type="paragraph" w:customStyle="1" w:styleId="TableParagraph">
    <w:name w:val="Table Paragraph"/>
    <w:basedOn w:val="Normal"/>
    <w:uiPriority w:val="1"/>
    <w:qFormat/>
    <w:rsid w:val="0091497D"/>
    <w:pPr>
      <w:widowControl w:val="0"/>
      <w:autoSpaceDE w:val="0"/>
      <w:autoSpaceDN w:val="0"/>
      <w:spacing w:before="59" w:line="240" w:lineRule="auto"/>
      <w:ind w:left="172"/>
    </w:pPr>
    <w:rPr>
      <w:rFonts w:eastAsia="Arial" w:cs="Arial"/>
      <w:sz w:val="22"/>
      <w:lang w:val="en-US"/>
    </w:rPr>
  </w:style>
  <w:style w:type="character" w:customStyle="1" w:styleId="eop">
    <w:name w:val="eop"/>
    <w:basedOn w:val="DefaultParagraphFont"/>
    <w:rsid w:val="002F2F61"/>
  </w:style>
  <w:style w:type="paragraph" w:customStyle="1" w:styleId="paragraph">
    <w:name w:val="paragraph"/>
    <w:basedOn w:val="Normal"/>
    <w:rsid w:val="0042710A"/>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wacimagecontainer">
    <w:name w:val="wacimagecontainer"/>
    <w:basedOn w:val="DefaultParagraphFont"/>
    <w:rsid w:val="0042710A"/>
  </w:style>
  <w:style w:type="paragraph" w:styleId="NormalWeb">
    <w:name w:val="Normal (Web)"/>
    <w:basedOn w:val="Normal"/>
    <w:uiPriority w:val="99"/>
    <w:semiHidden/>
    <w:unhideWhenUsed/>
    <w:rsid w:val="00934640"/>
    <w:pPr>
      <w:spacing w:before="100" w:beforeAutospacing="1" w:after="100" w:afterAutospacing="1" w:line="240" w:lineRule="auto"/>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524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D37F0"/>
    <w:rPr>
      <w:rFonts w:ascii="Arial" w:hAnsi="Arial"/>
      <w:b/>
      <w:bCs/>
    </w:rPr>
  </w:style>
  <w:style w:type="character" w:customStyle="1" w:styleId="CommentSubjectChar">
    <w:name w:val="Comment Subject Char"/>
    <w:basedOn w:val="CommentTextChar"/>
    <w:link w:val="CommentSubject"/>
    <w:uiPriority w:val="99"/>
    <w:semiHidden/>
    <w:rsid w:val="00CD37F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043614">
      <w:bodyDiv w:val="1"/>
      <w:marLeft w:val="0"/>
      <w:marRight w:val="0"/>
      <w:marTop w:val="0"/>
      <w:marBottom w:val="0"/>
      <w:divBdr>
        <w:top w:val="none" w:sz="0" w:space="0" w:color="auto"/>
        <w:left w:val="none" w:sz="0" w:space="0" w:color="auto"/>
        <w:bottom w:val="none" w:sz="0" w:space="0" w:color="auto"/>
        <w:right w:val="none" w:sz="0" w:space="0" w:color="auto"/>
      </w:divBdr>
    </w:div>
    <w:div w:id="592053092">
      <w:bodyDiv w:val="1"/>
      <w:marLeft w:val="0"/>
      <w:marRight w:val="0"/>
      <w:marTop w:val="0"/>
      <w:marBottom w:val="0"/>
      <w:divBdr>
        <w:top w:val="none" w:sz="0" w:space="0" w:color="auto"/>
        <w:left w:val="none" w:sz="0" w:space="0" w:color="auto"/>
        <w:bottom w:val="none" w:sz="0" w:space="0" w:color="auto"/>
        <w:right w:val="none" w:sz="0" w:space="0" w:color="auto"/>
      </w:divBdr>
    </w:div>
    <w:div w:id="740564203">
      <w:bodyDiv w:val="1"/>
      <w:marLeft w:val="0"/>
      <w:marRight w:val="0"/>
      <w:marTop w:val="0"/>
      <w:marBottom w:val="0"/>
      <w:divBdr>
        <w:top w:val="none" w:sz="0" w:space="0" w:color="auto"/>
        <w:left w:val="none" w:sz="0" w:space="0" w:color="auto"/>
        <w:bottom w:val="none" w:sz="0" w:space="0" w:color="auto"/>
        <w:right w:val="none" w:sz="0" w:space="0" w:color="auto"/>
      </w:divBdr>
    </w:div>
    <w:div w:id="835532876">
      <w:bodyDiv w:val="1"/>
      <w:marLeft w:val="0"/>
      <w:marRight w:val="0"/>
      <w:marTop w:val="0"/>
      <w:marBottom w:val="0"/>
      <w:divBdr>
        <w:top w:val="none" w:sz="0" w:space="0" w:color="auto"/>
        <w:left w:val="none" w:sz="0" w:space="0" w:color="auto"/>
        <w:bottom w:val="none" w:sz="0" w:space="0" w:color="auto"/>
        <w:right w:val="none" w:sz="0" w:space="0" w:color="auto"/>
      </w:divBdr>
      <w:divsChild>
        <w:div w:id="244923998">
          <w:marLeft w:val="0"/>
          <w:marRight w:val="0"/>
          <w:marTop w:val="0"/>
          <w:marBottom w:val="0"/>
          <w:divBdr>
            <w:top w:val="none" w:sz="0" w:space="0" w:color="auto"/>
            <w:left w:val="none" w:sz="0" w:space="0" w:color="auto"/>
            <w:bottom w:val="none" w:sz="0" w:space="0" w:color="auto"/>
            <w:right w:val="none" w:sz="0" w:space="0" w:color="auto"/>
          </w:divBdr>
        </w:div>
        <w:div w:id="424303210">
          <w:marLeft w:val="0"/>
          <w:marRight w:val="0"/>
          <w:marTop w:val="0"/>
          <w:marBottom w:val="0"/>
          <w:divBdr>
            <w:top w:val="none" w:sz="0" w:space="0" w:color="auto"/>
            <w:left w:val="none" w:sz="0" w:space="0" w:color="auto"/>
            <w:bottom w:val="none" w:sz="0" w:space="0" w:color="auto"/>
            <w:right w:val="none" w:sz="0" w:space="0" w:color="auto"/>
          </w:divBdr>
        </w:div>
        <w:div w:id="513416922">
          <w:marLeft w:val="0"/>
          <w:marRight w:val="0"/>
          <w:marTop w:val="0"/>
          <w:marBottom w:val="0"/>
          <w:divBdr>
            <w:top w:val="none" w:sz="0" w:space="0" w:color="auto"/>
            <w:left w:val="none" w:sz="0" w:space="0" w:color="auto"/>
            <w:bottom w:val="none" w:sz="0" w:space="0" w:color="auto"/>
            <w:right w:val="none" w:sz="0" w:space="0" w:color="auto"/>
          </w:divBdr>
        </w:div>
        <w:div w:id="872771266">
          <w:marLeft w:val="0"/>
          <w:marRight w:val="0"/>
          <w:marTop w:val="0"/>
          <w:marBottom w:val="0"/>
          <w:divBdr>
            <w:top w:val="none" w:sz="0" w:space="0" w:color="auto"/>
            <w:left w:val="none" w:sz="0" w:space="0" w:color="auto"/>
            <w:bottom w:val="none" w:sz="0" w:space="0" w:color="auto"/>
            <w:right w:val="none" w:sz="0" w:space="0" w:color="auto"/>
          </w:divBdr>
        </w:div>
        <w:div w:id="1004672981">
          <w:marLeft w:val="0"/>
          <w:marRight w:val="0"/>
          <w:marTop w:val="0"/>
          <w:marBottom w:val="0"/>
          <w:divBdr>
            <w:top w:val="none" w:sz="0" w:space="0" w:color="auto"/>
            <w:left w:val="none" w:sz="0" w:space="0" w:color="auto"/>
            <w:bottom w:val="none" w:sz="0" w:space="0" w:color="auto"/>
            <w:right w:val="none" w:sz="0" w:space="0" w:color="auto"/>
          </w:divBdr>
        </w:div>
        <w:div w:id="1090934780">
          <w:marLeft w:val="0"/>
          <w:marRight w:val="0"/>
          <w:marTop w:val="0"/>
          <w:marBottom w:val="0"/>
          <w:divBdr>
            <w:top w:val="none" w:sz="0" w:space="0" w:color="auto"/>
            <w:left w:val="none" w:sz="0" w:space="0" w:color="auto"/>
            <w:bottom w:val="none" w:sz="0" w:space="0" w:color="auto"/>
            <w:right w:val="none" w:sz="0" w:space="0" w:color="auto"/>
          </w:divBdr>
        </w:div>
        <w:div w:id="1320427411">
          <w:marLeft w:val="0"/>
          <w:marRight w:val="0"/>
          <w:marTop w:val="0"/>
          <w:marBottom w:val="0"/>
          <w:divBdr>
            <w:top w:val="none" w:sz="0" w:space="0" w:color="auto"/>
            <w:left w:val="none" w:sz="0" w:space="0" w:color="auto"/>
            <w:bottom w:val="none" w:sz="0" w:space="0" w:color="auto"/>
            <w:right w:val="none" w:sz="0" w:space="0" w:color="auto"/>
          </w:divBdr>
        </w:div>
        <w:div w:id="1442340828">
          <w:marLeft w:val="0"/>
          <w:marRight w:val="0"/>
          <w:marTop w:val="0"/>
          <w:marBottom w:val="0"/>
          <w:divBdr>
            <w:top w:val="none" w:sz="0" w:space="0" w:color="auto"/>
            <w:left w:val="none" w:sz="0" w:space="0" w:color="auto"/>
            <w:bottom w:val="none" w:sz="0" w:space="0" w:color="auto"/>
            <w:right w:val="none" w:sz="0" w:space="0" w:color="auto"/>
          </w:divBdr>
        </w:div>
        <w:div w:id="1478301212">
          <w:marLeft w:val="0"/>
          <w:marRight w:val="0"/>
          <w:marTop w:val="0"/>
          <w:marBottom w:val="0"/>
          <w:divBdr>
            <w:top w:val="none" w:sz="0" w:space="0" w:color="auto"/>
            <w:left w:val="none" w:sz="0" w:space="0" w:color="auto"/>
            <w:bottom w:val="none" w:sz="0" w:space="0" w:color="auto"/>
            <w:right w:val="none" w:sz="0" w:space="0" w:color="auto"/>
          </w:divBdr>
        </w:div>
        <w:div w:id="1614632258">
          <w:marLeft w:val="0"/>
          <w:marRight w:val="0"/>
          <w:marTop w:val="0"/>
          <w:marBottom w:val="0"/>
          <w:divBdr>
            <w:top w:val="none" w:sz="0" w:space="0" w:color="auto"/>
            <w:left w:val="none" w:sz="0" w:space="0" w:color="auto"/>
            <w:bottom w:val="none" w:sz="0" w:space="0" w:color="auto"/>
            <w:right w:val="none" w:sz="0" w:space="0" w:color="auto"/>
          </w:divBdr>
        </w:div>
      </w:divsChild>
    </w:div>
    <w:div w:id="1027950854">
      <w:bodyDiv w:val="1"/>
      <w:marLeft w:val="0"/>
      <w:marRight w:val="0"/>
      <w:marTop w:val="0"/>
      <w:marBottom w:val="0"/>
      <w:divBdr>
        <w:top w:val="none" w:sz="0" w:space="0" w:color="auto"/>
        <w:left w:val="none" w:sz="0" w:space="0" w:color="auto"/>
        <w:bottom w:val="none" w:sz="0" w:space="0" w:color="auto"/>
        <w:right w:val="none" w:sz="0" w:space="0" w:color="auto"/>
      </w:divBdr>
    </w:div>
    <w:div w:id="1456095614">
      <w:bodyDiv w:val="1"/>
      <w:marLeft w:val="0"/>
      <w:marRight w:val="0"/>
      <w:marTop w:val="0"/>
      <w:marBottom w:val="0"/>
      <w:divBdr>
        <w:top w:val="none" w:sz="0" w:space="0" w:color="auto"/>
        <w:left w:val="none" w:sz="0" w:space="0" w:color="auto"/>
        <w:bottom w:val="none" w:sz="0" w:space="0" w:color="auto"/>
        <w:right w:val="none" w:sz="0" w:space="0" w:color="auto"/>
      </w:divBdr>
    </w:div>
    <w:div w:id="15758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mr.qld.gov.au/travel-and-transport/pedestrians-and-%20walking/queensland-" TargetMode="External"/><Relationship Id="rId18" Type="http://schemas.openxmlformats.org/officeDocument/2006/relationships/hyperlink" Target="https://www.tmr.qld.gov.au/business-industry/Transport-sectors/Ports/Sustainable-port-development-and-operation/Master-planning-for-priority-ports/Master-planning-for-the-priority-Port-of-Gladstone" TargetMode="External"/><Relationship Id="rId26" Type="http://schemas.openxmlformats.org/officeDocument/2006/relationships/hyperlink" Target="https://www.tmr.qld.gov.au/business-industry/transport-sectors/ports/sustainable-port-development-and-operation/master-planning-for-priority-ports/master-planning-for-the-priority-port-of-abbot-point" TargetMode="External"/><Relationship Id="rId3" Type="http://schemas.openxmlformats.org/officeDocument/2006/relationships/styles" Target="styles.xml"/><Relationship Id="rId21" Type="http://schemas.openxmlformats.org/officeDocument/2006/relationships/hyperlink" Target="https://www.tmr.qld.gov.au/business-industry/Transport-sectors/Ports/Sustainable-port-development-and-operation/Master-planning-for-priority-ports/Master-planning-for-the-priority-Port-of-Townsville" TargetMode="External"/><Relationship Id="rId7" Type="http://schemas.openxmlformats.org/officeDocument/2006/relationships/endnotes" Target="endnotes.xml"/><Relationship Id="rId12" Type="http://schemas.openxmlformats.org/officeDocument/2006/relationships/hyperlink" Target="https://www.tmr.qld.gov.au/travel-and-transport/Cycling/Cycling-strategies" TargetMode="External"/><Relationship Id="rId17" Type="http://schemas.openxmlformats.org/officeDocument/2006/relationships/hyperlink" Target="https://www.tmr.qld.gov.au/business-industry/Transport-sectors/Ports/Sustainable-port-development-and-operation/Master-planning-for-priority-ports/Master-planning-for-the-priority-Port-of-Gladstone" TargetMode="External"/><Relationship Id="rId25" Type="http://schemas.openxmlformats.org/officeDocument/2006/relationships/hyperlink" Target="https://www.tmr.qld.gov.au/business-industry/Transport-sectors/Ports/Sustainable-port-development-and-operation/Master-planning-for-priority-ports/Master-planning-for-the-priority-Port-of-Hay-Point-Mackay" TargetMode="External"/><Relationship Id="rId2" Type="http://schemas.openxmlformats.org/officeDocument/2006/relationships/numbering" Target="numbering.xml"/><Relationship Id="rId16" Type="http://schemas.openxmlformats.org/officeDocument/2006/relationships/hyperlink" Target="https://www.tmr.qld.gov.au/business-industry/Transport-sectors/Ports/Sustainable-port-development-and-operation/Master-planning-for-priority-ports" TargetMode="External"/><Relationship Id="rId20" Type="http://schemas.openxmlformats.org/officeDocument/2006/relationships/hyperlink" Target="https://www.tmr.qld.gov.au/business-industry/Transport-sectors/Ports/Sustainable-port-development-and-operation/Master-planning-for-priority-ports/Master-planning-for-the-priority-Port-of-Townsvill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r.qld.gov.au/business-industry/Transport-sectors/Ports/Sustainable-port-development-and-operation/Master-planning-for-priority-ports" TargetMode="External"/><Relationship Id="rId24" Type="http://schemas.openxmlformats.org/officeDocument/2006/relationships/hyperlink" Target="https://www.tmr.qld.gov.au/business-industry/Transport-sectors/Ports/Sustainable-port-development-and-operation/Master-planning-for-priority-ports/Master-planning-for-the-priority-Port-of-Hay-Point-Macka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mr.qld.gov.au/business-industry/Transport-sectors/Ports/Sustainable-port-" TargetMode="External"/><Relationship Id="rId23" Type="http://schemas.openxmlformats.org/officeDocument/2006/relationships/hyperlink" Target="https://www.tmr.qld.gov.au/business-industry/Transport-sectors/Ports/Sustainable-port-development-and-operation/Master-planning-for-priority-ports/Master-planning-for-the-priority-Port-of-Hay-Point-Mackay" TargetMode="External"/><Relationship Id="rId28" Type="http://schemas.openxmlformats.org/officeDocument/2006/relationships/hyperlink" Target="https://www.tmr.qld.gov.au/business-industry/transport-sectors/ports/sustainable-port-development-and-operation/master-planning-for-priority-ports/master-planning-for-the-priority-port-of-abbot-point" TargetMode="External"/><Relationship Id="rId10" Type="http://schemas.openxmlformats.org/officeDocument/2006/relationships/image" Target="media/image3.png"/><Relationship Id="rId19" Type="http://schemas.openxmlformats.org/officeDocument/2006/relationships/hyperlink" Target="https://www.tmr.qld.gov.au/business-industry/Transport-sectors/Ports/Sustainable-port-development-and-operation/Master-planning-for-priority-ports/Master-planning-for-the-priority-Port-of-Gladsto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mr.qld.gov.au/travel-and-transport/pedestrians-and-walking/queensland-walking-strategy" TargetMode="External"/><Relationship Id="rId22" Type="http://schemas.openxmlformats.org/officeDocument/2006/relationships/hyperlink" Target="https://www.tmr.qld.gov.au/business-industry/Transport-sectors/Ports/Sustainable-port-development-and-operation/Master-planning-for-priority-ports/Master-planning-for-the-priority-Port-of-Townsville" TargetMode="External"/><Relationship Id="rId27" Type="http://schemas.openxmlformats.org/officeDocument/2006/relationships/hyperlink" Target="https://www.tmr.qld.gov.au/business-industry/transport-sectors/ports/sustainable-port-development-and-operation/master-planning-for-priority-ports/master-planning-for-the-priority-port-of-abbot-poi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6652</Words>
  <Characters>37923</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2024-12-20T03:18:00Z</dcterms:created>
  <dcterms:modified xsi:type="dcterms:W3CDTF">2024-12-20T03:18:00Z</dcterms:modified>
</cp:coreProperties>
</file>