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B289" w14:textId="1A8F6268" w:rsidR="00FE3568" w:rsidRPr="00C129E4" w:rsidRDefault="00FA6C99" w:rsidP="00405F8D">
      <w:pPr>
        <w:pStyle w:val="Heading3"/>
        <w:spacing w:before="120" w:after="0"/>
        <w:rPr>
          <w:rFonts w:ascii="Calibri" w:hAnsi="Calibri" w:cs="Calibri"/>
          <w:spacing w:val="20"/>
          <w:sz w:val="32"/>
          <w:szCs w:val="28"/>
        </w:rPr>
      </w:pPr>
      <w:bookmarkStart w:id="0" w:name="Cover"/>
      <w:r w:rsidRPr="00C129E4">
        <w:rPr>
          <w:rFonts w:ascii="Calibri" w:hAnsi="Calibri" w:cs="Calibri"/>
          <w:spacing w:val="20"/>
          <w:sz w:val="32"/>
          <w:szCs w:val="28"/>
        </w:rPr>
        <w:t>Compliance Statement</w:t>
      </w:r>
      <w:r w:rsidR="00867E7F" w:rsidRPr="00C129E4">
        <w:rPr>
          <w:rFonts w:ascii="Calibri" w:hAnsi="Calibri" w:cs="Calibri"/>
          <w:spacing w:val="20"/>
          <w:sz w:val="32"/>
          <w:szCs w:val="28"/>
        </w:rPr>
        <w:t xml:space="preserve"> AS2809.</w:t>
      </w:r>
      <w:r w:rsidR="0036123F" w:rsidRPr="00C129E4">
        <w:rPr>
          <w:rFonts w:ascii="Calibri" w:hAnsi="Calibri" w:cs="Calibri"/>
          <w:spacing w:val="20"/>
          <w:sz w:val="32"/>
          <w:szCs w:val="28"/>
        </w:rPr>
        <w:t>2</w:t>
      </w:r>
      <w:r w:rsidR="00C07A53" w:rsidRPr="00C129E4">
        <w:rPr>
          <w:rFonts w:ascii="Calibri" w:hAnsi="Calibri" w:cs="Calibri"/>
          <w:spacing w:val="20"/>
          <w:sz w:val="32"/>
          <w:szCs w:val="28"/>
        </w:rPr>
        <w:t xml:space="preserve"> 202</w:t>
      </w:r>
      <w:r w:rsidR="00BB53F3">
        <w:rPr>
          <w:rFonts w:ascii="Calibri" w:hAnsi="Calibri" w:cs="Calibri"/>
          <w:spacing w:val="20"/>
          <w:sz w:val="32"/>
          <w:szCs w:val="28"/>
        </w:rPr>
        <w:t>3</w:t>
      </w:r>
    </w:p>
    <w:p w14:paraId="3FE600C7" w14:textId="7DCE104C" w:rsidR="00B07D66" w:rsidRPr="00C129E4" w:rsidRDefault="0036123F" w:rsidP="00E944AF">
      <w:pPr>
        <w:pStyle w:val="Heading5"/>
        <w:spacing w:before="0"/>
        <w:rPr>
          <w:rFonts w:ascii="Calibri" w:hAnsi="Calibri" w:cs="Calibri"/>
          <w:szCs w:val="20"/>
        </w:rPr>
      </w:pPr>
      <w:r w:rsidRPr="00C129E4">
        <w:rPr>
          <w:rFonts w:ascii="Calibri" w:hAnsi="Calibri" w:cs="Calibri"/>
          <w:szCs w:val="20"/>
        </w:rPr>
        <w:t>Road tank vehicles for dangerous goods Part 2: Road tank vehicles for flammable liquids</w:t>
      </w:r>
    </w:p>
    <w:p w14:paraId="6D9D8404" w14:textId="77777777" w:rsidR="003059C9" w:rsidRPr="00C129E4" w:rsidRDefault="003059C9" w:rsidP="003059C9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bookmarkStart w:id="1" w:name="_Hlk113521080"/>
      <w:r w:rsidRPr="00C129E4">
        <w:rPr>
          <w:rFonts w:ascii="Calibri" w:hAnsi="Calibri" w:cs="Calibri"/>
          <w:b/>
          <w:bCs/>
          <w:szCs w:val="20"/>
        </w:rPr>
        <w:t xml:space="preserve">Certify compliance - </w:t>
      </w:r>
      <w:r w:rsidRPr="00C129E4">
        <w:rPr>
          <w:rFonts w:ascii="Calibri" w:hAnsi="Calibri" w:cs="Calibri"/>
          <w:szCs w:val="20"/>
        </w:rPr>
        <w:t xml:space="preserve">RPEQ engineer to address each sub clause for compliance by: </w:t>
      </w:r>
    </w:p>
    <w:p w14:paraId="4EDE73A8" w14:textId="77777777" w:rsidR="003059C9" w:rsidRPr="00C129E4" w:rsidRDefault="003059C9" w:rsidP="003059C9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C129E4">
        <w:rPr>
          <w:rFonts w:ascii="Calibri" w:hAnsi="Calibri" w:cs="Calibri"/>
          <w:szCs w:val="20"/>
        </w:rPr>
        <w:t xml:space="preserve">ticking to certify </w:t>
      </w:r>
      <w:proofErr w:type="gramStart"/>
      <w:r w:rsidRPr="00C129E4">
        <w:rPr>
          <w:rFonts w:ascii="Calibri" w:hAnsi="Calibri" w:cs="Calibri"/>
          <w:szCs w:val="20"/>
        </w:rPr>
        <w:t>compliance</w:t>
      </w:r>
      <w:proofErr w:type="gramEnd"/>
    </w:p>
    <w:p w14:paraId="4707C494" w14:textId="77777777" w:rsidR="003059C9" w:rsidRPr="00C129E4" w:rsidRDefault="003059C9" w:rsidP="003059C9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C129E4">
        <w:rPr>
          <w:rFonts w:ascii="Calibri" w:hAnsi="Calibri" w:cs="Calibri"/>
          <w:szCs w:val="20"/>
        </w:rPr>
        <w:t>writing n/a, or</w:t>
      </w:r>
    </w:p>
    <w:p w14:paraId="100D45B9" w14:textId="14727A05" w:rsidR="003059C9" w:rsidRPr="00C129E4" w:rsidRDefault="003059C9" w:rsidP="003059C9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C129E4">
        <w:rPr>
          <w:rFonts w:ascii="Calibri" w:hAnsi="Calibri" w:cs="Calibri"/>
          <w:szCs w:val="20"/>
        </w:rPr>
        <w:t>leave blank if the clause is being peer reviewed for new designs and innovations</w:t>
      </w:r>
      <w:r w:rsidR="00A5105D">
        <w:rPr>
          <w:rFonts w:ascii="Calibri" w:hAnsi="Calibri" w:cs="Calibri"/>
          <w:szCs w:val="20"/>
        </w:rPr>
        <w:t>.</w:t>
      </w:r>
    </w:p>
    <w:p w14:paraId="68388985" w14:textId="06BFC61F" w:rsidR="003059C9" w:rsidRPr="00C129E4" w:rsidRDefault="003059C9" w:rsidP="003059C9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C129E4">
        <w:rPr>
          <w:rFonts w:ascii="Calibri" w:hAnsi="Calibri" w:cs="Calibri"/>
          <w:b/>
          <w:bCs/>
          <w:szCs w:val="20"/>
        </w:rPr>
        <w:t>Peer reviewing RPEQ engineer</w:t>
      </w:r>
      <w:r w:rsidRPr="00C129E4">
        <w:rPr>
          <w:rFonts w:ascii="Calibri" w:hAnsi="Calibri" w:cs="Calibri"/>
          <w:szCs w:val="20"/>
        </w:rPr>
        <w:t xml:space="preserve"> - sign and date the sub clause for out-of-scope new designs and innovations</w:t>
      </w:r>
      <w:r w:rsidR="00A5105D">
        <w:rPr>
          <w:rFonts w:ascii="Calibri" w:hAnsi="Calibri" w:cs="Calibri"/>
          <w:szCs w:val="20"/>
        </w:rPr>
        <w:t>.</w:t>
      </w:r>
    </w:p>
    <w:p w14:paraId="5C009FD0" w14:textId="06203E80" w:rsidR="003059C9" w:rsidRPr="00C129E4" w:rsidRDefault="003059C9" w:rsidP="003059C9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C129E4">
        <w:rPr>
          <w:rFonts w:ascii="Calibri" w:hAnsi="Calibri" w:cs="Calibri"/>
          <w:b/>
          <w:bCs/>
          <w:szCs w:val="20"/>
        </w:rPr>
        <w:t>Reference</w:t>
      </w:r>
      <w:r w:rsidRPr="00C129E4">
        <w:rPr>
          <w:rFonts w:ascii="Calibri" w:hAnsi="Calibri" w:cs="Calibri"/>
          <w:szCs w:val="20"/>
        </w:rPr>
        <w:t xml:space="preserve"> – for each sub clause identify the title of the documents referenced for the compliance statement where relevant</w:t>
      </w:r>
      <w:r w:rsidR="00A5105D">
        <w:rPr>
          <w:rFonts w:ascii="Calibri" w:hAnsi="Calibri" w:cs="Calibri"/>
          <w:szCs w:val="20"/>
        </w:rPr>
        <w:t>.</w:t>
      </w:r>
    </w:p>
    <w:p w14:paraId="598DDA51" w14:textId="77777777" w:rsidR="004D7A3E" w:rsidRPr="00C129E4" w:rsidRDefault="004D7A3E" w:rsidP="004D7A3E">
      <w:pPr>
        <w:pStyle w:val="BodyText"/>
        <w:spacing w:before="0" w:after="0" w:line="240" w:lineRule="auto"/>
        <w:ind w:left="426"/>
        <w:rPr>
          <w:rFonts w:ascii="Calibri" w:hAnsi="Calibri" w:cs="Calibri"/>
          <w:sz w:val="10"/>
          <w:szCs w:val="10"/>
        </w:rPr>
      </w:pPr>
    </w:p>
    <w:tbl>
      <w:tblPr>
        <w:tblStyle w:val="TableGridLight"/>
        <w:tblW w:w="0" w:type="auto"/>
        <w:tblBorders>
          <w:top w:val="single" w:sz="4" w:space="0" w:color="B3B3B4" w:themeColor="accent5" w:themeTint="99"/>
          <w:left w:val="none" w:sz="0" w:space="0" w:color="auto"/>
          <w:bottom w:val="single" w:sz="4" w:space="0" w:color="B3B3B4" w:themeColor="accent5" w:themeTint="99"/>
          <w:right w:val="none" w:sz="0" w:space="0" w:color="auto"/>
          <w:insideH w:val="single" w:sz="4" w:space="0" w:color="B3B3B4" w:themeColor="accent5" w:themeTint="99"/>
          <w:insideV w:val="single" w:sz="4" w:space="0" w:color="B3B3B4" w:themeColor="accent5" w:themeTint="99"/>
        </w:tblBorders>
        <w:tblLook w:val="04A0" w:firstRow="1" w:lastRow="0" w:firstColumn="1" w:lastColumn="0" w:noHBand="0" w:noVBand="1"/>
      </w:tblPr>
      <w:tblGrid>
        <w:gridCol w:w="3402"/>
        <w:gridCol w:w="6941"/>
      </w:tblGrid>
      <w:tr w:rsidR="00E944AF" w:rsidRPr="00C129E4" w14:paraId="021D1774" w14:textId="77777777" w:rsidTr="00C10D0F">
        <w:tc>
          <w:tcPr>
            <w:tcW w:w="3402" w:type="dxa"/>
            <w:shd w:val="clear" w:color="auto" w:fill="auto"/>
            <w:vAlign w:val="center"/>
          </w:tcPr>
          <w:p w14:paraId="07D1167B" w14:textId="27AECC7A" w:rsidR="00DD189C" w:rsidRPr="00C129E4" w:rsidRDefault="00E944AF" w:rsidP="00DD189C">
            <w:pPr>
              <w:pStyle w:val="BodyText"/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bookmarkStart w:id="2" w:name="_Hlk126065828"/>
            <w:r w:rsidRPr="00C129E4">
              <w:rPr>
                <w:rFonts w:ascii="Calibri" w:hAnsi="Calibri" w:cs="Calibri"/>
                <w:szCs w:val="20"/>
              </w:rPr>
              <w:t>Applicant/owner name in full</w:t>
            </w:r>
            <w:r w:rsidR="00753994" w:rsidRPr="00C129E4">
              <w:rPr>
                <w:rFonts w:ascii="Calibri" w:hAnsi="Calibri" w:cs="Calibri"/>
                <w:szCs w:val="20"/>
              </w:rPr>
              <w:t xml:space="preserve">: </w:t>
            </w:r>
          </w:p>
          <w:p w14:paraId="58682965" w14:textId="404B0B87" w:rsidR="00E944AF" w:rsidRPr="00C129E4" w:rsidRDefault="00E944AF" w:rsidP="00DD189C">
            <w:pPr>
              <w:pStyle w:val="BodyText"/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C129E4">
              <w:rPr>
                <w:rFonts w:ascii="Calibri" w:hAnsi="Calibri" w:cs="Calibri"/>
                <w:sz w:val="16"/>
                <w:szCs w:val="16"/>
              </w:rPr>
              <w:t>(</w:t>
            </w:r>
            <w:r w:rsidR="00C129E4" w:rsidRPr="00C129E4">
              <w:rPr>
                <w:rFonts w:ascii="Calibri" w:hAnsi="Calibri" w:cs="Calibri"/>
                <w:sz w:val="16"/>
                <w:szCs w:val="16"/>
              </w:rPr>
              <w:t>To</w:t>
            </w:r>
            <w:r w:rsidRPr="00C129E4">
              <w:rPr>
                <w:rFonts w:ascii="Calibri" w:hAnsi="Calibri" w:cs="Calibri"/>
                <w:sz w:val="16"/>
                <w:szCs w:val="16"/>
              </w:rPr>
              <w:t xml:space="preserve"> whom the approval will be issued)</w:t>
            </w:r>
          </w:p>
        </w:tc>
        <w:tc>
          <w:tcPr>
            <w:tcW w:w="6941" w:type="dxa"/>
          </w:tcPr>
          <w:p w14:paraId="2F08DD43" w14:textId="77777777" w:rsidR="00E944AF" w:rsidRPr="00C129E4" w:rsidRDefault="00E944AF" w:rsidP="004D7A3E">
            <w:pPr>
              <w:pStyle w:val="BodyText"/>
              <w:spacing w:before="60" w:after="60"/>
              <w:rPr>
                <w:rFonts w:ascii="Calibri" w:hAnsi="Calibri" w:cs="Calibri"/>
                <w:szCs w:val="20"/>
              </w:rPr>
            </w:pPr>
          </w:p>
        </w:tc>
      </w:tr>
      <w:bookmarkEnd w:id="1"/>
      <w:bookmarkEnd w:id="2"/>
    </w:tbl>
    <w:p w14:paraId="68E2C1E1" w14:textId="77777777" w:rsidR="008C1230" w:rsidRPr="00C129E4" w:rsidRDefault="008C1230" w:rsidP="00B33A1C">
      <w:pPr>
        <w:pStyle w:val="BodyText"/>
        <w:spacing w:before="0" w:after="0" w:line="240" w:lineRule="auto"/>
        <w:rPr>
          <w:rFonts w:ascii="Calibri" w:hAnsi="Calibri" w:cs="Calibri"/>
          <w:sz w:val="2"/>
          <w:szCs w:val="2"/>
        </w:rPr>
      </w:pPr>
    </w:p>
    <w:bookmarkEnd w:id="0"/>
    <w:p w14:paraId="2A558D44" w14:textId="77777777" w:rsidR="00773B71" w:rsidRPr="0062673D" w:rsidRDefault="00773B71" w:rsidP="00B42B08">
      <w:pPr>
        <w:pStyle w:val="BodyText"/>
        <w:spacing w:before="0"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Style w:val="GridTable1Light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2319"/>
        <w:gridCol w:w="36"/>
        <w:gridCol w:w="2284"/>
        <w:gridCol w:w="71"/>
        <w:gridCol w:w="2250"/>
        <w:gridCol w:w="105"/>
      </w:tblGrid>
      <w:tr w:rsidR="00907FC3" w:rsidRPr="00C129E4" w14:paraId="2CA5C8C3" w14:textId="77777777" w:rsidTr="00A0786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0" w:type="pct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shd w:val="clear" w:color="auto" w:fill="F1F1F2" w:themeFill="accent6" w:themeFillTint="33"/>
          </w:tcPr>
          <w:p w14:paraId="775FD100" w14:textId="433C8DF4" w:rsidR="00ED2CE6" w:rsidRPr="00C129E4" w:rsidRDefault="00ED2CE6" w:rsidP="00EB11D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C129E4">
              <w:rPr>
                <w:rFonts w:ascii="Calibri" w:hAnsi="Calibri" w:cs="Calibri"/>
                <w:szCs w:val="20"/>
              </w:rPr>
              <w:t>Clause</w:t>
            </w:r>
          </w:p>
        </w:tc>
        <w:tc>
          <w:tcPr>
            <w:tcW w:w="1108" w:type="pct"/>
            <w:shd w:val="clear" w:color="auto" w:fill="F1F1F2" w:themeFill="accent6" w:themeFillTint="33"/>
          </w:tcPr>
          <w:p w14:paraId="6D1B7F46" w14:textId="723A499A" w:rsidR="00ED2CE6" w:rsidRPr="00C129E4" w:rsidRDefault="00ED2CE6" w:rsidP="00EB11DF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bookmarkStart w:id="3" w:name="_Hlk120869489"/>
            <w:r w:rsidRPr="00C129E4">
              <w:rPr>
                <w:rFonts w:ascii="Calibri" w:hAnsi="Calibri" w:cs="Calibri"/>
                <w:szCs w:val="20"/>
              </w:rPr>
              <w:t>Certify compliance with AS2809.</w:t>
            </w:r>
            <w:bookmarkEnd w:id="3"/>
            <w:r w:rsidRPr="00C129E4">
              <w:rPr>
                <w:rFonts w:ascii="Calibri" w:hAnsi="Calibri" w:cs="Calibri"/>
                <w:szCs w:val="20"/>
              </w:rPr>
              <w:t>2</w:t>
            </w:r>
          </w:p>
          <w:p w14:paraId="62A35698" w14:textId="52EE8488" w:rsidR="00ED2CE6" w:rsidRPr="00C129E4" w:rsidRDefault="00ED2CE6" w:rsidP="00EB11DF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C129E4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RPEQ engineer to complete</w:t>
            </w:r>
          </w:p>
        </w:tc>
        <w:tc>
          <w:tcPr>
            <w:tcW w:w="1108" w:type="pct"/>
            <w:gridSpan w:val="2"/>
            <w:shd w:val="clear" w:color="auto" w:fill="F1F1F2" w:themeFill="accent6" w:themeFillTint="33"/>
            <w:vAlign w:val="center"/>
          </w:tcPr>
          <w:p w14:paraId="19812913" w14:textId="4759C650" w:rsidR="00ED2CE6" w:rsidRPr="00C129E4" w:rsidRDefault="00ED2CE6" w:rsidP="00EB11DF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C129E4">
              <w:rPr>
                <w:rFonts w:ascii="Calibri" w:hAnsi="Calibri" w:cs="Calibri"/>
                <w:szCs w:val="20"/>
              </w:rPr>
              <w:t>Peer review for new design and innovation</w:t>
            </w:r>
          </w:p>
          <w:p w14:paraId="31E1EBB4" w14:textId="0B1172BB" w:rsidR="00ED2CE6" w:rsidRPr="00C129E4" w:rsidRDefault="00ED2CE6" w:rsidP="00EB11DF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C129E4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RPEQ peer review engineer sign and date</w:t>
            </w:r>
          </w:p>
        </w:tc>
        <w:tc>
          <w:tcPr>
            <w:tcW w:w="1109" w:type="pct"/>
            <w:gridSpan w:val="2"/>
            <w:shd w:val="clear" w:color="auto" w:fill="F1F1F2" w:themeFill="accent6" w:themeFillTint="33"/>
          </w:tcPr>
          <w:p w14:paraId="431C3839" w14:textId="248DA111" w:rsidR="00ED2CE6" w:rsidRPr="00C129E4" w:rsidRDefault="00ED2CE6" w:rsidP="00EB11DF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C129E4">
              <w:rPr>
                <w:rFonts w:ascii="Calibri" w:hAnsi="Calibri" w:cs="Calibri"/>
                <w:szCs w:val="20"/>
              </w:rPr>
              <w:t>Reference</w:t>
            </w:r>
          </w:p>
        </w:tc>
      </w:tr>
      <w:tr w:rsidR="00B019AB" w:rsidRPr="00B42B08" w14:paraId="55A6B747" w14:textId="77777777" w:rsidTr="00A82890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gridAfter w:val="1"/>
          <w:wAfter w:w="50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pct"/>
            <w:gridSpan w:val="6"/>
            <w:tcBorders>
              <w:left w:val="nil"/>
              <w:right w:val="nil"/>
            </w:tcBorders>
            <w:vAlign w:val="center"/>
          </w:tcPr>
          <w:p w14:paraId="2D5FF780" w14:textId="77777777" w:rsidR="00B019AB" w:rsidRPr="00B42B08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B42B08">
              <w:rPr>
                <w:rFonts w:ascii="Calibri" w:hAnsi="Calibri" w:cs="Calibri"/>
                <w:szCs w:val="20"/>
              </w:rPr>
              <w:t>1. Scope and general</w:t>
            </w:r>
          </w:p>
        </w:tc>
      </w:tr>
      <w:tr w:rsidR="00A82890" w:rsidRPr="000C24A9" w14:paraId="552D4CC8" w14:textId="77777777" w:rsidTr="00A0786E">
        <w:trPr>
          <w:gridAfter w:val="1"/>
          <w:wAfter w:w="50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top w:val="single" w:sz="4" w:space="0" w:color="999999" w:themeColor="text1" w:themeTint="66"/>
            </w:tcBorders>
            <w:vAlign w:val="center"/>
          </w:tcPr>
          <w:p w14:paraId="77D1FE19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B42B08">
              <w:rPr>
                <w:rFonts w:ascii="Calibri" w:hAnsi="Calibri" w:cs="Calibri"/>
                <w:b w:val="0"/>
                <w:bCs w:val="0"/>
                <w:szCs w:val="20"/>
              </w:rPr>
              <w:t>1.1 Scope</w:t>
            </w:r>
          </w:p>
        </w:tc>
        <w:tc>
          <w:tcPr>
            <w:tcW w:w="1108" w:type="pct"/>
            <w:tcBorders>
              <w:top w:val="single" w:sz="4" w:space="0" w:color="999999" w:themeColor="text1" w:themeTint="66"/>
            </w:tcBorders>
          </w:tcPr>
          <w:p w14:paraId="4E0E071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999999" w:themeColor="text1" w:themeTint="66"/>
            </w:tcBorders>
          </w:tcPr>
          <w:p w14:paraId="0B32902B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999999" w:themeColor="text1" w:themeTint="66"/>
            </w:tcBorders>
          </w:tcPr>
          <w:p w14:paraId="2DD16570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1A77E77C" w14:textId="77777777" w:rsidTr="00A0786E">
        <w:trPr>
          <w:gridAfter w:val="1"/>
          <w:wAfter w:w="50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top w:val="single" w:sz="4" w:space="0" w:color="999999" w:themeColor="text1" w:themeTint="66"/>
            </w:tcBorders>
            <w:vAlign w:val="center"/>
          </w:tcPr>
          <w:p w14:paraId="45E77F5B" w14:textId="77777777" w:rsidR="00B019AB" w:rsidRPr="00B42B08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B42B08">
              <w:rPr>
                <w:rFonts w:ascii="Calibri" w:hAnsi="Calibri" w:cs="Calibri"/>
                <w:b w:val="0"/>
                <w:bCs w:val="0"/>
                <w:szCs w:val="20"/>
              </w:rPr>
              <w:t>1.2 Application</w:t>
            </w:r>
          </w:p>
        </w:tc>
        <w:tc>
          <w:tcPr>
            <w:tcW w:w="1108" w:type="pct"/>
            <w:tcBorders>
              <w:top w:val="single" w:sz="4" w:space="0" w:color="999999" w:themeColor="text1" w:themeTint="66"/>
            </w:tcBorders>
          </w:tcPr>
          <w:p w14:paraId="5D0D92B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999999" w:themeColor="text1" w:themeTint="66"/>
            </w:tcBorders>
          </w:tcPr>
          <w:p w14:paraId="6CC222F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999999" w:themeColor="text1" w:themeTint="66"/>
            </w:tcBorders>
          </w:tcPr>
          <w:p w14:paraId="6EC519B3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72A581EE" w14:textId="77777777" w:rsidTr="00A0786E">
        <w:trPr>
          <w:gridAfter w:val="1"/>
          <w:wAfter w:w="50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top w:val="single" w:sz="4" w:space="0" w:color="999999" w:themeColor="text1" w:themeTint="66"/>
            </w:tcBorders>
            <w:vAlign w:val="center"/>
          </w:tcPr>
          <w:p w14:paraId="04F8327A" w14:textId="77777777" w:rsidR="00B019AB" w:rsidRPr="00B42B08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B42B08">
              <w:rPr>
                <w:rFonts w:ascii="Calibri" w:hAnsi="Calibri" w:cs="Calibri"/>
                <w:b w:val="0"/>
                <w:bCs w:val="0"/>
                <w:szCs w:val="20"/>
              </w:rPr>
              <w:t>1.3 Normative references</w:t>
            </w:r>
          </w:p>
        </w:tc>
        <w:tc>
          <w:tcPr>
            <w:tcW w:w="1108" w:type="pct"/>
            <w:tcBorders>
              <w:top w:val="single" w:sz="4" w:space="0" w:color="999999" w:themeColor="text1" w:themeTint="66"/>
            </w:tcBorders>
          </w:tcPr>
          <w:p w14:paraId="40B52F2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999999" w:themeColor="text1" w:themeTint="66"/>
            </w:tcBorders>
          </w:tcPr>
          <w:p w14:paraId="01DF249F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999999" w:themeColor="text1" w:themeTint="66"/>
            </w:tcBorders>
          </w:tcPr>
          <w:p w14:paraId="688C8A60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2B5274F0" w14:textId="77777777" w:rsidTr="00A0786E">
        <w:trPr>
          <w:gridAfter w:val="1"/>
          <w:wAfter w:w="50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top w:val="single" w:sz="4" w:space="0" w:color="999999" w:themeColor="text1" w:themeTint="66"/>
            </w:tcBorders>
            <w:vAlign w:val="center"/>
          </w:tcPr>
          <w:p w14:paraId="52767E5F" w14:textId="77777777" w:rsidR="00B019AB" w:rsidRPr="00B42B08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B42B08">
              <w:rPr>
                <w:rFonts w:ascii="Calibri" w:hAnsi="Calibri" w:cs="Calibri"/>
                <w:b w:val="0"/>
                <w:bCs w:val="0"/>
                <w:szCs w:val="20"/>
              </w:rPr>
              <w:t>1.4 Terms and definitions</w:t>
            </w:r>
          </w:p>
        </w:tc>
        <w:tc>
          <w:tcPr>
            <w:tcW w:w="1108" w:type="pct"/>
            <w:tcBorders>
              <w:top w:val="single" w:sz="4" w:space="0" w:color="999999" w:themeColor="text1" w:themeTint="66"/>
            </w:tcBorders>
          </w:tcPr>
          <w:p w14:paraId="26DAE68B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999999" w:themeColor="text1" w:themeTint="66"/>
            </w:tcBorders>
          </w:tcPr>
          <w:p w14:paraId="36CB28C8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999999" w:themeColor="text1" w:themeTint="66"/>
            </w:tcBorders>
          </w:tcPr>
          <w:p w14:paraId="2AE842AB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7A3F5D87" w14:textId="77777777" w:rsidTr="00A0786E">
        <w:trPr>
          <w:gridAfter w:val="1"/>
          <w:wAfter w:w="50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top w:val="single" w:sz="4" w:space="0" w:color="999999" w:themeColor="text1" w:themeTint="66"/>
            </w:tcBorders>
            <w:vAlign w:val="center"/>
          </w:tcPr>
          <w:p w14:paraId="155CD45C" w14:textId="77777777" w:rsidR="00B019AB" w:rsidRPr="00B42B08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B42B08">
              <w:rPr>
                <w:rFonts w:ascii="Calibri" w:hAnsi="Calibri" w:cs="Calibri"/>
                <w:b w:val="0"/>
                <w:bCs w:val="0"/>
                <w:szCs w:val="20"/>
              </w:rPr>
              <w:t>1.5 New designs and innovations</w:t>
            </w:r>
          </w:p>
        </w:tc>
        <w:tc>
          <w:tcPr>
            <w:tcW w:w="1108" w:type="pct"/>
            <w:tcBorders>
              <w:top w:val="single" w:sz="4" w:space="0" w:color="999999" w:themeColor="text1" w:themeTint="66"/>
            </w:tcBorders>
          </w:tcPr>
          <w:p w14:paraId="254B979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999999" w:themeColor="text1" w:themeTint="66"/>
            </w:tcBorders>
          </w:tcPr>
          <w:p w14:paraId="6003C20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999999" w:themeColor="text1" w:themeTint="66"/>
            </w:tcBorders>
          </w:tcPr>
          <w:p w14:paraId="0B37E456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019AB" w:rsidRPr="00B42B08" w14:paraId="0A4862BD" w14:textId="77777777" w:rsidTr="00A82890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gridAfter w:val="1"/>
          <w:wAfter w:w="50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pct"/>
            <w:gridSpan w:val="6"/>
            <w:tcBorders>
              <w:left w:val="nil"/>
              <w:right w:val="nil"/>
            </w:tcBorders>
          </w:tcPr>
          <w:p w14:paraId="6BF3FD46" w14:textId="77777777" w:rsidR="00B019AB" w:rsidRPr="00B42B08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C76523">
              <w:rPr>
                <w:rFonts w:ascii="Calibri" w:hAnsi="Calibri" w:cs="Calibri"/>
                <w:szCs w:val="20"/>
              </w:rPr>
              <w:t>1.6 General vehicle requirements</w:t>
            </w:r>
          </w:p>
        </w:tc>
      </w:tr>
      <w:tr w:rsidR="00907FC3" w:rsidRPr="000C24A9" w14:paraId="43B93137" w14:textId="77777777" w:rsidTr="00A0786E">
        <w:trPr>
          <w:gridAfter w:val="1"/>
          <w:wAfter w:w="50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top w:val="single" w:sz="4" w:space="0" w:color="999999" w:themeColor="text1" w:themeTint="66"/>
            </w:tcBorders>
          </w:tcPr>
          <w:p w14:paraId="1600AD53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1.6.1 </w:t>
            </w:r>
            <w:r w:rsidRPr="0036123F">
              <w:rPr>
                <w:rFonts w:ascii="Calibri" w:hAnsi="Calibri" w:cs="Calibri"/>
                <w:b w:val="0"/>
                <w:bCs w:val="0"/>
                <w:szCs w:val="20"/>
              </w:rPr>
              <w:t>Spillage control</w:t>
            </w:r>
          </w:p>
        </w:tc>
        <w:tc>
          <w:tcPr>
            <w:tcW w:w="1108" w:type="pct"/>
            <w:tcBorders>
              <w:top w:val="single" w:sz="4" w:space="0" w:color="999999" w:themeColor="text1" w:themeTint="66"/>
            </w:tcBorders>
          </w:tcPr>
          <w:p w14:paraId="330619A0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999999" w:themeColor="text1" w:themeTint="66"/>
            </w:tcBorders>
          </w:tcPr>
          <w:p w14:paraId="0C11EC1D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999999" w:themeColor="text1" w:themeTint="66"/>
            </w:tcBorders>
          </w:tcPr>
          <w:p w14:paraId="269BD7F9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07FC3" w:rsidRPr="000C24A9" w14:paraId="395EE170" w14:textId="77777777" w:rsidTr="00A0786E">
        <w:trPr>
          <w:gridAfter w:val="1"/>
          <w:wAfter w:w="50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top w:val="single" w:sz="4" w:space="0" w:color="999999" w:themeColor="text1" w:themeTint="66"/>
            </w:tcBorders>
          </w:tcPr>
          <w:p w14:paraId="32A1E8F1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1.6.2 </w:t>
            </w:r>
            <w:r w:rsidRPr="0036123F">
              <w:rPr>
                <w:rFonts w:ascii="Calibri" w:hAnsi="Calibri" w:cs="Calibri"/>
                <w:b w:val="0"/>
                <w:bCs w:val="0"/>
                <w:szCs w:val="20"/>
              </w:rPr>
              <w:t>Road tank vehicle propulsion or auxiliary engine exhaust</w:t>
            </w:r>
          </w:p>
        </w:tc>
        <w:tc>
          <w:tcPr>
            <w:tcW w:w="1108" w:type="pct"/>
            <w:tcBorders>
              <w:top w:val="single" w:sz="4" w:space="0" w:color="999999" w:themeColor="text1" w:themeTint="66"/>
            </w:tcBorders>
          </w:tcPr>
          <w:p w14:paraId="087236D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999999" w:themeColor="text1" w:themeTint="66"/>
            </w:tcBorders>
          </w:tcPr>
          <w:p w14:paraId="20AEFFBF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999999" w:themeColor="text1" w:themeTint="66"/>
            </w:tcBorders>
          </w:tcPr>
          <w:p w14:paraId="7495FED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07FC3" w:rsidRPr="000C24A9" w14:paraId="7D085C19" w14:textId="77777777" w:rsidTr="00A0786E">
        <w:trPr>
          <w:gridAfter w:val="1"/>
          <w:wAfter w:w="50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top w:val="single" w:sz="4" w:space="0" w:color="999999" w:themeColor="text1" w:themeTint="66"/>
            </w:tcBorders>
          </w:tcPr>
          <w:p w14:paraId="07FB636D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1.6.3 </w:t>
            </w:r>
            <w:r w:rsidRPr="0036123F">
              <w:rPr>
                <w:rFonts w:ascii="Calibri" w:hAnsi="Calibri" w:cs="Calibri"/>
                <w:b w:val="0"/>
                <w:bCs w:val="0"/>
                <w:szCs w:val="20"/>
              </w:rPr>
              <w:t>Combustion cabin heaters</w:t>
            </w:r>
          </w:p>
        </w:tc>
        <w:tc>
          <w:tcPr>
            <w:tcW w:w="1108" w:type="pct"/>
            <w:tcBorders>
              <w:top w:val="single" w:sz="4" w:space="0" w:color="999999" w:themeColor="text1" w:themeTint="66"/>
            </w:tcBorders>
          </w:tcPr>
          <w:p w14:paraId="522208FD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999999" w:themeColor="text1" w:themeTint="66"/>
            </w:tcBorders>
          </w:tcPr>
          <w:p w14:paraId="7EBFBB2E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999999" w:themeColor="text1" w:themeTint="66"/>
            </w:tcBorders>
          </w:tcPr>
          <w:p w14:paraId="1C7CDBC9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07FC3" w:rsidRPr="000C24A9" w14:paraId="72DF4AB8" w14:textId="77777777" w:rsidTr="00A0786E">
        <w:trPr>
          <w:gridAfter w:val="1"/>
          <w:wAfter w:w="50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top w:val="single" w:sz="4" w:space="0" w:color="999999" w:themeColor="text1" w:themeTint="66"/>
            </w:tcBorders>
          </w:tcPr>
          <w:p w14:paraId="44C2201F" w14:textId="601CC7A8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1.6.4 </w:t>
            </w:r>
            <w:r w:rsidR="00BB53F3">
              <w:rPr>
                <w:rFonts w:ascii="Calibri" w:hAnsi="Calibri" w:cs="Calibri"/>
                <w:b w:val="0"/>
                <w:bCs w:val="0"/>
                <w:szCs w:val="20"/>
              </w:rPr>
              <w:t>Hazardous area classification</w:t>
            </w:r>
          </w:p>
        </w:tc>
        <w:tc>
          <w:tcPr>
            <w:tcW w:w="1108" w:type="pct"/>
            <w:tcBorders>
              <w:top w:val="single" w:sz="4" w:space="0" w:color="999999" w:themeColor="text1" w:themeTint="66"/>
            </w:tcBorders>
          </w:tcPr>
          <w:p w14:paraId="6657149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999999" w:themeColor="text1" w:themeTint="66"/>
            </w:tcBorders>
          </w:tcPr>
          <w:p w14:paraId="35BE8C39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999999" w:themeColor="text1" w:themeTint="66"/>
            </w:tcBorders>
          </w:tcPr>
          <w:p w14:paraId="6A164198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019AB" w:rsidRPr="000C24A9" w14:paraId="04C5FC1C" w14:textId="77777777" w:rsidTr="00907F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single" w:sz="4" w:space="0" w:color="999999" w:themeColor="text1" w:themeTint="66"/>
            </w:tcBorders>
          </w:tcPr>
          <w:p w14:paraId="3C9A4140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2.1 Materials</w:t>
            </w:r>
          </w:p>
        </w:tc>
      </w:tr>
      <w:tr w:rsidR="00A82890" w:rsidRPr="000C24A9" w14:paraId="45D32AC0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top w:val="single" w:sz="4" w:space="0" w:color="999999" w:themeColor="text1" w:themeTint="66"/>
            </w:tcBorders>
            <w:vAlign w:val="center"/>
          </w:tcPr>
          <w:p w14:paraId="3A657911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2.1.1 Standards</w:t>
            </w:r>
          </w:p>
        </w:tc>
        <w:tc>
          <w:tcPr>
            <w:tcW w:w="1125" w:type="pct"/>
            <w:gridSpan w:val="2"/>
            <w:tcBorders>
              <w:top w:val="single" w:sz="4" w:space="0" w:color="999999" w:themeColor="text1" w:themeTint="66"/>
            </w:tcBorders>
          </w:tcPr>
          <w:p w14:paraId="61E2522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999999" w:themeColor="text1" w:themeTint="66"/>
            </w:tcBorders>
          </w:tcPr>
          <w:p w14:paraId="42774963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999999" w:themeColor="text1" w:themeTint="66"/>
            </w:tcBorders>
          </w:tcPr>
          <w:p w14:paraId="754727E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6D052488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vAlign w:val="center"/>
          </w:tcPr>
          <w:p w14:paraId="511BF392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2.1.2 Material grades</w:t>
            </w:r>
          </w:p>
        </w:tc>
        <w:tc>
          <w:tcPr>
            <w:tcW w:w="1125" w:type="pct"/>
            <w:gridSpan w:val="2"/>
          </w:tcPr>
          <w:p w14:paraId="385C107D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3EF16D31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EF6CC36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6B58DFF3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vAlign w:val="center"/>
          </w:tcPr>
          <w:p w14:paraId="79576B57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2.1.3 Material compatibility</w:t>
            </w:r>
          </w:p>
        </w:tc>
        <w:tc>
          <w:tcPr>
            <w:tcW w:w="1125" w:type="pct"/>
            <w:gridSpan w:val="2"/>
          </w:tcPr>
          <w:p w14:paraId="29BDE537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50F2527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1112F8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019AB" w:rsidRPr="000C24A9" w14:paraId="14D7A06F" w14:textId="77777777" w:rsidTr="00907F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4B9456ED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0C24A9">
              <w:rPr>
                <w:rFonts w:ascii="Calibri" w:hAnsi="Calibri" w:cs="Calibri"/>
                <w:szCs w:val="20"/>
              </w:rPr>
              <w:t>2.2 Tank design and construction</w:t>
            </w:r>
          </w:p>
        </w:tc>
      </w:tr>
      <w:tr w:rsidR="00A82890" w:rsidRPr="000C24A9" w14:paraId="64934094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vAlign w:val="center"/>
          </w:tcPr>
          <w:p w14:paraId="2F32901A" w14:textId="5939EF95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 xml:space="preserve">2.2.1 Tank </w:t>
            </w:r>
            <w:r w:rsidR="00BB53F3">
              <w:rPr>
                <w:rFonts w:ascii="Calibri" w:hAnsi="Calibri" w:cs="Calibri"/>
                <w:b w:val="0"/>
                <w:bCs w:val="0"/>
                <w:szCs w:val="20"/>
              </w:rPr>
              <w:t>types</w:t>
            </w:r>
          </w:p>
        </w:tc>
        <w:tc>
          <w:tcPr>
            <w:tcW w:w="1125" w:type="pct"/>
            <w:gridSpan w:val="2"/>
          </w:tcPr>
          <w:p w14:paraId="41CEFDC0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3CE99374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7CAA7C6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019AB" w:rsidRPr="000C24A9" w14:paraId="186B8F7B" w14:textId="77777777" w:rsidTr="00907F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00214BF4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0C24A9">
              <w:rPr>
                <w:rFonts w:ascii="Calibri" w:hAnsi="Calibri" w:cs="Calibri"/>
                <w:szCs w:val="20"/>
              </w:rPr>
              <w:t>2.2.2 Design criteria</w:t>
            </w:r>
          </w:p>
        </w:tc>
      </w:tr>
      <w:tr w:rsidR="00A82890" w:rsidRPr="000C24A9" w14:paraId="35BC96BC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vAlign w:val="center"/>
          </w:tcPr>
          <w:p w14:paraId="716C323B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2.2.2.1 General</w:t>
            </w:r>
          </w:p>
        </w:tc>
        <w:tc>
          <w:tcPr>
            <w:tcW w:w="1125" w:type="pct"/>
            <w:gridSpan w:val="2"/>
          </w:tcPr>
          <w:p w14:paraId="5ECFF3C1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AC71BF0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387A472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52EFFF39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1EEF84BD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2.2.2.2 Design Loads</w:t>
            </w:r>
          </w:p>
        </w:tc>
        <w:tc>
          <w:tcPr>
            <w:tcW w:w="1125" w:type="pct"/>
            <w:gridSpan w:val="2"/>
          </w:tcPr>
          <w:p w14:paraId="65C4035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2BC1727B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3751A9E8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31260592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C1F14A8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2.2.2.3 Design Pressure</w:t>
            </w:r>
          </w:p>
        </w:tc>
        <w:tc>
          <w:tcPr>
            <w:tcW w:w="1125" w:type="pct"/>
            <w:gridSpan w:val="2"/>
          </w:tcPr>
          <w:p w14:paraId="2F6860E7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25A38A9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A3C94D1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019AB" w:rsidRPr="000C24A9" w14:paraId="7FE7DFF2" w14:textId="77777777" w:rsidTr="00907F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1AB07E3E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0C24A9">
              <w:rPr>
                <w:rFonts w:ascii="Calibri" w:hAnsi="Calibri" w:cs="Calibri"/>
                <w:szCs w:val="20"/>
              </w:rPr>
              <w:t>2.2.3 Design methods</w:t>
            </w:r>
          </w:p>
        </w:tc>
      </w:tr>
      <w:tr w:rsidR="00A82890" w:rsidRPr="000C24A9" w14:paraId="216E9F34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7D87356E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2.2.3.1 General</w:t>
            </w:r>
          </w:p>
        </w:tc>
        <w:tc>
          <w:tcPr>
            <w:tcW w:w="1125" w:type="pct"/>
            <w:gridSpan w:val="2"/>
          </w:tcPr>
          <w:p w14:paraId="4719BA2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107CB2E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30A6918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32FBF0D9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BDE4D6E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2.2.3.2 Calculation</w:t>
            </w:r>
          </w:p>
        </w:tc>
        <w:tc>
          <w:tcPr>
            <w:tcW w:w="1125" w:type="pct"/>
            <w:gridSpan w:val="2"/>
          </w:tcPr>
          <w:p w14:paraId="0A4D5001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302DE13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300E631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6139A81D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065394F8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2.2.3.3 Finite element analysis</w:t>
            </w:r>
          </w:p>
        </w:tc>
        <w:tc>
          <w:tcPr>
            <w:tcW w:w="1125" w:type="pct"/>
            <w:gridSpan w:val="2"/>
          </w:tcPr>
          <w:p w14:paraId="4F86A34B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B334CB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A13B5FD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7751E1BE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7BF34E74" w14:textId="77777777" w:rsidR="00B019AB" w:rsidRPr="0007665B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7665B">
              <w:rPr>
                <w:rFonts w:ascii="Calibri" w:hAnsi="Calibri" w:cs="Calibri"/>
                <w:b w:val="0"/>
                <w:bCs w:val="0"/>
                <w:szCs w:val="20"/>
              </w:rPr>
              <w:t>2.2.4 Corrosion</w:t>
            </w:r>
          </w:p>
        </w:tc>
        <w:tc>
          <w:tcPr>
            <w:tcW w:w="1125" w:type="pct"/>
            <w:gridSpan w:val="2"/>
          </w:tcPr>
          <w:p w14:paraId="4015A3E3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193D1D19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892158F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68E43ECE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1B4E2B37" w14:textId="77777777" w:rsidR="00B019AB" w:rsidRPr="0007665B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7665B">
              <w:rPr>
                <w:rFonts w:ascii="Calibri" w:hAnsi="Calibri" w:cs="Calibri"/>
                <w:b w:val="0"/>
                <w:bCs w:val="0"/>
                <w:szCs w:val="20"/>
              </w:rPr>
              <w:t>2.2.5 Distribution of loads</w:t>
            </w:r>
          </w:p>
        </w:tc>
        <w:tc>
          <w:tcPr>
            <w:tcW w:w="1125" w:type="pct"/>
            <w:gridSpan w:val="2"/>
          </w:tcPr>
          <w:p w14:paraId="20DC93C1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91D247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E0D8CE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4648D51C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174A5575" w14:textId="1BCEA713" w:rsidR="00B019AB" w:rsidRPr="0007665B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7665B">
              <w:rPr>
                <w:rFonts w:ascii="Calibri" w:hAnsi="Calibri" w:cs="Calibri"/>
                <w:b w:val="0"/>
                <w:bCs w:val="0"/>
                <w:szCs w:val="20"/>
              </w:rPr>
              <w:t xml:space="preserve">2.2.6 Small compartment </w:t>
            </w:r>
            <w:r w:rsidR="00BB53F3" w:rsidRPr="0007665B">
              <w:rPr>
                <w:rFonts w:ascii="Calibri" w:hAnsi="Calibri" w:cs="Calibri"/>
                <w:b w:val="0"/>
                <w:bCs w:val="0"/>
                <w:szCs w:val="20"/>
              </w:rPr>
              <w:t>tanks</w:t>
            </w:r>
          </w:p>
        </w:tc>
        <w:tc>
          <w:tcPr>
            <w:tcW w:w="1125" w:type="pct"/>
            <w:gridSpan w:val="2"/>
          </w:tcPr>
          <w:p w14:paraId="19BD1D3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7163A79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ACDDA9E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019AB" w:rsidRPr="000C24A9" w14:paraId="5987C5F7" w14:textId="77777777" w:rsidTr="00907F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73247ACB" w14:textId="57D10389" w:rsidR="00B019AB" w:rsidRPr="000C24A9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0C24A9">
              <w:rPr>
                <w:rFonts w:ascii="Calibri" w:hAnsi="Calibri" w:cs="Calibri"/>
                <w:szCs w:val="20"/>
              </w:rPr>
              <w:t xml:space="preserve">2.2.7 Large compartment </w:t>
            </w:r>
            <w:r w:rsidR="00BB53F3">
              <w:rPr>
                <w:rFonts w:ascii="Calibri" w:hAnsi="Calibri" w:cs="Calibri"/>
                <w:szCs w:val="20"/>
              </w:rPr>
              <w:t>tanks</w:t>
            </w:r>
          </w:p>
        </w:tc>
      </w:tr>
      <w:tr w:rsidR="00A82890" w:rsidRPr="000C24A9" w14:paraId="0DAEE8B3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48C27743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 xml:space="preserve">2.2.7.1 Shell, heads, </w:t>
            </w:r>
            <w:proofErr w:type="gramStart"/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bulkheads</w:t>
            </w:r>
            <w:proofErr w:type="gramEnd"/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 xml:space="preserve"> and baffles</w:t>
            </w:r>
          </w:p>
        </w:tc>
        <w:tc>
          <w:tcPr>
            <w:tcW w:w="1125" w:type="pct"/>
            <w:gridSpan w:val="2"/>
          </w:tcPr>
          <w:p w14:paraId="676619B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2F522D3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2145CBF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1613A91E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0A21DB52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2.2.7.2 Side plates</w:t>
            </w:r>
          </w:p>
        </w:tc>
        <w:tc>
          <w:tcPr>
            <w:tcW w:w="1125" w:type="pct"/>
            <w:gridSpan w:val="2"/>
          </w:tcPr>
          <w:p w14:paraId="4FE7866B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01CA877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6779EC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18FDBDAE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0B4B9DD2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2.2.7.3 Minimum allowable side plate thickness</w:t>
            </w:r>
          </w:p>
        </w:tc>
        <w:tc>
          <w:tcPr>
            <w:tcW w:w="1125" w:type="pct"/>
            <w:gridSpan w:val="2"/>
          </w:tcPr>
          <w:p w14:paraId="6EF2446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F37D9D8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CAD21F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11355E55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9627CDF" w14:textId="77777777" w:rsidR="00B019AB" w:rsidRPr="0007665B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7665B">
              <w:rPr>
                <w:rFonts w:ascii="Calibri" w:hAnsi="Calibri" w:cs="Calibri"/>
                <w:b w:val="0"/>
                <w:bCs w:val="0"/>
                <w:szCs w:val="20"/>
              </w:rPr>
              <w:t>2.2.8 Baffles</w:t>
            </w:r>
          </w:p>
        </w:tc>
        <w:tc>
          <w:tcPr>
            <w:tcW w:w="1125" w:type="pct"/>
            <w:gridSpan w:val="2"/>
          </w:tcPr>
          <w:p w14:paraId="325D6DD9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54BFAD1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EE20DB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2D2BF149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47709A7A" w14:textId="77777777" w:rsidR="00B019AB" w:rsidRPr="0007665B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7665B">
              <w:rPr>
                <w:rFonts w:ascii="Calibri" w:hAnsi="Calibri" w:cs="Calibri"/>
                <w:b w:val="0"/>
                <w:bCs w:val="0"/>
                <w:szCs w:val="20"/>
              </w:rPr>
              <w:t>2.2.9 Access through baffles</w:t>
            </w:r>
          </w:p>
        </w:tc>
        <w:tc>
          <w:tcPr>
            <w:tcW w:w="1125" w:type="pct"/>
            <w:gridSpan w:val="2"/>
          </w:tcPr>
          <w:p w14:paraId="45E30B9E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32418950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173D7E88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1ABFB542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09D45B1C" w14:textId="77777777" w:rsidR="00B019AB" w:rsidRPr="0007665B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7665B">
              <w:rPr>
                <w:rFonts w:ascii="Calibri" w:hAnsi="Calibri" w:cs="Calibri"/>
                <w:b w:val="0"/>
                <w:bCs w:val="0"/>
                <w:szCs w:val="20"/>
              </w:rPr>
              <w:t>2.2.10 Capacity centre</w:t>
            </w:r>
          </w:p>
        </w:tc>
        <w:tc>
          <w:tcPr>
            <w:tcW w:w="1125" w:type="pct"/>
            <w:gridSpan w:val="2"/>
          </w:tcPr>
          <w:p w14:paraId="32B7EFA1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570BEA4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14E7A89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518D8C5E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47997680" w14:textId="77777777" w:rsidR="00B019AB" w:rsidRPr="00E00D18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E00D18">
              <w:rPr>
                <w:rFonts w:ascii="Calibri" w:hAnsi="Calibri" w:cs="Calibri"/>
                <w:b w:val="0"/>
                <w:bCs w:val="0"/>
                <w:szCs w:val="20"/>
              </w:rPr>
              <w:t xml:space="preserve">2.2.11 Stiffening of heads, </w:t>
            </w:r>
            <w:proofErr w:type="gramStart"/>
            <w:r w:rsidRPr="00E00D18">
              <w:rPr>
                <w:rFonts w:ascii="Calibri" w:hAnsi="Calibri" w:cs="Calibri"/>
                <w:b w:val="0"/>
                <w:bCs w:val="0"/>
                <w:szCs w:val="20"/>
              </w:rPr>
              <w:t>bulkheads</w:t>
            </w:r>
            <w:proofErr w:type="gramEnd"/>
            <w:r w:rsidRPr="00E00D18">
              <w:rPr>
                <w:rFonts w:ascii="Calibri" w:hAnsi="Calibri" w:cs="Calibri"/>
                <w:b w:val="0"/>
                <w:bCs w:val="0"/>
                <w:szCs w:val="20"/>
              </w:rPr>
              <w:t xml:space="preserve"> and baffles</w:t>
            </w:r>
          </w:p>
        </w:tc>
        <w:tc>
          <w:tcPr>
            <w:tcW w:w="1125" w:type="pct"/>
            <w:gridSpan w:val="2"/>
          </w:tcPr>
          <w:p w14:paraId="6563D7F3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260821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B6C372E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53CD8FE7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3E4ED5E1" w14:textId="77777777" w:rsidR="00B019AB" w:rsidRPr="00E00D18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E00D18">
              <w:rPr>
                <w:rFonts w:ascii="Calibri" w:hAnsi="Calibri" w:cs="Calibri"/>
                <w:b w:val="0"/>
                <w:bCs w:val="0"/>
                <w:szCs w:val="20"/>
              </w:rPr>
              <w:t xml:space="preserve">2.2.12 Shell reinforcement </w:t>
            </w:r>
          </w:p>
        </w:tc>
        <w:tc>
          <w:tcPr>
            <w:tcW w:w="1125" w:type="pct"/>
            <w:gridSpan w:val="2"/>
          </w:tcPr>
          <w:p w14:paraId="716FE982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D5E191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DF53A62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3B259907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101663A4" w14:textId="77777777" w:rsidR="00B019AB" w:rsidRPr="00E00D18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E00D18">
              <w:rPr>
                <w:rFonts w:ascii="Calibri" w:hAnsi="Calibri" w:cs="Calibri"/>
                <w:b w:val="0"/>
                <w:bCs w:val="0"/>
                <w:szCs w:val="20"/>
              </w:rPr>
              <w:t>2.2.13 Separation of liquids</w:t>
            </w:r>
          </w:p>
        </w:tc>
        <w:tc>
          <w:tcPr>
            <w:tcW w:w="1125" w:type="pct"/>
            <w:gridSpan w:val="2"/>
          </w:tcPr>
          <w:p w14:paraId="45F9526F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8DC4D96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6991E21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63B8C43D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C6C6E7F" w14:textId="77777777" w:rsidR="00B019AB" w:rsidRPr="00E00E85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E00E85">
              <w:rPr>
                <w:rFonts w:ascii="Calibri" w:hAnsi="Calibri" w:cs="Calibri"/>
                <w:b w:val="0"/>
                <w:bCs w:val="0"/>
                <w:szCs w:val="20"/>
              </w:rPr>
              <w:t>2.2.14 Enclosed air spaces</w:t>
            </w:r>
          </w:p>
        </w:tc>
        <w:tc>
          <w:tcPr>
            <w:tcW w:w="1125" w:type="pct"/>
            <w:gridSpan w:val="2"/>
          </w:tcPr>
          <w:p w14:paraId="56D7C684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2EE7A1A0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73051A4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596161D5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424D32D3" w14:textId="77777777" w:rsidR="00B019AB" w:rsidRPr="00E00E85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E00E85">
              <w:rPr>
                <w:rFonts w:ascii="Calibri" w:hAnsi="Calibri" w:cs="Calibri"/>
                <w:b w:val="0"/>
                <w:bCs w:val="0"/>
                <w:szCs w:val="20"/>
              </w:rPr>
              <w:t>2.2.15 Component attachment</w:t>
            </w:r>
          </w:p>
        </w:tc>
        <w:tc>
          <w:tcPr>
            <w:tcW w:w="1125" w:type="pct"/>
            <w:gridSpan w:val="2"/>
          </w:tcPr>
          <w:p w14:paraId="26A39A40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D615BAB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B06A7D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5C57CACF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07F2FEDA" w14:textId="77777777" w:rsidR="00B019AB" w:rsidRPr="00E00E85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E00E85">
              <w:rPr>
                <w:rFonts w:ascii="Calibri" w:hAnsi="Calibri" w:cs="Calibri"/>
                <w:b w:val="0"/>
                <w:bCs w:val="0"/>
                <w:szCs w:val="20"/>
              </w:rPr>
              <w:t>2.2.16 Roll-over protection</w:t>
            </w:r>
          </w:p>
        </w:tc>
        <w:tc>
          <w:tcPr>
            <w:tcW w:w="1125" w:type="pct"/>
            <w:gridSpan w:val="2"/>
          </w:tcPr>
          <w:p w14:paraId="102795D7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9AC05C3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3765ED92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45DCB8A0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F0C600F" w14:textId="77777777" w:rsidR="00B019AB" w:rsidRPr="00E00E85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E00E85">
              <w:rPr>
                <w:rFonts w:ascii="Calibri" w:hAnsi="Calibri" w:cs="Calibri"/>
                <w:b w:val="0"/>
                <w:bCs w:val="0"/>
                <w:szCs w:val="20"/>
              </w:rPr>
              <w:t>2.2.17 Welding</w:t>
            </w:r>
          </w:p>
        </w:tc>
        <w:tc>
          <w:tcPr>
            <w:tcW w:w="1125" w:type="pct"/>
            <w:gridSpan w:val="2"/>
          </w:tcPr>
          <w:p w14:paraId="08CDF8C4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0CD3E7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3CE204BE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019AB" w:rsidRPr="000C24A9" w14:paraId="069E422C" w14:textId="77777777" w:rsidTr="00907F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3FA3B687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0C24A9">
              <w:rPr>
                <w:rFonts w:ascii="Calibri" w:hAnsi="Calibri" w:cs="Calibri"/>
                <w:szCs w:val="20"/>
              </w:rPr>
              <w:t>2.2.18 Weld categories</w:t>
            </w:r>
          </w:p>
        </w:tc>
      </w:tr>
      <w:tr w:rsidR="00A82890" w:rsidRPr="000C24A9" w14:paraId="566F885D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005D3F65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2.2.18.1 Aluminium Structures</w:t>
            </w:r>
          </w:p>
        </w:tc>
        <w:tc>
          <w:tcPr>
            <w:tcW w:w="1125" w:type="pct"/>
            <w:gridSpan w:val="2"/>
          </w:tcPr>
          <w:p w14:paraId="1455BC04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381AB361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36074D8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4872F27F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0FCF4868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2.2.18.2 Low carbon steel structures</w:t>
            </w:r>
          </w:p>
        </w:tc>
        <w:tc>
          <w:tcPr>
            <w:tcW w:w="1125" w:type="pct"/>
            <w:gridSpan w:val="2"/>
          </w:tcPr>
          <w:p w14:paraId="1E19717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1236242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57D715D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68E9D89A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7CCDD9AF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2.2.18.3 High strength low alloy steel structures</w:t>
            </w:r>
          </w:p>
        </w:tc>
        <w:tc>
          <w:tcPr>
            <w:tcW w:w="1125" w:type="pct"/>
            <w:gridSpan w:val="2"/>
          </w:tcPr>
          <w:p w14:paraId="00250FD4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28DCF83B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02BBC76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611FAD77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6E276EB3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2.2.18.4 Stainless steel structures</w:t>
            </w:r>
          </w:p>
        </w:tc>
        <w:tc>
          <w:tcPr>
            <w:tcW w:w="1125" w:type="pct"/>
            <w:gridSpan w:val="2"/>
          </w:tcPr>
          <w:p w14:paraId="79CEB24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99B15C2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1D9E689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447DD979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174EA00D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2.2.18.5 All other welds</w:t>
            </w:r>
          </w:p>
        </w:tc>
        <w:tc>
          <w:tcPr>
            <w:tcW w:w="1125" w:type="pct"/>
            <w:gridSpan w:val="2"/>
          </w:tcPr>
          <w:p w14:paraId="3E5EC2D4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4650A0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33E34D6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019AB" w:rsidRPr="000C24A9" w14:paraId="2457236F" w14:textId="77777777" w:rsidTr="00907F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2B0CC7BB" w14:textId="1E71832D" w:rsidR="00B019AB" w:rsidRPr="000C24A9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0C24A9">
              <w:rPr>
                <w:rFonts w:ascii="Calibri" w:hAnsi="Calibri" w:cs="Calibri"/>
                <w:szCs w:val="20"/>
              </w:rPr>
              <w:t xml:space="preserve">2.3 Compartment openings, </w:t>
            </w:r>
            <w:r w:rsidR="008657FF" w:rsidRPr="000C24A9">
              <w:rPr>
                <w:rFonts w:ascii="Calibri" w:hAnsi="Calibri" w:cs="Calibri"/>
                <w:szCs w:val="20"/>
              </w:rPr>
              <w:t>valves,</w:t>
            </w:r>
            <w:r w:rsidRPr="000C24A9">
              <w:rPr>
                <w:rFonts w:ascii="Calibri" w:hAnsi="Calibri" w:cs="Calibri"/>
                <w:szCs w:val="20"/>
              </w:rPr>
              <w:t xml:space="preserve"> and vents</w:t>
            </w:r>
          </w:p>
        </w:tc>
      </w:tr>
      <w:tr w:rsidR="00A82890" w:rsidRPr="000C24A9" w14:paraId="26E6598E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3DF70C47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2.3.1 General</w:t>
            </w:r>
          </w:p>
        </w:tc>
        <w:tc>
          <w:tcPr>
            <w:tcW w:w="1125" w:type="pct"/>
            <w:gridSpan w:val="2"/>
          </w:tcPr>
          <w:p w14:paraId="499EC70D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B470D98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1FE17230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2692623F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6E066650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2.3.2 Compartment openings</w:t>
            </w:r>
          </w:p>
        </w:tc>
        <w:tc>
          <w:tcPr>
            <w:tcW w:w="1125" w:type="pct"/>
            <w:gridSpan w:val="2"/>
          </w:tcPr>
          <w:p w14:paraId="06900114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D861309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B953800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1F1DA9FB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8CFC34E" w14:textId="77777777" w:rsidR="00B019AB" w:rsidRPr="00AD12FA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AD12FA">
              <w:rPr>
                <w:rFonts w:ascii="Calibri" w:hAnsi="Calibri" w:cs="Calibri"/>
                <w:szCs w:val="20"/>
              </w:rPr>
              <w:t>2.3.3 Valves</w:t>
            </w:r>
          </w:p>
        </w:tc>
        <w:tc>
          <w:tcPr>
            <w:tcW w:w="1125" w:type="pct"/>
            <w:gridSpan w:val="2"/>
          </w:tcPr>
          <w:p w14:paraId="35847EE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3705F9AE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B4848C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B53F3" w:rsidRPr="000C24A9" w14:paraId="3E683A5C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6726E7DA" w14:textId="3E428FB5" w:rsidR="00BB53F3" w:rsidRPr="00AD12FA" w:rsidRDefault="00BB53F3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D12FA">
              <w:rPr>
                <w:rFonts w:ascii="Calibri" w:hAnsi="Calibri" w:cs="Calibri"/>
                <w:b w:val="0"/>
                <w:bCs w:val="0"/>
                <w:szCs w:val="20"/>
              </w:rPr>
              <w:t>2.3.3.1</w:t>
            </w:r>
            <w:r w:rsidR="00AD12FA" w:rsidRPr="00AD12FA">
              <w:rPr>
                <w:rFonts w:ascii="Calibri" w:hAnsi="Calibri" w:cs="Calibri"/>
                <w:b w:val="0"/>
                <w:bCs w:val="0"/>
                <w:szCs w:val="20"/>
              </w:rPr>
              <w:t xml:space="preserve"> General</w:t>
            </w:r>
          </w:p>
        </w:tc>
        <w:tc>
          <w:tcPr>
            <w:tcW w:w="1125" w:type="pct"/>
            <w:gridSpan w:val="2"/>
          </w:tcPr>
          <w:p w14:paraId="5A999007" w14:textId="77777777" w:rsidR="00BB53F3" w:rsidRPr="000C24A9" w:rsidRDefault="00BB53F3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03743B8" w14:textId="77777777" w:rsidR="00BB53F3" w:rsidRPr="000C24A9" w:rsidRDefault="00BB53F3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32DC840" w14:textId="77777777" w:rsidR="00BB53F3" w:rsidRPr="000C24A9" w:rsidRDefault="00BB53F3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D12FA" w:rsidRPr="000C24A9" w14:paraId="327E70F6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184F8361" w14:textId="27DC81FC" w:rsidR="00AD12FA" w:rsidRPr="00AD12FA" w:rsidRDefault="00AD12FA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2.3.3.2 Internal shut-off valve</w:t>
            </w:r>
          </w:p>
        </w:tc>
        <w:tc>
          <w:tcPr>
            <w:tcW w:w="1125" w:type="pct"/>
            <w:gridSpan w:val="2"/>
          </w:tcPr>
          <w:p w14:paraId="3D6FE386" w14:textId="77777777" w:rsidR="00AD12FA" w:rsidRPr="000C24A9" w:rsidRDefault="00AD12FA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87869DE" w14:textId="77777777" w:rsidR="00AD12FA" w:rsidRPr="000C24A9" w:rsidRDefault="00AD12FA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E82297E" w14:textId="77777777" w:rsidR="00AD12FA" w:rsidRPr="000C24A9" w:rsidRDefault="00AD12FA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0246FC" w:rsidRPr="000C24A9" w14:paraId="6318110F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7025655D" w14:textId="770C638E" w:rsidR="000246FC" w:rsidRPr="000246FC" w:rsidRDefault="000246FC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246FC">
              <w:rPr>
                <w:rFonts w:ascii="Calibri" w:hAnsi="Calibri" w:cs="Calibri"/>
                <w:b w:val="0"/>
                <w:bCs w:val="0"/>
                <w:szCs w:val="20"/>
              </w:rPr>
              <w:t>2.3.3.3 External shut-off valve</w:t>
            </w:r>
          </w:p>
        </w:tc>
        <w:tc>
          <w:tcPr>
            <w:tcW w:w="1125" w:type="pct"/>
            <w:gridSpan w:val="2"/>
          </w:tcPr>
          <w:p w14:paraId="65AE8B08" w14:textId="77777777" w:rsidR="000246FC" w:rsidRPr="000C24A9" w:rsidRDefault="000246FC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418A19F" w14:textId="77777777" w:rsidR="000246FC" w:rsidRPr="000C24A9" w:rsidRDefault="000246FC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FFD4A4B" w14:textId="77777777" w:rsidR="000246FC" w:rsidRPr="000C24A9" w:rsidRDefault="000246FC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52A00ED5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00EBD00" w14:textId="77777777" w:rsidR="00B019AB" w:rsidRPr="00E00E85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E00E85">
              <w:rPr>
                <w:rFonts w:ascii="Calibri" w:hAnsi="Calibri" w:cs="Calibri"/>
                <w:b w:val="0"/>
                <w:bCs w:val="0"/>
                <w:szCs w:val="20"/>
              </w:rPr>
              <w:t>2.3.4 Vents</w:t>
            </w:r>
          </w:p>
        </w:tc>
        <w:tc>
          <w:tcPr>
            <w:tcW w:w="1125" w:type="pct"/>
            <w:gridSpan w:val="2"/>
          </w:tcPr>
          <w:p w14:paraId="60759964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1A8A7CD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DE483C6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6950A6C9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6165DB4B" w14:textId="77777777" w:rsidR="00B019AB" w:rsidRPr="00E00E85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E00E85">
              <w:rPr>
                <w:rFonts w:ascii="Calibri" w:hAnsi="Calibri" w:cs="Calibri"/>
                <w:b w:val="0"/>
                <w:bCs w:val="0"/>
                <w:szCs w:val="20"/>
              </w:rPr>
              <w:t>2.3.5 Normal venting</w:t>
            </w:r>
          </w:p>
        </w:tc>
        <w:tc>
          <w:tcPr>
            <w:tcW w:w="1125" w:type="pct"/>
            <w:gridSpan w:val="2"/>
          </w:tcPr>
          <w:p w14:paraId="1B9AA4E4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16B46DB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22E293E6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284A4B5E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61B4AC1" w14:textId="77777777" w:rsidR="00B019AB" w:rsidRPr="00E00E85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E00E85">
              <w:rPr>
                <w:rFonts w:ascii="Calibri" w:hAnsi="Calibri" w:cs="Calibri"/>
                <w:b w:val="0"/>
                <w:bCs w:val="0"/>
                <w:szCs w:val="20"/>
              </w:rPr>
              <w:t xml:space="preserve">2.3.6 Emergency venting </w:t>
            </w:r>
          </w:p>
        </w:tc>
        <w:tc>
          <w:tcPr>
            <w:tcW w:w="1125" w:type="pct"/>
            <w:gridSpan w:val="2"/>
          </w:tcPr>
          <w:p w14:paraId="700FB0DE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25011DED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36E5C884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5BB0D6F9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453A1FB4" w14:textId="77777777" w:rsidR="00B019AB" w:rsidRPr="00E00E85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E00E85">
              <w:rPr>
                <w:rFonts w:ascii="Calibri" w:hAnsi="Calibri" w:cs="Calibri"/>
                <w:b w:val="0"/>
                <w:bCs w:val="0"/>
                <w:szCs w:val="20"/>
              </w:rPr>
              <w:t>2.3.7 Loading protection</w:t>
            </w:r>
          </w:p>
        </w:tc>
        <w:tc>
          <w:tcPr>
            <w:tcW w:w="1125" w:type="pct"/>
            <w:gridSpan w:val="2"/>
          </w:tcPr>
          <w:p w14:paraId="61DF0BF6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4DAD8D3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1ABCE52E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019AB" w:rsidRPr="000C24A9" w14:paraId="25970F72" w14:textId="77777777" w:rsidTr="00907F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2A33F051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0C24A9">
              <w:rPr>
                <w:rFonts w:ascii="Calibri" w:hAnsi="Calibri" w:cs="Calibri"/>
                <w:szCs w:val="20"/>
              </w:rPr>
              <w:t>2.4 Filling and dipping provisions</w:t>
            </w:r>
          </w:p>
        </w:tc>
      </w:tr>
      <w:tr w:rsidR="00A82890" w:rsidRPr="000C24A9" w14:paraId="28CAC832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F384ED9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2.4.1 Filling tube</w:t>
            </w:r>
          </w:p>
        </w:tc>
        <w:tc>
          <w:tcPr>
            <w:tcW w:w="1125" w:type="pct"/>
            <w:gridSpan w:val="2"/>
          </w:tcPr>
          <w:p w14:paraId="1E35AAC8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BE58D3B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067CA5B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4B642E37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066EF66B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2.4.2 Dip stick</w:t>
            </w:r>
          </w:p>
        </w:tc>
        <w:tc>
          <w:tcPr>
            <w:tcW w:w="1125" w:type="pct"/>
            <w:gridSpan w:val="2"/>
          </w:tcPr>
          <w:p w14:paraId="69F016F9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3AAE3FD3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9D354A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019AB" w:rsidRPr="000C24A9" w14:paraId="0B81F29D" w14:textId="77777777" w:rsidTr="00907F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D4DC4C0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0C24A9">
              <w:rPr>
                <w:rFonts w:ascii="Calibri" w:hAnsi="Calibri" w:cs="Calibri"/>
                <w:szCs w:val="20"/>
              </w:rPr>
              <w:t>2.5 Pipework and pipe fittings</w:t>
            </w:r>
          </w:p>
        </w:tc>
      </w:tr>
      <w:tr w:rsidR="00A82890" w:rsidRPr="000C24A9" w14:paraId="18F1EF11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134523FD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2.5.1 Suitability</w:t>
            </w:r>
          </w:p>
        </w:tc>
        <w:tc>
          <w:tcPr>
            <w:tcW w:w="1125" w:type="pct"/>
            <w:gridSpan w:val="2"/>
          </w:tcPr>
          <w:p w14:paraId="5E82682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BE3097F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FF018BD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486D5950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146D21F1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2.5.2 Strength of piping</w:t>
            </w:r>
          </w:p>
        </w:tc>
        <w:tc>
          <w:tcPr>
            <w:tcW w:w="1125" w:type="pct"/>
            <w:gridSpan w:val="2"/>
          </w:tcPr>
          <w:p w14:paraId="39BBC7F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3F2DEB0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755FA3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77078933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6082E87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2.5.3 Provisions for movement</w:t>
            </w:r>
          </w:p>
        </w:tc>
        <w:tc>
          <w:tcPr>
            <w:tcW w:w="1125" w:type="pct"/>
            <w:gridSpan w:val="2"/>
          </w:tcPr>
          <w:p w14:paraId="22EDAA11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12A20A6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D76863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3F3B49F1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772763BB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2.5.4 Hoses and hose couplings</w:t>
            </w:r>
          </w:p>
        </w:tc>
        <w:tc>
          <w:tcPr>
            <w:tcW w:w="1125" w:type="pct"/>
            <w:gridSpan w:val="2"/>
          </w:tcPr>
          <w:p w14:paraId="3D2A0707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105C686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41D9DCB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6C29A9AC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60906A2E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2.6 Electrical bonding</w:t>
            </w:r>
          </w:p>
        </w:tc>
        <w:tc>
          <w:tcPr>
            <w:tcW w:w="1125" w:type="pct"/>
            <w:gridSpan w:val="2"/>
          </w:tcPr>
          <w:p w14:paraId="1F46596E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8E187F5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2F29A848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7F8169EB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139E771F" w14:textId="77777777" w:rsidR="00B019AB" w:rsidRDefault="00B019AB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2.7 Earthing point</w:t>
            </w:r>
          </w:p>
          <w:p w14:paraId="155F0B52" w14:textId="7F95099B" w:rsidR="00A82890" w:rsidRPr="000C24A9" w:rsidRDefault="00A82890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A42088D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24EF92A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3AB9A87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0786E" w:rsidRPr="000C24A9" w14:paraId="7E54E433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6170C153" w14:textId="19C37BA8" w:rsidR="00A0786E" w:rsidRPr="000C24A9" w:rsidRDefault="00A0786E" w:rsidP="005F3721">
            <w:pPr>
              <w:spacing w:after="40"/>
              <w:rPr>
                <w:rFonts w:ascii="Calibri" w:hAnsi="Calibri" w:cs="Calibri"/>
                <w:szCs w:val="20"/>
              </w:rPr>
            </w:pPr>
            <w:r w:rsidRPr="000C24A9">
              <w:rPr>
                <w:rFonts w:ascii="Calibri" w:hAnsi="Calibri" w:cs="Calibri"/>
                <w:szCs w:val="20"/>
              </w:rPr>
              <w:t>2.8 Pressure testing as part of commissioning</w:t>
            </w:r>
          </w:p>
        </w:tc>
        <w:tc>
          <w:tcPr>
            <w:tcW w:w="1125" w:type="pct"/>
            <w:gridSpan w:val="2"/>
          </w:tcPr>
          <w:p w14:paraId="3DB5869D" w14:textId="77777777" w:rsidR="00A0786E" w:rsidRPr="000C24A9" w:rsidRDefault="00A0786E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7F9F95E" w14:textId="77777777" w:rsidR="00A0786E" w:rsidRPr="000C24A9" w:rsidRDefault="00A0786E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BE07E2A" w14:textId="77777777" w:rsidR="00A0786E" w:rsidRPr="000C24A9" w:rsidRDefault="00A0786E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1E8D623E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vAlign w:val="center"/>
          </w:tcPr>
          <w:p w14:paraId="5F1F92D3" w14:textId="77777777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2.8.1 Tanks</w:t>
            </w:r>
          </w:p>
        </w:tc>
        <w:tc>
          <w:tcPr>
            <w:tcW w:w="1125" w:type="pct"/>
            <w:gridSpan w:val="2"/>
          </w:tcPr>
          <w:p w14:paraId="59509213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300D28D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19A1110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A82890" w:rsidRPr="000C24A9" w14:paraId="65F221E5" w14:textId="77777777" w:rsidTr="00A828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vAlign w:val="center"/>
          </w:tcPr>
          <w:p w14:paraId="30FE9D52" w14:textId="4AB2C34B" w:rsidR="00B019AB" w:rsidRPr="000C24A9" w:rsidRDefault="00B019AB" w:rsidP="005F372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C24A9">
              <w:rPr>
                <w:rFonts w:ascii="Calibri" w:hAnsi="Calibri" w:cs="Calibri"/>
                <w:b w:val="0"/>
                <w:bCs w:val="0"/>
                <w:szCs w:val="20"/>
              </w:rPr>
              <w:t>2.8.2 Piping</w:t>
            </w:r>
            <w:r w:rsidR="00AD12FA">
              <w:rPr>
                <w:rFonts w:ascii="Calibri" w:hAnsi="Calibri" w:cs="Calibri"/>
                <w:b w:val="0"/>
                <w:bCs w:val="0"/>
                <w:szCs w:val="20"/>
              </w:rPr>
              <w:t xml:space="preserve"> systems</w:t>
            </w:r>
          </w:p>
        </w:tc>
        <w:tc>
          <w:tcPr>
            <w:tcW w:w="1125" w:type="pct"/>
            <w:gridSpan w:val="2"/>
          </w:tcPr>
          <w:p w14:paraId="32E6207E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4179431C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41071FF" w14:textId="77777777" w:rsidR="00B019AB" w:rsidRPr="000C24A9" w:rsidRDefault="00B019AB" w:rsidP="005F372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</w:tbl>
    <w:p w14:paraId="022A5733" w14:textId="77777777" w:rsidR="00B019AB" w:rsidRDefault="00B019AB"/>
    <w:p w14:paraId="6DBCF1C9" w14:textId="04949EAA" w:rsidR="00787BAD" w:rsidRDefault="00787BAD"/>
    <w:p w14:paraId="7F7F5327" w14:textId="77777777" w:rsidR="00D96C38" w:rsidRPr="00C129E4" w:rsidRDefault="00D96C38" w:rsidP="00822179">
      <w:pPr>
        <w:rPr>
          <w:rFonts w:ascii="Calibri" w:hAnsi="Calibri" w:cs="Calibri"/>
          <w:szCs w:val="20"/>
        </w:rPr>
      </w:pPr>
    </w:p>
    <w:tbl>
      <w:tblPr>
        <w:tblStyle w:val="NavyTable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2835"/>
        <w:gridCol w:w="3110"/>
      </w:tblGrid>
      <w:tr w:rsidR="00483D67" w:rsidRPr="00C129E4" w14:paraId="1CA7826C" w14:textId="77777777" w:rsidTr="00D96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tcBorders>
              <w:top w:val="single" w:sz="6" w:space="0" w:color="B3B3B4" w:themeColor="accent5" w:themeTint="99"/>
              <w:left w:val="nil"/>
              <w:bottom w:val="single" w:sz="6" w:space="0" w:color="B3B3B4" w:themeColor="accent5" w:themeTint="99"/>
              <w:right w:val="single" w:sz="6" w:space="0" w:color="B3B3B4" w:themeColor="accent5" w:themeTint="99"/>
            </w:tcBorders>
            <w:shd w:val="clear" w:color="auto" w:fill="auto"/>
          </w:tcPr>
          <w:p w14:paraId="4EC3B2BF" w14:textId="77777777" w:rsidR="00483D67" w:rsidRPr="00C129E4" w:rsidRDefault="00483D67" w:rsidP="00921697">
            <w:pPr>
              <w:pStyle w:val="Foo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C129E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Approved by</w:t>
            </w:r>
          </w:p>
          <w:p w14:paraId="44AD356F" w14:textId="77777777" w:rsidR="00483D67" w:rsidRPr="00C129E4" w:rsidRDefault="00483D67" w:rsidP="00921697">
            <w:pPr>
              <w:pStyle w:val="Footer"/>
              <w:rPr>
                <w:rFonts w:ascii="Calibri" w:hAnsi="Calibri" w:cs="Calibri"/>
                <w:color w:val="000000" w:themeColor="text1"/>
                <w:sz w:val="16"/>
                <w:szCs w:val="16"/>
                <w:highlight w:val="black"/>
              </w:rPr>
            </w:pPr>
          </w:p>
          <w:p w14:paraId="43E7BA51" w14:textId="77777777" w:rsidR="00483D67" w:rsidRPr="00C129E4" w:rsidRDefault="00483D67" w:rsidP="00921697">
            <w:pPr>
              <w:pStyle w:val="Footer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highlight w:val="black"/>
              </w:rPr>
            </w:pPr>
          </w:p>
          <w:p w14:paraId="0FFE93C4" w14:textId="19C6D5B8" w:rsidR="00483D67" w:rsidRPr="00C129E4" w:rsidRDefault="00483D67" w:rsidP="00921697">
            <w:pPr>
              <w:pStyle w:val="Footer"/>
              <w:rPr>
                <w:rFonts w:ascii="Calibri" w:hAnsi="Calibri" w:cs="Calibri"/>
                <w:color w:val="000000" w:themeColor="text1"/>
              </w:rPr>
            </w:pPr>
            <w:r w:rsidRPr="00C129E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Signature, date and RPEQ No. of engineer</w:t>
            </w:r>
          </w:p>
        </w:tc>
        <w:tc>
          <w:tcPr>
            <w:tcW w:w="2835" w:type="dxa"/>
            <w:tcBorders>
              <w:top w:val="single" w:sz="6" w:space="0" w:color="B3B3B4" w:themeColor="accent5" w:themeTint="99"/>
              <w:left w:val="single" w:sz="6" w:space="0" w:color="B3B3B4" w:themeColor="accent5" w:themeTint="99"/>
              <w:bottom w:val="single" w:sz="6" w:space="0" w:color="B3B3B4" w:themeColor="accent5" w:themeTint="99"/>
              <w:right w:val="single" w:sz="6" w:space="0" w:color="B3B3B4" w:themeColor="accent5" w:themeTint="99"/>
            </w:tcBorders>
            <w:shd w:val="clear" w:color="auto" w:fill="E4E4E5" w:themeFill="accent6" w:themeFillTint="66"/>
          </w:tcPr>
          <w:p w14:paraId="34778CA3" w14:textId="77777777" w:rsidR="00483D67" w:rsidRPr="00C129E4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C129E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TMR Approval No</w:t>
            </w:r>
          </w:p>
        </w:tc>
        <w:tc>
          <w:tcPr>
            <w:tcW w:w="3110" w:type="dxa"/>
            <w:tcBorders>
              <w:top w:val="single" w:sz="6" w:space="0" w:color="B3B3B4" w:themeColor="accent5" w:themeTint="99"/>
              <w:left w:val="single" w:sz="6" w:space="0" w:color="B3B3B4" w:themeColor="accent5" w:themeTint="99"/>
              <w:bottom w:val="single" w:sz="6" w:space="0" w:color="B3B3B4" w:themeColor="accent5" w:themeTint="99"/>
              <w:right w:val="nil"/>
            </w:tcBorders>
            <w:shd w:val="clear" w:color="auto" w:fill="E4E4E5" w:themeFill="accent6" w:themeFillTint="66"/>
          </w:tcPr>
          <w:p w14:paraId="695B1929" w14:textId="77777777" w:rsidR="00483D67" w:rsidRPr="00C129E4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C129E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Approved by</w:t>
            </w:r>
          </w:p>
          <w:p w14:paraId="66E132D4" w14:textId="77777777" w:rsidR="00483D67" w:rsidRPr="00C129E4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867CF4C" w14:textId="77777777" w:rsidR="00483D67" w:rsidRPr="00C129E4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188801B" w14:textId="77777777" w:rsidR="00483D67" w:rsidRPr="00C129E4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C129E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Signature and Date (TMR)</w:t>
            </w:r>
          </w:p>
        </w:tc>
      </w:tr>
    </w:tbl>
    <w:p w14:paraId="36EB4E65" w14:textId="77777777" w:rsidR="00B07CAA" w:rsidRPr="00C129E4" w:rsidRDefault="00B07CAA" w:rsidP="00822179">
      <w:pPr>
        <w:rPr>
          <w:rFonts w:ascii="Calibri" w:hAnsi="Calibri" w:cs="Calibri"/>
          <w:szCs w:val="20"/>
        </w:rPr>
      </w:pPr>
    </w:p>
    <w:sectPr w:rsidR="00B07CAA" w:rsidRPr="00C129E4" w:rsidSect="005E388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720" w:bottom="1418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1D39" w14:textId="77777777" w:rsidR="006A2B59" w:rsidRDefault="006A2B59" w:rsidP="00185154">
      <w:r>
        <w:separator/>
      </w:r>
    </w:p>
    <w:p w14:paraId="329FC011" w14:textId="77777777" w:rsidR="006A2B59" w:rsidRDefault="006A2B59"/>
  </w:endnote>
  <w:endnote w:type="continuationSeparator" w:id="0">
    <w:p w14:paraId="2645582A" w14:textId="77777777" w:rsidR="006A2B59" w:rsidRDefault="006A2B59" w:rsidP="00185154">
      <w:r>
        <w:continuationSeparator/>
      </w:r>
    </w:p>
    <w:p w14:paraId="4D541441" w14:textId="77777777" w:rsidR="006A2B59" w:rsidRDefault="006A2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yTable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7"/>
      <w:gridCol w:w="850"/>
      <w:gridCol w:w="2124"/>
      <w:gridCol w:w="3231"/>
    </w:tblGrid>
    <w:tr w:rsidR="008939E8" w:rsidRPr="00777266" w14:paraId="7AC8FFEF" w14:textId="77777777" w:rsidTr="00F70C4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44" w:type="dxa"/>
          <w:shd w:val="clear" w:color="auto" w:fill="FFFFFF" w:themeFill="background1"/>
        </w:tcPr>
        <w:p w14:paraId="7B59C322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3D9FF014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</w:p>
        <w:p w14:paraId="3BCA0B81" w14:textId="77777777" w:rsidR="008939E8" w:rsidRPr="00777266" w:rsidRDefault="008939E8" w:rsidP="008939E8">
          <w:pPr>
            <w:pStyle w:val="Footer"/>
            <w:jc w:val="center"/>
            <w:rPr>
              <w:color w:val="000000" w:themeColor="text1"/>
              <w:sz w:val="16"/>
              <w:szCs w:val="16"/>
              <w:highlight w:val="black"/>
            </w:rPr>
          </w:pPr>
        </w:p>
        <w:p w14:paraId="51281E57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and RPEQ No. of engineer</w:t>
          </w:r>
        </w:p>
      </w:tc>
      <w:tc>
        <w:tcPr>
          <w:tcW w:w="851" w:type="dxa"/>
        </w:tcPr>
        <w:p w14:paraId="0B20DE94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</w:rPr>
          </w:pPr>
        </w:p>
      </w:tc>
      <w:tc>
        <w:tcPr>
          <w:tcW w:w="212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0707879F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TMR Approval No</w:t>
          </w:r>
        </w:p>
      </w:tc>
      <w:tc>
        <w:tcPr>
          <w:tcW w:w="3236" w:type="dxa"/>
          <w:tcBorders>
            <w:left w:val="single" w:sz="6" w:space="0" w:color="auto"/>
          </w:tcBorders>
          <w:shd w:val="clear" w:color="auto" w:fill="FFFFFF" w:themeFill="background1"/>
        </w:tcPr>
        <w:p w14:paraId="46EA868C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2E389402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4B92E0D3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5CC7DF29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(TMR)</w:t>
          </w:r>
        </w:p>
      </w:tc>
    </w:tr>
  </w:tbl>
  <w:p w14:paraId="5635EBB2" w14:textId="77777777" w:rsidR="008939E8" w:rsidRDefault="00893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BE6F" w14:textId="66E1566F" w:rsidR="00102460" w:rsidRDefault="00475DA4">
    <w:pPr>
      <w:pStyle w:val="Footer"/>
    </w:pPr>
    <w:fldSimple w:instr=" FILENAME \* MERGEFORMAT ">
      <w:r w:rsidR="00E643D5">
        <w:rPr>
          <w:noProof/>
        </w:rPr>
        <w:t>Dangerous goods tank design compliance statement AS2809.2 v0.05</w:t>
      </w:r>
    </w:fldSimple>
    <w:r w:rsidR="00102460">
      <w:t xml:space="preserve"> </w:t>
    </w:r>
    <w:r w:rsidR="004E057E">
      <w:t xml:space="preserve">        </w:t>
    </w:r>
    <w:r w:rsidR="00102460">
      <w:t xml:space="preserve">Review Date: </w:t>
    </w:r>
    <w:r w:rsidR="004E057E">
      <w:t>0</w:t>
    </w:r>
    <w:r>
      <w:t>8</w:t>
    </w:r>
    <w:r w:rsidR="004E057E">
      <w:t>.2</w:t>
    </w:r>
    <w:r w:rsidR="00AB1829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5DE8" w14:textId="77777777" w:rsidR="004C2DD4" w:rsidRDefault="004C2DD4"/>
  <w:tbl>
    <w:tblPr>
      <w:tblStyle w:val="NavyTable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7"/>
      <w:gridCol w:w="850"/>
      <w:gridCol w:w="2124"/>
      <w:gridCol w:w="3231"/>
    </w:tblGrid>
    <w:tr w:rsidR="00777266" w:rsidRPr="00777266" w14:paraId="13954BF9" w14:textId="77777777" w:rsidTr="004837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44" w:type="dxa"/>
          <w:tcBorders>
            <w:right w:val="none" w:sz="0" w:space="0" w:color="auto"/>
          </w:tcBorders>
          <w:shd w:val="clear" w:color="auto" w:fill="FFFFFF" w:themeFill="background1"/>
        </w:tcPr>
        <w:p w14:paraId="33CC3075" w14:textId="77777777" w:rsidR="00532D29" w:rsidRPr="00777266" w:rsidRDefault="00532D29" w:rsidP="004C2DD4">
          <w:pPr>
            <w:pStyle w:val="Footer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2FE1E921" w14:textId="77777777" w:rsidR="00532D29" w:rsidRPr="00777266" w:rsidRDefault="00532D29" w:rsidP="004C2DD4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</w:p>
        <w:p w14:paraId="0EE7613B" w14:textId="77777777" w:rsidR="00AF2929" w:rsidRPr="00777266" w:rsidRDefault="00AF2929" w:rsidP="00E36127">
          <w:pPr>
            <w:pStyle w:val="Footer"/>
            <w:jc w:val="center"/>
            <w:rPr>
              <w:color w:val="000000" w:themeColor="text1"/>
              <w:sz w:val="16"/>
              <w:szCs w:val="16"/>
              <w:highlight w:val="black"/>
            </w:rPr>
          </w:pPr>
        </w:p>
        <w:p w14:paraId="6964D6A5" w14:textId="28293FDE" w:rsidR="00532D29" w:rsidRPr="00777266" w:rsidRDefault="00E36127" w:rsidP="001D2F7D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and RPEQ No.</w:t>
          </w:r>
          <w:r w:rsidR="00AF2929" w:rsidRPr="00777266">
            <w:rPr>
              <w:color w:val="000000" w:themeColor="text1"/>
              <w:sz w:val="16"/>
              <w:szCs w:val="16"/>
            </w:rPr>
            <w:t xml:space="preserve"> of engineer</w:t>
          </w:r>
        </w:p>
      </w:tc>
      <w:tc>
        <w:tcPr>
          <w:tcW w:w="851" w:type="dxa"/>
          <w:tcBorders>
            <w:left w:val="none" w:sz="0" w:space="0" w:color="auto"/>
            <w:right w:val="none" w:sz="0" w:space="0" w:color="auto"/>
          </w:tcBorders>
        </w:tcPr>
        <w:p w14:paraId="5C8B5706" w14:textId="77777777" w:rsidR="00532D29" w:rsidRPr="00777266" w:rsidRDefault="00532D29" w:rsidP="004C2DD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</w:rPr>
          </w:pPr>
        </w:p>
      </w:tc>
      <w:tc>
        <w:tcPr>
          <w:tcW w:w="2127" w:type="dxa"/>
          <w:tcBorders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689679BD" w14:textId="3DAB9507" w:rsidR="00532D29" w:rsidRPr="00777266" w:rsidRDefault="00E36127" w:rsidP="004C2DD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TMR Approval No</w:t>
          </w:r>
        </w:p>
      </w:tc>
      <w:tc>
        <w:tcPr>
          <w:tcW w:w="3236" w:type="dxa"/>
          <w:tcBorders>
            <w:left w:val="single" w:sz="6" w:space="0" w:color="auto"/>
          </w:tcBorders>
          <w:shd w:val="clear" w:color="auto" w:fill="FFFFFF" w:themeFill="background1"/>
        </w:tcPr>
        <w:p w14:paraId="4E61921C" w14:textId="77777777" w:rsidR="00E36127" w:rsidRPr="00777266" w:rsidRDefault="00E36127" w:rsidP="00E3612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102F17F6" w14:textId="77777777" w:rsidR="00E36127" w:rsidRPr="00777266" w:rsidRDefault="00E36127" w:rsidP="00E3612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0B427640" w14:textId="77777777" w:rsidR="00AF2929" w:rsidRPr="00777266" w:rsidRDefault="00AF2929" w:rsidP="001D2F7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6FC92B76" w14:textId="327085EB" w:rsidR="00532D29" w:rsidRPr="00777266" w:rsidRDefault="00E36127" w:rsidP="001D2F7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 xml:space="preserve">Signature and Date </w:t>
          </w:r>
          <w:r w:rsidR="00AF2929" w:rsidRPr="00777266">
            <w:rPr>
              <w:color w:val="000000" w:themeColor="text1"/>
              <w:sz w:val="16"/>
              <w:szCs w:val="16"/>
            </w:rPr>
            <w:t>(</w:t>
          </w:r>
          <w:r w:rsidR="00593A08" w:rsidRPr="00777266">
            <w:rPr>
              <w:color w:val="000000" w:themeColor="text1"/>
              <w:sz w:val="16"/>
              <w:szCs w:val="16"/>
            </w:rPr>
            <w:t>T</w:t>
          </w:r>
          <w:r w:rsidR="00B34AE8" w:rsidRPr="00777266">
            <w:rPr>
              <w:color w:val="000000" w:themeColor="text1"/>
              <w:sz w:val="16"/>
              <w:szCs w:val="16"/>
            </w:rPr>
            <w:t>MR</w:t>
          </w:r>
          <w:r w:rsidR="00AF2929" w:rsidRPr="00777266">
            <w:rPr>
              <w:color w:val="000000" w:themeColor="text1"/>
              <w:sz w:val="16"/>
              <w:szCs w:val="16"/>
            </w:rPr>
            <w:t>)</w:t>
          </w:r>
        </w:p>
      </w:tc>
    </w:tr>
  </w:tbl>
  <w:p w14:paraId="047989E6" w14:textId="34974128" w:rsidR="005A44BB" w:rsidRPr="004C2DD4" w:rsidRDefault="005A44BB" w:rsidP="004C2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D946" w14:textId="77777777" w:rsidR="006A2B59" w:rsidRDefault="006A2B59" w:rsidP="00185154">
      <w:r>
        <w:separator/>
      </w:r>
    </w:p>
    <w:p w14:paraId="52001B2F" w14:textId="77777777" w:rsidR="006A2B59" w:rsidRDefault="006A2B59"/>
  </w:footnote>
  <w:footnote w:type="continuationSeparator" w:id="0">
    <w:p w14:paraId="026AF0FC" w14:textId="77777777" w:rsidR="006A2B59" w:rsidRDefault="006A2B59" w:rsidP="00185154">
      <w:r>
        <w:continuationSeparator/>
      </w:r>
    </w:p>
    <w:p w14:paraId="5BAB92B7" w14:textId="77777777" w:rsidR="006A2B59" w:rsidRDefault="006A2B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3BF1" w14:textId="2027EEE7" w:rsidR="001B4177" w:rsidRDefault="00AC40A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82673B" wp14:editId="1FD45CAB">
          <wp:simplePos x="0" y="0"/>
          <wp:positionH relativeFrom="column">
            <wp:posOffset>-641985</wp:posOffset>
          </wp:positionH>
          <wp:positionV relativeFrom="paragraph">
            <wp:posOffset>-280035</wp:posOffset>
          </wp:positionV>
          <wp:extent cx="7773035" cy="107359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73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4212209E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7996FD3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0E6869BD"/>
    <w:multiLevelType w:val="hybridMultilevel"/>
    <w:tmpl w:val="A7E44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442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5F3BE0"/>
    <w:multiLevelType w:val="singleLevel"/>
    <w:tmpl w:val="FD6CD024"/>
    <w:name w:val="Bullet List 3"/>
    <w:lvl w:ilvl="0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6" w15:restartNumberingAfterBreak="0">
    <w:nsid w:val="1833216F"/>
    <w:multiLevelType w:val="hybridMultilevel"/>
    <w:tmpl w:val="AC861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1D40"/>
    <w:multiLevelType w:val="multilevel"/>
    <w:tmpl w:val="5F9E977C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8" w15:restartNumberingAfterBreak="0">
    <w:nsid w:val="2EEF4B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C477A3"/>
    <w:multiLevelType w:val="hybridMultilevel"/>
    <w:tmpl w:val="E3420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912ED"/>
    <w:multiLevelType w:val="multilevel"/>
    <w:tmpl w:val="13A4D1EE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6CB4DA4"/>
    <w:multiLevelType w:val="hybridMultilevel"/>
    <w:tmpl w:val="C932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5B62"/>
    <w:multiLevelType w:val="hybridMultilevel"/>
    <w:tmpl w:val="26ECA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71FAE"/>
    <w:multiLevelType w:val="multilevel"/>
    <w:tmpl w:val="5610081C"/>
    <w:styleLink w:val="ListNumberedHeadings"/>
    <w:lvl w:ilvl="0">
      <w:start w:val="1"/>
      <w:numFmt w:val="decimal"/>
      <w:pStyle w:val="AltHeading1"/>
      <w:lvlText w:val="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  <w:sz w:val="24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CB66F6"/>
    <w:multiLevelType w:val="hybridMultilevel"/>
    <w:tmpl w:val="873CB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90EBB"/>
    <w:multiLevelType w:val="hybridMultilevel"/>
    <w:tmpl w:val="B8947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D7DB9"/>
    <w:multiLevelType w:val="hybridMultilevel"/>
    <w:tmpl w:val="A8B6C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86230"/>
    <w:multiLevelType w:val="multilevel"/>
    <w:tmpl w:val="12D60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386D68"/>
    <w:multiLevelType w:val="hybridMultilevel"/>
    <w:tmpl w:val="14A44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F2368"/>
    <w:multiLevelType w:val="multilevel"/>
    <w:tmpl w:val="725CC2D2"/>
    <w:numStyleLink w:val="ListTableNumber"/>
  </w:abstractNum>
  <w:abstractNum w:abstractNumId="20" w15:restartNumberingAfterBreak="0">
    <w:nsid w:val="61F717A0"/>
    <w:multiLevelType w:val="hybridMultilevel"/>
    <w:tmpl w:val="F9CA7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5373"/>
    <w:multiLevelType w:val="multilevel"/>
    <w:tmpl w:val="725CC2D2"/>
    <w:styleLink w:val="ListTableNumber"/>
    <w:lvl w:ilvl="0">
      <w:start w:val="1"/>
      <w:numFmt w:val="decimal"/>
      <w:pStyle w:val="TableNumber"/>
      <w:lvlText w:val="(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28C702B"/>
    <w:multiLevelType w:val="hybridMultilevel"/>
    <w:tmpl w:val="20D044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64204"/>
    <w:multiLevelType w:val="hybridMultilevel"/>
    <w:tmpl w:val="35E4D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27672"/>
    <w:multiLevelType w:val="hybridMultilevel"/>
    <w:tmpl w:val="6DA00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35169"/>
    <w:multiLevelType w:val="hybridMultilevel"/>
    <w:tmpl w:val="EBCEF990"/>
    <w:lvl w:ilvl="0" w:tplc="D95E70F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B822E6"/>
    <w:multiLevelType w:val="multilevel"/>
    <w:tmpl w:val="7996FD34"/>
    <w:numStyleLink w:val="ListTableBullet"/>
  </w:abstractNum>
  <w:abstractNum w:abstractNumId="27" w15:restartNumberingAfterBreak="0">
    <w:nsid w:val="7139706E"/>
    <w:multiLevelType w:val="multilevel"/>
    <w:tmpl w:val="11C64328"/>
    <w:numStyleLink w:val="ListParagraph"/>
  </w:abstractNum>
  <w:abstractNum w:abstractNumId="28" w15:restartNumberingAfterBreak="0">
    <w:nsid w:val="74E13624"/>
    <w:multiLevelType w:val="hybridMultilevel"/>
    <w:tmpl w:val="117AF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2046"/>
    <w:multiLevelType w:val="hybridMultilevel"/>
    <w:tmpl w:val="D7265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6302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31" w15:restartNumberingAfterBreak="0">
    <w:nsid w:val="7E8E526D"/>
    <w:multiLevelType w:val="hybridMultilevel"/>
    <w:tmpl w:val="E4FE7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37280"/>
    <w:multiLevelType w:val="hybridMultilevel"/>
    <w:tmpl w:val="C2DC0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27776">
    <w:abstractNumId w:val="30"/>
  </w:num>
  <w:num w:numId="2" w16cid:durableId="1998073570">
    <w:abstractNumId w:val="0"/>
  </w:num>
  <w:num w:numId="3" w16cid:durableId="1076050463">
    <w:abstractNumId w:val="2"/>
  </w:num>
  <w:num w:numId="4" w16cid:durableId="13270213">
    <w:abstractNumId w:val="21"/>
  </w:num>
  <w:num w:numId="5" w16cid:durableId="1650091973">
    <w:abstractNumId w:val="27"/>
  </w:num>
  <w:num w:numId="6" w16cid:durableId="321399868">
    <w:abstractNumId w:val="26"/>
  </w:num>
  <w:num w:numId="7" w16cid:durableId="1197424166">
    <w:abstractNumId w:val="19"/>
  </w:num>
  <w:num w:numId="8" w16cid:durableId="693534025">
    <w:abstractNumId w:val="1"/>
  </w:num>
  <w:num w:numId="9" w16cid:durableId="468976489">
    <w:abstractNumId w:val="10"/>
  </w:num>
  <w:num w:numId="10" w16cid:durableId="1230653508">
    <w:abstractNumId w:val="7"/>
  </w:num>
  <w:num w:numId="11" w16cid:durableId="659236284">
    <w:abstractNumId w:val="13"/>
  </w:num>
  <w:num w:numId="12" w16cid:durableId="1072240876">
    <w:abstractNumId w:val="29"/>
  </w:num>
  <w:num w:numId="13" w16cid:durableId="1832671521">
    <w:abstractNumId w:val="22"/>
  </w:num>
  <w:num w:numId="14" w16cid:durableId="816261541">
    <w:abstractNumId w:val="3"/>
  </w:num>
  <w:num w:numId="15" w16cid:durableId="682439742">
    <w:abstractNumId w:val="24"/>
  </w:num>
  <w:num w:numId="16" w16cid:durableId="396562040">
    <w:abstractNumId w:val="14"/>
  </w:num>
  <w:num w:numId="17" w16cid:durableId="1148597958">
    <w:abstractNumId w:val="11"/>
  </w:num>
  <w:num w:numId="18" w16cid:durableId="1157064675">
    <w:abstractNumId w:val="32"/>
  </w:num>
  <w:num w:numId="19" w16cid:durableId="1116867920">
    <w:abstractNumId w:val="17"/>
  </w:num>
  <w:num w:numId="20" w16cid:durableId="343434317">
    <w:abstractNumId w:val="9"/>
  </w:num>
  <w:num w:numId="21" w16cid:durableId="344290847">
    <w:abstractNumId w:val="18"/>
  </w:num>
  <w:num w:numId="22" w16cid:durableId="377828342">
    <w:abstractNumId w:val="6"/>
  </w:num>
  <w:num w:numId="23" w16cid:durableId="1223175788">
    <w:abstractNumId w:val="20"/>
  </w:num>
  <w:num w:numId="24" w16cid:durableId="124741848">
    <w:abstractNumId w:val="31"/>
  </w:num>
  <w:num w:numId="25" w16cid:durableId="234359796">
    <w:abstractNumId w:val="15"/>
  </w:num>
  <w:num w:numId="26" w16cid:durableId="675233375">
    <w:abstractNumId w:val="8"/>
  </w:num>
  <w:num w:numId="27" w16cid:durableId="1564682816">
    <w:abstractNumId w:val="4"/>
  </w:num>
  <w:num w:numId="28" w16cid:durableId="213128464">
    <w:abstractNumId w:val="5"/>
  </w:num>
  <w:num w:numId="29" w16cid:durableId="2099011445">
    <w:abstractNumId w:val="12"/>
  </w:num>
  <w:num w:numId="30" w16cid:durableId="1645508066">
    <w:abstractNumId w:val="25"/>
  </w:num>
  <w:num w:numId="31" w16cid:durableId="1005594149">
    <w:abstractNumId w:val="28"/>
  </w:num>
  <w:num w:numId="32" w16cid:durableId="729621941">
    <w:abstractNumId w:val="23"/>
  </w:num>
  <w:num w:numId="33" w16cid:durableId="19100132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66"/>
    <w:rsid w:val="00000AEF"/>
    <w:rsid w:val="00006100"/>
    <w:rsid w:val="00006DD3"/>
    <w:rsid w:val="000127E4"/>
    <w:rsid w:val="00015E6E"/>
    <w:rsid w:val="000208EF"/>
    <w:rsid w:val="000246FC"/>
    <w:rsid w:val="000254B9"/>
    <w:rsid w:val="00050054"/>
    <w:rsid w:val="00050DD3"/>
    <w:rsid w:val="000573F7"/>
    <w:rsid w:val="00071A36"/>
    <w:rsid w:val="00071C7D"/>
    <w:rsid w:val="0007665B"/>
    <w:rsid w:val="00076F97"/>
    <w:rsid w:val="0008394C"/>
    <w:rsid w:val="000870BB"/>
    <w:rsid w:val="00087D93"/>
    <w:rsid w:val="000946D1"/>
    <w:rsid w:val="000A320C"/>
    <w:rsid w:val="000B3B22"/>
    <w:rsid w:val="000B3EBE"/>
    <w:rsid w:val="000B448F"/>
    <w:rsid w:val="000B6FA1"/>
    <w:rsid w:val="000C0C22"/>
    <w:rsid w:val="000C0C8A"/>
    <w:rsid w:val="000C1D1E"/>
    <w:rsid w:val="000C24A9"/>
    <w:rsid w:val="000E7E67"/>
    <w:rsid w:val="000F4A35"/>
    <w:rsid w:val="000F64AB"/>
    <w:rsid w:val="00102460"/>
    <w:rsid w:val="001063C6"/>
    <w:rsid w:val="00110291"/>
    <w:rsid w:val="00127A62"/>
    <w:rsid w:val="0013218E"/>
    <w:rsid w:val="00132EB3"/>
    <w:rsid w:val="00141168"/>
    <w:rsid w:val="00142633"/>
    <w:rsid w:val="0014577A"/>
    <w:rsid w:val="00145CCD"/>
    <w:rsid w:val="001505D8"/>
    <w:rsid w:val="0015172A"/>
    <w:rsid w:val="00154790"/>
    <w:rsid w:val="00156423"/>
    <w:rsid w:val="001600E5"/>
    <w:rsid w:val="00164FC5"/>
    <w:rsid w:val="001755A4"/>
    <w:rsid w:val="001776AA"/>
    <w:rsid w:val="0018085D"/>
    <w:rsid w:val="00180E0F"/>
    <w:rsid w:val="001812CC"/>
    <w:rsid w:val="001829A7"/>
    <w:rsid w:val="00182CDC"/>
    <w:rsid w:val="00185154"/>
    <w:rsid w:val="001907F0"/>
    <w:rsid w:val="00191021"/>
    <w:rsid w:val="0019114D"/>
    <w:rsid w:val="00191DEE"/>
    <w:rsid w:val="001970FA"/>
    <w:rsid w:val="001A6100"/>
    <w:rsid w:val="001B05C8"/>
    <w:rsid w:val="001B2B93"/>
    <w:rsid w:val="001B4177"/>
    <w:rsid w:val="001B6C10"/>
    <w:rsid w:val="001C02BF"/>
    <w:rsid w:val="001D0C41"/>
    <w:rsid w:val="001D11C3"/>
    <w:rsid w:val="001D2F7D"/>
    <w:rsid w:val="001D3893"/>
    <w:rsid w:val="001D4E17"/>
    <w:rsid w:val="001D61E1"/>
    <w:rsid w:val="001D62E3"/>
    <w:rsid w:val="001E00C3"/>
    <w:rsid w:val="001E12E4"/>
    <w:rsid w:val="001E3279"/>
    <w:rsid w:val="001E573D"/>
    <w:rsid w:val="001F16CA"/>
    <w:rsid w:val="001F73E5"/>
    <w:rsid w:val="002078C1"/>
    <w:rsid w:val="002106C4"/>
    <w:rsid w:val="00210DEF"/>
    <w:rsid w:val="00222215"/>
    <w:rsid w:val="00232615"/>
    <w:rsid w:val="0025119D"/>
    <w:rsid w:val="002517F0"/>
    <w:rsid w:val="00252201"/>
    <w:rsid w:val="00254DD8"/>
    <w:rsid w:val="002629DA"/>
    <w:rsid w:val="002727CA"/>
    <w:rsid w:val="00274E23"/>
    <w:rsid w:val="00277625"/>
    <w:rsid w:val="002809C5"/>
    <w:rsid w:val="002833F7"/>
    <w:rsid w:val="00284A96"/>
    <w:rsid w:val="002B2319"/>
    <w:rsid w:val="002B4003"/>
    <w:rsid w:val="002B7FEE"/>
    <w:rsid w:val="002C205D"/>
    <w:rsid w:val="002C5B1C"/>
    <w:rsid w:val="002C663D"/>
    <w:rsid w:val="002D37B8"/>
    <w:rsid w:val="002D4254"/>
    <w:rsid w:val="002D4E6E"/>
    <w:rsid w:val="002E4C0D"/>
    <w:rsid w:val="002F32FC"/>
    <w:rsid w:val="0030082E"/>
    <w:rsid w:val="00301893"/>
    <w:rsid w:val="00302B89"/>
    <w:rsid w:val="003059C9"/>
    <w:rsid w:val="003114D0"/>
    <w:rsid w:val="003248A7"/>
    <w:rsid w:val="00327519"/>
    <w:rsid w:val="00333FED"/>
    <w:rsid w:val="00335510"/>
    <w:rsid w:val="0033666E"/>
    <w:rsid w:val="003411DD"/>
    <w:rsid w:val="003419CD"/>
    <w:rsid w:val="00344FC4"/>
    <w:rsid w:val="0036123F"/>
    <w:rsid w:val="00367765"/>
    <w:rsid w:val="00371826"/>
    <w:rsid w:val="00371A88"/>
    <w:rsid w:val="00372C7D"/>
    <w:rsid w:val="0037398C"/>
    <w:rsid w:val="0037618F"/>
    <w:rsid w:val="00377BAE"/>
    <w:rsid w:val="003847CE"/>
    <w:rsid w:val="0038523A"/>
    <w:rsid w:val="003853C1"/>
    <w:rsid w:val="0039136F"/>
    <w:rsid w:val="003A04C1"/>
    <w:rsid w:val="003A08A5"/>
    <w:rsid w:val="003A755D"/>
    <w:rsid w:val="003B0945"/>
    <w:rsid w:val="003B097F"/>
    <w:rsid w:val="003B4DCF"/>
    <w:rsid w:val="003B5308"/>
    <w:rsid w:val="003B6791"/>
    <w:rsid w:val="003C011D"/>
    <w:rsid w:val="003D06E3"/>
    <w:rsid w:val="003D26F5"/>
    <w:rsid w:val="003D313D"/>
    <w:rsid w:val="003D3B71"/>
    <w:rsid w:val="003D47B0"/>
    <w:rsid w:val="003D56AF"/>
    <w:rsid w:val="003E1EF3"/>
    <w:rsid w:val="003E5319"/>
    <w:rsid w:val="003F32EE"/>
    <w:rsid w:val="00404615"/>
    <w:rsid w:val="00405F8D"/>
    <w:rsid w:val="00407776"/>
    <w:rsid w:val="00414AF7"/>
    <w:rsid w:val="00420D00"/>
    <w:rsid w:val="004269B1"/>
    <w:rsid w:val="00427353"/>
    <w:rsid w:val="0043564D"/>
    <w:rsid w:val="0043628A"/>
    <w:rsid w:val="00440D21"/>
    <w:rsid w:val="00444AE6"/>
    <w:rsid w:val="004478FD"/>
    <w:rsid w:val="00453A13"/>
    <w:rsid w:val="00456597"/>
    <w:rsid w:val="004700B3"/>
    <w:rsid w:val="00472AA9"/>
    <w:rsid w:val="00474A97"/>
    <w:rsid w:val="004751A1"/>
    <w:rsid w:val="00475DA4"/>
    <w:rsid w:val="004830D6"/>
    <w:rsid w:val="0048378F"/>
    <w:rsid w:val="00483D67"/>
    <w:rsid w:val="00491C59"/>
    <w:rsid w:val="00495257"/>
    <w:rsid w:val="004A7D1D"/>
    <w:rsid w:val="004B5637"/>
    <w:rsid w:val="004B7DAE"/>
    <w:rsid w:val="004C0357"/>
    <w:rsid w:val="004C095C"/>
    <w:rsid w:val="004C2B95"/>
    <w:rsid w:val="004C2DD4"/>
    <w:rsid w:val="004C6084"/>
    <w:rsid w:val="004D06B3"/>
    <w:rsid w:val="004D7A3E"/>
    <w:rsid w:val="004E057E"/>
    <w:rsid w:val="004E79A4"/>
    <w:rsid w:val="004F2A3C"/>
    <w:rsid w:val="004F3D6F"/>
    <w:rsid w:val="004F55CF"/>
    <w:rsid w:val="00502C06"/>
    <w:rsid w:val="0051056D"/>
    <w:rsid w:val="00511E1B"/>
    <w:rsid w:val="005122A5"/>
    <w:rsid w:val="00526401"/>
    <w:rsid w:val="00532D29"/>
    <w:rsid w:val="005331C9"/>
    <w:rsid w:val="005355C6"/>
    <w:rsid w:val="005363BB"/>
    <w:rsid w:val="00544639"/>
    <w:rsid w:val="0055219D"/>
    <w:rsid w:val="00552BB2"/>
    <w:rsid w:val="0055353F"/>
    <w:rsid w:val="00554799"/>
    <w:rsid w:val="00556CE0"/>
    <w:rsid w:val="00561C5B"/>
    <w:rsid w:val="00562017"/>
    <w:rsid w:val="00563F4F"/>
    <w:rsid w:val="0056633F"/>
    <w:rsid w:val="005713E5"/>
    <w:rsid w:val="00573102"/>
    <w:rsid w:val="00576EEC"/>
    <w:rsid w:val="00581F10"/>
    <w:rsid w:val="00582BCF"/>
    <w:rsid w:val="00584E9C"/>
    <w:rsid w:val="00592D77"/>
    <w:rsid w:val="0059361E"/>
    <w:rsid w:val="00593A08"/>
    <w:rsid w:val="0059528E"/>
    <w:rsid w:val="00597968"/>
    <w:rsid w:val="005A06D8"/>
    <w:rsid w:val="005A0F23"/>
    <w:rsid w:val="005A435A"/>
    <w:rsid w:val="005A44BB"/>
    <w:rsid w:val="005A46EA"/>
    <w:rsid w:val="005B0662"/>
    <w:rsid w:val="005B0C40"/>
    <w:rsid w:val="005B4EBF"/>
    <w:rsid w:val="005B55A8"/>
    <w:rsid w:val="005B74DA"/>
    <w:rsid w:val="005C7ABB"/>
    <w:rsid w:val="005D4A27"/>
    <w:rsid w:val="005D5518"/>
    <w:rsid w:val="005D5806"/>
    <w:rsid w:val="005D5EC9"/>
    <w:rsid w:val="005D620B"/>
    <w:rsid w:val="005E259B"/>
    <w:rsid w:val="005E3885"/>
    <w:rsid w:val="005E7281"/>
    <w:rsid w:val="006025ED"/>
    <w:rsid w:val="00604BBB"/>
    <w:rsid w:val="0061073A"/>
    <w:rsid w:val="0061089F"/>
    <w:rsid w:val="006112FE"/>
    <w:rsid w:val="00614684"/>
    <w:rsid w:val="00616D6D"/>
    <w:rsid w:val="006226F0"/>
    <w:rsid w:val="00623F62"/>
    <w:rsid w:val="0062673D"/>
    <w:rsid w:val="00633235"/>
    <w:rsid w:val="00633477"/>
    <w:rsid w:val="0063622F"/>
    <w:rsid w:val="00640193"/>
    <w:rsid w:val="006437E4"/>
    <w:rsid w:val="0064640E"/>
    <w:rsid w:val="0065325A"/>
    <w:rsid w:val="006706CA"/>
    <w:rsid w:val="006712F8"/>
    <w:rsid w:val="00673C09"/>
    <w:rsid w:val="00674316"/>
    <w:rsid w:val="00680B8F"/>
    <w:rsid w:val="00684E74"/>
    <w:rsid w:val="00684EB4"/>
    <w:rsid w:val="00687CD0"/>
    <w:rsid w:val="00692FE8"/>
    <w:rsid w:val="006A1801"/>
    <w:rsid w:val="006A2B59"/>
    <w:rsid w:val="006B1000"/>
    <w:rsid w:val="006B1F74"/>
    <w:rsid w:val="006C6069"/>
    <w:rsid w:val="006D22C5"/>
    <w:rsid w:val="006D66B5"/>
    <w:rsid w:val="006D7EE1"/>
    <w:rsid w:val="006E1BB4"/>
    <w:rsid w:val="006E3040"/>
    <w:rsid w:val="0071594D"/>
    <w:rsid w:val="00722C54"/>
    <w:rsid w:val="007313C0"/>
    <w:rsid w:val="00732AEA"/>
    <w:rsid w:val="007374E9"/>
    <w:rsid w:val="00753994"/>
    <w:rsid w:val="00763879"/>
    <w:rsid w:val="00763B26"/>
    <w:rsid w:val="00770BF1"/>
    <w:rsid w:val="00773B71"/>
    <w:rsid w:val="00774E81"/>
    <w:rsid w:val="00777266"/>
    <w:rsid w:val="00777667"/>
    <w:rsid w:val="0077768B"/>
    <w:rsid w:val="00787BAD"/>
    <w:rsid w:val="007A1854"/>
    <w:rsid w:val="007A5346"/>
    <w:rsid w:val="007B25C1"/>
    <w:rsid w:val="007D43E2"/>
    <w:rsid w:val="007D590A"/>
    <w:rsid w:val="007E5CF8"/>
    <w:rsid w:val="00801EB6"/>
    <w:rsid w:val="00807884"/>
    <w:rsid w:val="00812F03"/>
    <w:rsid w:val="00814547"/>
    <w:rsid w:val="00822179"/>
    <w:rsid w:val="00822503"/>
    <w:rsid w:val="00825223"/>
    <w:rsid w:val="0082530B"/>
    <w:rsid w:val="0082549F"/>
    <w:rsid w:val="00830168"/>
    <w:rsid w:val="008313C3"/>
    <w:rsid w:val="00831699"/>
    <w:rsid w:val="00832557"/>
    <w:rsid w:val="00836956"/>
    <w:rsid w:val="00845732"/>
    <w:rsid w:val="00850C2C"/>
    <w:rsid w:val="00856314"/>
    <w:rsid w:val="00856DB0"/>
    <w:rsid w:val="008572D9"/>
    <w:rsid w:val="00861E13"/>
    <w:rsid w:val="008641AF"/>
    <w:rsid w:val="008657FF"/>
    <w:rsid w:val="00867E7F"/>
    <w:rsid w:val="00871218"/>
    <w:rsid w:val="008822C4"/>
    <w:rsid w:val="0088318C"/>
    <w:rsid w:val="008849EE"/>
    <w:rsid w:val="00890846"/>
    <w:rsid w:val="00892496"/>
    <w:rsid w:val="008939E8"/>
    <w:rsid w:val="008A0AED"/>
    <w:rsid w:val="008A1BEC"/>
    <w:rsid w:val="008A6F22"/>
    <w:rsid w:val="008B4854"/>
    <w:rsid w:val="008B5D8F"/>
    <w:rsid w:val="008C0052"/>
    <w:rsid w:val="008C1230"/>
    <w:rsid w:val="008E1444"/>
    <w:rsid w:val="008E29DE"/>
    <w:rsid w:val="008E325D"/>
    <w:rsid w:val="008F4E0B"/>
    <w:rsid w:val="00907FC3"/>
    <w:rsid w:val="00914813"/>
    <w:rsid w:val="0091675C"/>
    <w:rsid w:val="00936B24"/>
    <w:rsid w:val="00941CA7"/>
    <w:rsid w:val="00944BE9"/>
    <w:rsid w:val="009453E1"/>
    <w:rsid w:val="0095161B"/>
    <w:rsid w:val="0095248A"/>
    <w:rsid w:val="009536B2"/>
    <w:rsid w:val="00955053"/>
    <w:rsid w:val="009571D7"/>
    <w:rsid w:val="009610DF"/>
    <w:rsid w:val="009655D3"/>
    <w:rsid w:val="00965C5B"/>
    <w:rsid w:val="009729FF"/>
    <w:rsid w:val="00974C4B"/>
    <w:rsid w:val="00977E91"/>
    <w:rsid w:val="009813C8"/>
    <w:rsid w:val="0099448D"/>
    <w:rsid w:val="009A199C"/>
    <w:rsid w:val="009A26A1"/>
    <w:rsid w:val="009B565C"/>
    <w:rsid w:val="009C0627"/>
    <w:rsid w:val="009D4D20"/>
    <w:rsid w:val="009E3D78"/>
    <w:rsid w:val="009F4A25"/>
    <w:rsid w:val="009F62D9"/>
    <w:rsid w:val="009F6AF8"/>
    <w:rsid w:val="009F6CE7"/>
    <w:rsid w:val="009F7C01"/>
    <w:rsid w:val="00A02CC1"/>
    <w:rsid w:val="00A0556E"/>
    <w:rsid w:val="00A05CFF"/>
    <w:rsid w:val="00A0786E"/>
    <w:rsid w:val="00A07960"/>
    <w:rsid w:val="00A25A39"/>
    <w:rsid w:val="00A404FD"/>
    <w:rsid w:val="00A406B6"/>
    <w:rsid w:val="00A41250"/>
    <w:rsid w:val="00A41D4E"/>
    <w:rsid w:val="00A42A3B"/>
    <w:rsid w:val="00A5105D"/>
    <w:rsid w:val="00A52090"/>
    <w:rsid w:val="00A52A8F"/>
    <w:rsid w:val="00A56701"/>
    <w:rsid w:val="00A640FF"/>
    <w:rsid w:val="00A75AA5"/>
    <w:rsid w:val="00A80EC8"/>
    <w:rsid w:val="00A82890"/>
    <w:rsid w:val="00A82DC3"/>
    <w:rsid w:val="00A8329F"/>
    <w:rsid w:val="00A83B38"/>
    <w:rsid w:val="00A85D19"/>
    <w:rsid w:val="00A932F1"/>
    <w:rsid w:val="00A97048"/>
    <w:rsid w:val="00AA6010"/>
    <w:rsid w:val="00AB1829"/>
    <w:rsid w:val="00AC0A57"/>
    <w:rsid w:val="00AC40AF"/>
    <w:rsid w:val="00AD0D9F"/>
    <w:rsid w:val="00AD12FA"/>
    <w:rsid w:val="00AD6EC2"/>
    <w:rsid w:val="00AD725D"/>
    <w:rsid w:val="00AD7946"/>
    <w:rsid w:val="00AE4A23"/>
    <w:rsid w:val="00AE4C26"/>
    <w:rsid w:val="00AF2204"/>
    <w:rsid w:val="00AF2929"/>
    <w:rsid w:val="00AF3C09"/>
    <w:rsid w:val="00B012F3"/>
    <w:rsid w:val="00B019AB"/>
    <w:rsid w:val="00B05EE5"/>
    <w:rsid w:val="00B065CC"/>
    <w:rsid w:val="00B07CAA"/>
    <w:rsid w:val="00B07D66"/>
    <w:rsid w:val="00B1273F"/>
    <w:rsid w:val="00B222A6"/>
    <w:rsid w:val="00B25374"/>
    <w:rsid w:val="00B33A1C"/>
    <w:rsid w:val="00B34AE8"/>
    <w:rsid w:val="00B35EA9"/>
    <w:rsid w:val="00B366AA"/>
    <w:rsid w:val="00B36A55"/>
    <w:rsid w:val="00B4230A"/>
    <w:rsid w:val="00B42B08"/>
    <w:rsid w:val="00B51A95"/>
    <w:rsid w:val="00B53493"/>
    <w:rsid w:val="00B55D18"/>
    <w:rsid w:val="00B56CC8"/>
    <w:rsid w:val="00B61F46"/>
    <w:rsid w:val="00B65281"/>
    <w:rsid w:val="00B668FB"/>
    <w:rsid w:val="00B66FC8"/>
    <w:rsid w:val="00B67C4B"/>
    <w:rsid w:val="00B751D9"/>
    <w:rsid w:val="00B76B8E"/>
    <w:rsid w:val="00B80594"/>
    <w:rsid w:val="00B81DA0"/>
    <w:rsid w:val="00B94887"/>
    <w:rsid w:val="00BA1259"/>
    <w:rsid w:val="00BA45AE"/>
    <w:rsid w:val="00BA4F4A"/>
    <w:rsid w:val="00BA4FF5"/>
    <w:rsid w:val="00BA6471"/>
    <w:rsid w:val="00BA65C4"/>
    <w:rsid w:val="00BA66AD"/>
    <w:rsid w:val="00BB15AB"/>
    <w:rsid w:val="00BB53F3"/>
    <w:rsid w:val="00BB73BC"/>
    <w:rsid w:val="00BC1699"/>
    <w:rsid w:val="00BC2C51"/>
    <w:rsid w:val="00BC2DD3"/>
    <w:rsid w:val="00BC2FAF"/>
    <w:rsid w:val="00BC40D1"/>
    <w:rsid w:val="00BC67B1"/>
    <w:rsid w:val="00BD08C2"/>
    <w:rsid w:val="00BD6679"/>
    <w:rsid w:val="00BD6F31"/>
    <w:rsid w:val="00BF2C53"/>
    <w:rsid w:val="00C000C3"/>
    <w:rsid w:val="00C00192"/>
    <w:rsid w:val="00C02E60"/>
    <w:rsid w:val="00C058FB"/>
    <w:rsid w:val="00C07A53"/>
    <w:rsid w:val="00C10D0F"/>
    <w:rsid w:val="00C129E4"/>
    <w:rsid w:val="00C14C1A"/>
    <w:rsid w:val="00C161FD"/>
    <w:rsid w:val="00C17321"/>
    <w:rsid w:val="00C1792E"/>
    <w:rsid w:val="00C17CCB"/>
    <w:rsid w:val="00C20D82"/>
    <w:rsid w:val="00C22FE5"/>
    <w:rsid w:val="00C240FD"/>
    <w:rsid w:val="00C24374"/>
    <w:rsid w:val="00C246CA"/>
    <w:rsid w:val="00C302EF"/>
    <w:rsid w:val="00C453AA"/>
    <w:rsid w:val="00C51809"/>
    <w:rsid w:val="00C64493"/>
    <w:rsid w:val="00C677AB"/>
    <w:rsid w:val="00C733CD"/>
    <w:rsid w:val="00C74C53"/>
    <w:rsid w:val="00C76523"/>
    <w:rsid w:val="00C857AC"/>
    <w:rsid w:val="00C8708D"/>
    <w:rsid w:val="00C91385"/>
    <w:rsid w:val="00C95932"/>
    <w:rsid w:val="00C95BD3"/>
    <w:rsid w:val="00C97431"/>
    <w:rsid w:val="00CA19C4"/>
    <w:rsid w:val="00CB0F9B"/>
    <w:rsid w:val="00CB46DE"/>
    <w:rsid w:val="00CB7C29"/>
    <w:rsid w:val="00CD181A"/>
    <w:rsid w:val="00CE28CD"/>
    <w:rsid w:val="00CF0423"/>
    <w:rsid w:val="00CF2B61"/>
    <w:rsid w:val="00CF41C5"/>
    <w:rsid w:val="00D005C1"/>
    <w:rsid w:val="00D14D0F"/>
    <w:rsid w:val="00D16DC8"/>
    <w:rsid w:val="00D224E5"/>
    <w:rsid w:val="00D241D3"/>
    <w:rsid w:val="00D253E1"/>
    <w:rsid w:val="00D27FA8"/>
    <w:rsid w:val="00D32348"/>
    <w:rsid w:val="00D365D3"/>
    <w:rsid w:val="00D40FC8"/>
    <w:rsid w:val="00D42724"/>
    <w:rsid w:val="00D42F7B"/>
    <w:rsid w:val="00D4595B"/>
    <w:rsid w:val="00D518C1"/>
    <w:rsid w:val="00D55089"/>
    <w:rsid w:val="00D64F5E"/>
    <w:rsid w:val="00D65684"/>
    <w:rsid w:val="00D8753C"/>
    <w:rsid w:val="00D945EE"/>
    <w:rsid w:val="00D96950"/>
    <w:rsid w:val="00D96C38"/>
    <w:rsid w:val="00DA2ABF"/>
    <w:rsid w:val="00DA76FA"/>
    <w:rsid w:val="00DB2B49"/>
    <w:rsid w:val="00DC28FE"/>
    <w:rsid w:val="00DC290C"/>
    <w:rsid w:val="00DC33B4"/>
    <w:rsid w:val="00DD189C"/>
    <w:rsid w:val="00DD4656"/>
    <w:rsid w:val="00DF01DF"/>
    <w:rsid w:val="00DF2001"/>
    <w:rsid w:val="00E00D18"/>
    <w:rsid w:val="00E00E85"/>
    <w:rsid w:val="00E018FB"/>
    <w:rsid w:val="00E13091"/>
    <w:rsid w:val="00E14539"/>
    <w:rsid w:val="00E20830"/>
    <w:rsid w:val="00E209E8"/>
    <w:rsid w:val="00E20A59"/>
    <w:rsid w:val="00E21DC0"/>
    <w:rsid w:val="00E23091"/>
    <w:rsid w:val="00E2390C"/>
    <w:rsid w:val="00E25F10"/>
    <w:rsid w:val="00E2649F"/>
    <w:rsid w:val="00E26ED6"/>
    <w:rsid w:val="00E313EA"/>
    <w:rsid w:val="00E33C53"/>
    <w:rsid w:val="00E354BA"/>
    <w:rsid w:val="00E36127"/>
    <w:rsid w:val="00E406D8"/>
    <w:rsid w:val="00E4147F"/>
    <w:rsid w:val="00E4166E"/>
    <w:rsid w:val="00E438FC"/>
    <w:rsid w:val="00E515F9"/>
    <w:rsid w:val="00E643D5"/>
    <w:rsid w:val="00E6763B"/>
    <w:rsid w:val="00E944AF"/>
    <w:rsid w:val="00E95FC9"/>
    <w:rsid w:val="00EA7EE6"/>
    <w:rsid w:val="00EB11DF"/>
    <w:rsid w:val="00EB215A"/>
    <w:rsid w:val="00EB37FF"/>
    <w:rsid w:val="00EB58BD"/>
    <w:rsid w:val="00EC0FFC"/>
    <w:rsid w:val="00EC1A7D"/>
    <w:rsid w:val="00ED2CE6"/>
    <w:rsid w:val="00ED2E33"/>
    <w:rsid w:val="00ED3024"/>
    <w:rsid w:val="00ED5AB1"/>
    <w:rsid w:val="00ED71B6"/>
    <w:rsid w:val="00EF0E10"/>
    <w:rsid w:val="00EF2076"/>
    <w:rsid w:val="00EF2AFB"/>
    <w:rsid w:val="00EF43B9"/>
    <w:rsid w:val="00EF54AD"/>
    <w:rsid w:val="00F128B8"/>
    <w:rsid w:val="00F13E37"/>
    <w:rsid w:val="00F25530"/>
    <w:rsid w:val="00F431FB"/>
    <w:rsid w:val="00F44991"/>
    <w:rsid w:val="00F45900"/>
    <w:rsid w:val="00F45A45"/>
    <w:rsid w:val="00F50F1E"/>
    <w:rsid w:val="00F53ACB"/>
    <w:rsid w:val="00F54016"/>
    <w:rsid w:val="00F55D47"/>
    <w:rsid w:val="00F56987"/>
    <w:rsid w:val="00F574B7"/>
    <w:rsid w:val="00F60E46"/>
    <w:rsid w:val="00F6184E"/>
    <w:rsid w:val="00F64D70"/>
    <w:rsid w:val="00F66B05"/>
    <w:rsid w:val="00F75973"/>
    <w:rsid w:val="00F8007E"/>
    <w:rsid w:val="00F8058C"/>
    <w:rsid w:val="00F81C8A"/>
    <w:rsid w:val="00F84805"/>
    <w:rsid w:val="00F8546A"/>
    <w:rsid w:val="00FA2B02"/>
    <w:rsid w:val="00FA6C99"/>
    <w:rsid w:val="00FB1115"/>
    <w:rsid w:val="00FB4AE4"/>
    <w:rsid w:val="00FC64B4"/>
    <w:rsid w:val="00FD23B4"/>
    <w:rsid w:val="00FD439B"/>
    <w:rsid w:val="00FE3568"/>
    <w:rsid w:val="00FE7A02"/>
    <w:rsid w:val="00FF05B1"/>
    <w:rsid w:val="00FF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76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03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26401"/>
    <w:pPr>
      <w:keepNext/>
      <w:keepLines/>
      <w:widowControl w:val="0"/>
      <w:spacing w:before="480" w:after="240"/>
      <w:outlineLvl w:val="0"/>
    </w:pPr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526401"/>
    <w:pPr>
      <w:keepNext/>
      <w:keepLines/>
      <w:spacing w:before="400" w:after="200"/>
      <w:outlineLvl w:val="1"/>
    </w:pPr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64F5E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64F5E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D64F5E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rsid w:val="00CB46DE"/>
    <w:pPr>
      <w:spacing w:before="240" w:after="120"/>
      <w:outlineLvl w:val="5"/>
    </w:pPr>
    <w:rPr>
      <w:rFonts w:eastAsia="Times New Roman" w:cs="Times New Roman"/>
      <w:bCs/>
      <w:color w:val="003C69" w:themeColor="accen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0AED"/>
    <w:pPr>
      <w:spacing w:before="120" w:after="120" w:line="26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A0AED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6401"/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26401"/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64F5E"/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64F5E"/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9C0627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9C0627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qFormat/>
    <w:rsid w:val="009C0627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qFormat/>
    <w:rsid w:val="009C0627"/>
    <w:pPr>
      <w:numPr>
        <w:ilvl w:val="3"/>
        <w:numId w:val="11"/>
      </w:numPr>
    </w:pPr>
  </w:style>
  <w:style w:type="paragraph" w:styleId="Title">
    <w:name w:val="Title"/>
    <w:basedOn w:val="Normal"/>
    <w:next w:val="BodyText"/>
    <w:link w:val="TitleChar"/>
    <w:uiPriority w:val="9"/>
    <w:qFormat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C1792E"/>
    <w:pPr>
      <w:numPr>
        <w:ilvl w:val="1"/>
      </w:numPr>
      <w:spacing w:before="120" w:after="120"/>
    </w:pPr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C1792E"/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F03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13"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13"/>
    <w:rsid w:val="00836956"/>
    <w:rPr>
      <w:sz w:val="17"/>
    </w:rPr>
  </w:style>
  <w:style w:type="paragraph" w:styleId="Footer">
    <w:name w:val="footer"/>
    <w:basedOn w:val="Normal"/>
    <w:link w:val="FooterChar"/>
    <w:uiPriority w:val="99"/>
    <w:rsid w:val="001970FA"/>
    <w:pPr>
      <w:tabs>
        <w:tab w:val="right" w:pos="9639"/>
      </w:tabs>
    </w:pPr>
    <w:rPr>
      <w:b/>
      <w:color w:val="818283" w:themeColor="accent5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36956"/>
    <w:rPr>
      <w:b/>
      <w:color w:val="818283" w:themeColor="accent5"/>
      <w:sz w:val="18"/>
    </w:rPr>
  </w:style>
  <w:style w:type="paragraph" w:styleId="ListNumber0">
    <w:name w:val="List Number"/>
    <w:basedOn w:val="Normal"/>
    <w:uiPriority w:val="2"/>
    <w:qFormat/>
    <w:rsid w:val="009C0627"/>
    <w:pPr>
      <w:numPr>
        <w:numId w:val="10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9C0627"/>
    <w:pPr>
      <w:numPr>
        <w:numId w:val="9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E20830"/>
    <w:rPr>
      <w:color w:val="003C69" w:themeColor="accent1"/>
      <w:u w:val="single"/>
    </w:rPr>
  </w:style>
  <w:style w:type="paragraph" w:styleId="TOC1">
    <w:name w:val="toc 1"/>
    <w:basedOn w:val="Normal"/>
    <w:next w:val="Normal"/>
    <w:uiPriority w:val="39"/>
    <w:rsid w:val="00812F03"/>
    <w:pPr>
      <w:keepNext/>
      <w:tabs>
        <w:tab w:val="right" w:pos="15706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812F03"/>
    <w:pPr>
      <w:tabs>
        <w:tab w:val="right" w:pos="15706"/>
      </w:tabs>
      <w:spacing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812F03"/>
    <w:pPr>
      <w:tabs>
        <w:tab w:val="right" w:pos="15706"/>
      </w:tabs>
      <w:spacing w:after="60"/>
      <w:ind w:right="567"/>
    </w:pPr>
  </w:style>
  <w:style w:type="table" w:styleId="TableGrid">
    <w:name w:val="Table Grid"/>
    <w:basedOn w:val="TableNormal"/>
    <w:rsid w:val="00142633"/>
    <w:pPr>
      <w:spacing w:after="0"/>
    </w:pPr>
    <w:tblPr/>
  </w:style>
  <w:style w:type="table" w:customStyle="1" w:styleId="StoneTable">
    <w:name w:val="Stone Table"/>
    <w:basedOn w:val="NavyTable"/>
    <w:uiPriority w:val="99"/>
    <w:rsid w:val="00C20D82"/>
    <w:tblPr>
      <w:tblBorders>
        <w:bottom w:val="single" w:sz="4" w:space="0" w:color="DAD8BC" w:themeColor="accent3"/>
        <w:insideH w:val="single" w:sz="4" w:space="0" w:color="DAD8BC" w:themeColor="accent3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DAD8BC" w:themeFill="accent3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 w:themeColor="accent3"/>
        </w:tcBorders>
        <w:shd w:val="clear" w:color="auto" w:fill="DAD8BC" w:themeFill="accent3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8A0AED"/>
    <w:pPr>
      <w:spacing w:before="60" w:after="60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8A0AED"/>
    <w:pPr>
      <w:spacing w:before="60" w:after="60"/>
    </w:pPr>
    <w:rPr>
      <w:sz w:val="18"/>
    </w:r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6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E20830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rsid w:val="00D64F5E"/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CB46DE"/>
    <w:rPr>
      <w:rFonts w:eastAsia="Times New Roman" w:cs="Times New Roman"/>
      <w:bCs/>
      <w:color w:val="003C69" w:themeColor="accent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F03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8A0AED"/>
    <w:pPr>
      <w:numPr>
        <w:numId w:val="5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qFormat/>
    <w:rsid w:val="009C0627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BodyText"/>
    <w:link w:val="QuoteChar"/>
    <w:uiPriority w:val="7"/>
    <w:qFormat/>
    <w:rsid w:val="008A0AED"/>
    <w:pPr>
      <w:spacing w:before="180" w:after="180" w:line="260" w:lineRule="atLeast"/>
      <w:ind w:left="567" w:right="567"/>
      <w:jc w:val="center"/>
    </w:pPr>
    <w:rPr>
      <w:i/>
      <w:iCs/>
      <w:color w:val="7AB800" w:themeColor="accent2"/>
      <w:sz w:val="22"/>
    </w:rPr>
  </w:style>
  <w:style w:type="character" w:customStyle="1" w:styleId="QuoteChar">
    <w:name w:val="Quote Char"/>
    <w:basedOn w:val="DefaultParagraphFont"/>
    <w:link w:val="Quote"/>
    <w:uiPriority w:val="7"/>
    <w:rsid w:val="008A0AED"/>
    <w:rPr>
      <w:i/>
      <w:iCs/>
      <w:color w:val="7AB800" w:themeColor="accent2"/>
    </w:rPr>
  </w:style>
  <w:style w:type="paragraph" w:customStyle="1" w:styleId="FigureCaption">
    <w:name w:val="Figure Caption"/>
    <w:basedOn w:val="Normal"/>
    <w:next w:val="BodyText"/>
    <w:uiPriority w:val="6"/>
    <w:qFormat/>
    <w:rsid w:val="008A0AED"/>
    <w:pPr>
      <w:tabs>
        <w:tab w:val="left" w:pos="1134"/>
      </w:tabs>
      <w:spacing w:before="120" w:after="240" w:line="260" w:lineRule="atLeast"/>
      <w:ind w:left="1134" w:hanging="1134"/>
    </w:pPr>
    <w:rPr>
      <w:b/>
    </w:rPr>
  </w:style>
  <w:style w:type="paragraph" w:customStyle="1" w:styleId="TableCaption">
    <w:name w:val="Table Caption"/>
    <w:basedOn w:val="Caption"/>
    <w:qFormat/>
    <w:rsid w:val="008A0AED"/>
    <w:pPr>
      <w:keepNext/>
      <w:spacing w:line="260" w:lineRule="atLeast"/>
    </w:pPr>
  </w:style>
  <w:style w:type="paragraph" w:customStyle="1" w:styleId="FigureStyle">
    <w:name w:val="Figure Style"/>
    <w:basedOn w:val="BodyText"/>
    <w:uiPriority w:val="6"/>
    <w:qFormat/>
    <w:rsid w:val="008A0AED"/>
    <w:pPr>
      <w:keepNext/>
      <w:spacing w:before="240"/>
      <w:jc w:val="center"/>
    </w:pPr>
  </w:style>
  <w:style w:type="paragraph" w:styleId="TOC5">
    <w:name w:val="toc 5"/>
    <w:basedOn w:val="TOC2"/>
    <w:next w:val="Normal"/>
    <w:uiPriority w:val="39"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C0627"/>
    <w:pPr>
      <w:numPr>
        <w:numId w:val="10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9C0627"/>
    <w:pPr>
      <w:numPr>
        <w:numId w:val="8"/>
      </w:numPr>
      <w:spacing w:before="0"/>
    </w:pPr>
  </w:style>
  <w:style w:type="numbering" w:customStyle="1" w:styleId="ListAlpha">
    <w:name w:val="List_Alpha"/>
    <w:uiPriority w:val="99"/>
    <w:rsid w:val="009C0627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NavyTable">
    <w:name w:val="Navy Table"/>
    <w:basedOn w:val="TableNormal"/>
    <w:uiPriority w:val="99"/>
    <w:rsid w:val="00C20D82"/>
    <w:pPr>
      <w:spacing w:before="0" w:after="0"/>
    </w:pPr>
    <w:tblPr>
      <w:tblStyleRowBandSize w:val="1"/>
      <w:tblStyleColBandSize w:val="1"/>
      <w:tblInd w:w="108" w:type="dxa"/>
      <w:tblBorders>
        <w:bottom w:val="single" w:sz="4" w:space="0" w:color="003C69" w:themeColor="accent1"/>
        <w:insideH w:val="single" w:sz="4" w:space="0" w:color="003C69" w:themeColor="accent1"/>
        <w:insideV w:val="single" w:sz="4" w:space="0" w:color="FFFFFF" w:themeColor="background1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003C69" w:themeFill="accent1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 w:themeFill="accent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character" w:styleId="FollowedHyperlink">
    <w:name w:val="FollowedHyperlink"/>
    <w:basedOn w:val="DefaultParagraphFont"/>
    <w:uiPriority w:val="11"/>
    <w:unhideWhenUsed/>
    <w:rsid w:val="00E20830"/>
    <w:rPr>
      <w:color w:val="003C69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9C0627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9C0627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C0627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C0627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C0627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C0627"/>
    <w:pPr>
      <w:numPr>
        <w:ilvl w:val="1"/>
      </w:numPr>
    </w:pPr>
  </w:style>
  <w:style w:type="paragraph" w:styleId="ListBullet3">
    <w:name w:val="List Bullet 3"/>
    <w:basedOn w:val="ListBullet0"/>
    <w:uiPriority w:val="99"/>
    <w:rsid w:val="009C0627"/>
    <w:pPr>
      <w:numPr>
        <w:ilvl w:val="2"/>
      </w:numPr>
    </w:pPr>
  </w:style>
  <w:style w:type="paragraph" w:styleId="ListBullet4">
    <w:name w:val="List Bullet 4"/>
    <w:basedOn w:val="ListBullet0"/>
    <w:uiPriority w:val="19"/>
    <w:semiHidden/>
    <w:rsid w:val="009C0627"/>
    <w:pPr>
      <w:numPr>
        <w:numId w:val="0"/>
      </w:numPr>
    </w:pPr>
  </w:style>
  <w:style w:type="paragraph" w:styleId="ListBullet5">
    <w:name w:val="List Bullet 5"/>
    <w:basedOn w:val="ListBullet0"/>
    <w:uiPriority w:val="19"/>
    <w:semiHidden/>
    <w:rsid w:val="009C0627"/>
    <w:pPr>
      <w:numPr>
        <w:numId w:val="0"/>
      </w:numPr>
    </w:pPr>
  </w:style>
  <w:style w:type="paragraph" w:customStyle="1" w:styleId="ListBullet6">
    <w:name w:val="List Bullet 6"/>
    <w:basedOn w:val="ListBullet0"/>
    <w:uiPriority w:val="19"/>
    <w:semiHidden/>
    <w:qFormat/>
    <w:rsid w:val="009C0627"/>
    <w:pPr>
      <w:numPr>
        <w:numId w:val="0"/>
      </w:numPr>
    </w:pPr>
  </w:style>
  <w:style w:type="paragraph" w:styleId="ListNumber2">
    <w:name w:val="List Number 2"/>
    <w:basedOn w:val="ListNumber0"/>
    <w:uiPriority w:val="19"/>
    <w:rsid w:val="009C0627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9C0627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9C0627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9C0627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9C0627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C0627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9C0627"/>
    <w:pPr>
      <w:numPr>
        <w:numId w:val="11"/>
      </w:numPr>
    </w:pPr>
  </w:style>
  <w:style w:type="numbering" w:customStyle="1" w:styleId="ListTableBullet">
    <w:name w:val="List_TableBullet"/>
    <w:uiPriority w:val="99"/>
    <w:rsid w:val="002106C4"/>
    <w:pPr>
      <w:numPr>
        <w:numId w:val="3"/>
      </w:numPr>
    </w:pPr>
  </w:style>
  <w:style w:type="numbering" w:customStyle="1" w:styleId="ListTableNumber">
    <w:name w:val="List_TableNumber"/>
    <w:uiPriority w:val="99"/>
    <w:rsid w:val="00E20830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Black">
    <w:name w:val="Table Black"/>
    <w:basedOn w:val="NavyTable"/>
    <w:uiPriority w:val="99"/>
    <w:rsid w:val="00FE7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000000" w:themeFill="text1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">
    <w:name w:val="Table Grey"/>
    <w:basedOn w:val="TableBlack"/>
    <w:uiPriority w:val="99"/>
    <w:rsid w:val="00FE7A0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CBCBCB" w:themeFill="text2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2Vert">
      <w:tblPr/>
      <w:tcPr>
        <w:shd w:val="clear" w:color="auto" w:fill="E5E5E5" w:themeFill="text2" w:themeFillTint="33"/>
      </w:tcPr>
    </w:tblStylePr>
    <w:tblStylePr w:type="band2Horz">
      <w:tblPr/>
      <w:tcPr>
        <w:shd w:val="clear" w:color="auto" w:fill="E5E5E5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enTable">
    <w:name w:val="Green Table"/>
    <w:basedOn w:val="NavyTable"/>
    <w:uiPriority w:val="99"/>
    <w:rsid w:val="00C20D82"/>
    <w:tblPr>
      <w:tblBorders>
        <w:bottom w:val="single" w:sz="4" w:space="0" w:color="7AB800" w:themeColor="accent2"/>
        <w:insideH w:val="single" w:sz="4" w:space="0" w:color="7AB800" w:themeColor="accent2"/>
        <w:insideV w:val="none" w:sz="0" w:space="0" w:color="auto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AB800" w:themeFill="accent2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AB800" w:themeFill="accent2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paragraph" w:customStyle="1" w:styleId="FooterpageNumber">
    <w:name w:val="Footer page Number"/>
    <w:basedOn w:val="Footer"/>
    <w:uiPriority w:val="13"/>
    <w:semiHidden/>
    <w:rsid w:val="001970FA"/>
    <w:pPr>
      <w:tabs>
        <w:tab w:val="clear" w:pos="9639"/>
      </w:tabs>
      <w:jc w:val="right"/>
    </w:pPr>
    <w:rPr>
      <w:rFonts w:ascii="Arial" w:eastAsia="Times New Roman" w:hAnsi="Arial" w:cs="Times New Roman"/>
      <w:b w:val="0"/>
      <w:color w:val="635D63"/>
      <w:szCs w:val="18"/>
      <w:lang w:eastAsia="en-AU"/>
    </w:rPr>
  </w:style>
  <w:style w:type="paragraph" w:customStyle="1" w:styleId="TOCHeading2">
    <w:name w:val="TOC Heading 2"/>
    <w:basedOn w:val="Heading3"/>
    <w:uiPriority w:val="39"/>
    <w:qFormat/>
    <w:rsid w:val="00812F03"/>
  </w:style>
  <w:style w:type="paragraph" w:customStyle="1" w:styleId="contentaudit-list-item">
    <w:name w:val="content__audit-list-item"/>
    <w:basedOn w:val="Normal"/>
    <w:rsid w:val="00BA4F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90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84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8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6CE0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D389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A6C99"/>
    <w:pPr>
      <w:spacing w:after="0"/>
    </w:pPr>
    <w:tblPr>
      <w:tblStyleRowBandSize w:val="1"/>
      <w:tblStyleColBandSize w:val="1"/>
      <w:tblBorders>
        <w:top w:val="single" w:sz="4" w:space="0" w:color="5DB9FF" w:themeColor="accent1" w:themeTint="66"/>
        <w:left w:val="single" w:sz="4" w:space="0" w:color="5DB9FF" w:themeColor="accent1" w:themeTint="66"/>
        <w:bottom w:val="single" w:sz="4" w:space="0" w:color="5DB9FF" w:themeColor="accent1" w:themeTint="66"/>
        <w:right w:val="single" w:sz="4" w:space="0" w:color="5DB9FF" w:themeColor="accent1" w:themeTint="66"/>
        <w:insideH w:val="single" w:sz="4" w:space="0" w:color="5DB9FF" w:themeColor="accent1" w:themeTint="66"/>
        <w:insideV w:val="single" w:sz="4" w:space="0" w:color="5DB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C9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9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A6C9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MR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3C69"/>
      </a:accent1>
      <a:accent2>
        <a:srgbClr val="7AB800"/>
      </a:accent2>
      <a:accent3>
        <a:srgbClr val="DAD8BC"/>
      </a:accent3>
      <a:accent4>
        <a:srgbClr val="F79427"/>
      </a:accent4>
      <a:accent5>
        <a:srgbClr val="818283"/>
      </a:accent5>
      <a:accent6>
        <a:srgbClr val="BCBDC0"/>
      </a:accent6>
      <a:hlink>
        <a:srgbClr val="003E69"/>
      </a:hlink>
      <a:folHlink>
        <a:srgbClr val="003E6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6B9F-71D5-4C7C-A299-EEDA0062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2024-06-21T01:59:00Z</dcterms:created>
  <dcterms:modified xsi:type="dcterms:W3CDTF">2024-06-21T01:59:00Z</dcterms:modified>
</cp:coreProperties>
</file>