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ABCF" w14:textId="2990AC29" w:rsidR="00DC7AF6" w:rsidRDefault="00465938">
      <w:pPr>
        <w:spacing w:before="83"/>
        <w:ind w:left="104"/>
        <w:rPr>
          <w:rFonts w:ascii="MetaNormal-Roman"/>
          <w:sz w:val="18"/>
        </w:rPr>
      </w:pPr>
      <w:r>
        <w:rPr>
          <w:rFonts w:ascii="MetaNormal-Roman"/>
          <w:color w:val="FFFFFF"/>
          <w:sz w:val="18"/>
        </w:rPr>
        <w:t>Department of Children, Youth Justice and Multicultural Affairs</w:t>
      </w:r>
    </w:p>
    <w:p w14:paraId="3D59F605" w14:textId="77777777" w:rsidR="00DC7AF6" w:rsidRDefault="00DC7AF6">
      <w:pPr>
        <w:pStyle w:val="BodyText"/>
        <w:rPr>
          <w:rFonts w:ascii="MetaNormal-Roman"/>
          <w:sz w:val="18"/>
        </w:rPr>
      </w:pPr>
    </w:p>
    <w:p w14:paraId="3F400525" w14:textId="77777777" w:rsidR="00DC7AF6" w:rsidRDefault="00DC7AF6">
      <w:pPr>
        <w:pStyle w:val="BodyText"/>
        <w:rPr>
          <w:rFonts w:ascii="MetaNormal-Roman"/>
          <w:sz w:val="18"/>
        </w:rPr>
      </w:pPr>
    </w:p>
    <w:p w14:paraId="1612226D" w14:textId="77777777" w:rsidR="00DC7AF6" w:rsidRDefault="00465938">
      <w:pPr>
        <w:spacing w:before="157"/>
        <w:ind w:left="2896"/>
        <w:rPr>
          <w:b/>
          <w:sz w:val="38"/>
        </w:rPr>
      </w:pPr>
      <w:r>
        <w:rPr>
          <w:b/>
          <w:color w:val="89B83E"/>
          <w:sz w:val="38"/>
        </w:rPr>
        <w:t xml:space="preserve">Youth justice </w:t>
      </w:r>
      <w:r>
        <w:rPr>
          <w:b/>
          <w:color w:val="065570"/>
          <w:sz w:val="38"/>
        </w:rPr>
        <w:t>pocket stats - comparisons 2018-19 and 2019-20</w:t>
      </w:r>
    </w:p>
    <w:p w14:paraId="50BF7C19" w14:textId="77777777" w:rsidR="00DC7AF6" w:rsidRDefault="00DC7AF6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90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6"/>
        <w:gridCol w:w="83"/>
        <w:gridCol w:w="1146"/>
        <w:gridCol w:w="1146"/>
        <w:gridCol w:w="3886"/>
      </w:tblGrid>
      <w:tr w:rsidR="00DC7AF6" w14:paraId="4AA1EC58" w14:textId="77777777">
        <w:trPr>
          <w:trHeight w:val="660"/>
        </w:trPr>
        <w:tc>
          <w:tcPr>
            <w:tcW w:w="7206" w:type="dxa"/>
            <w:shd w:val="clear" w:color="auto" w:fill="065570"/>
          </w:tcPr>
          <w:p w14:paraId="5D08B661" w14:textId="78C1E525" w:rsidR="00DC7AF6" w:rsidRDefault="00465938">
            <w:pPr>
              <w:pStyle w:val="TableParagraph"/>
              <w:spacing w:before="191" w:line="240" w:lineRule="auto"/>
              <w:ind w:left="1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Measures</w:t>
            </w:r>
          </w:p>
        </w:tc>
        <w:tc>
          <w:tcPr>
            <w:tcW w:w="1229" w:type="dxa"/>
            <w:gridSpan w:val="2"/>
            <w:shd w:val="clear" w:color="auto" w:fill="065570"/>
          </w:tcPr>
          <w:p w14:paraId="32498546" w14:textId="77777777" w:rsidR="00DC7AF6" w:rsidRDefault="00465938">
            <w:pPr>
              <w:pStyle w:val="TableParagraph"/>
              <w:spacing w:before="191" w:line="240" w:lineRule="auto"/>
              <w:ind w:left="2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2018-19</w:t>
            </w:r>
          </w:p>
        </w:tc>
        <w:tc>
          <w:tcPr>
            <w:tcW w:w="1146" w:type="dxa"/>
            <w:shd w:val="clear" w:color="auto" w:fill="065570"/>
          </w:tcPr>
          <w:p w14:paraId="498AA6B2" w14:textId="77777777" w:rsidR="00DC7AF6" w:rsidRDefault="00465938">
            <w:pPr>
              <w:pStyle w:val="TableParagraph"/>
              <w:spacing w:before="186" w:line="240" w:lineRule="auto"/>
              <w:ind w:left="151" w:right="13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2019-20</w:t>
            </w:r>
          </w:p>
        </w:tc>
        <w:tc>
          <w:tcPr>
            <w:tcW w:w="3886" w:type="dxa"/>
            <w:shd w:val="clear" w:color="auto" w:fill="065570"/>
          </w:tcPr>
          <w:p w14:paraId="6729D374" w14:textId="77777777" w:rsidR="00DC7AF6" w:rsidRDefault="00465938">
            <w:pPr>
              <w:pStyle w:val="TableParagraph"/>
              <w:spacing w:before="187" w:line="240" w:lineRule="auto"/>
              <w:ind w:left="1402" w:right="138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Difference</w:t>
            </w:r>
          </w:p>
        </w:tc>
      </w:tr>
      <w:tr w:rsidR="00DC7AF6" w14:paraId="0C29C749" w14:textId="77777777">
        <w:trPr>
          <w:trHeight w:val="233"/>
        </w:trPr>
        <w:tc>
          <w:tcPr>
            <w:tcW w:w="13467" w:type="dxa"/>
            <w:gridSpan w:val="5"/>
            <w:shd w:val="clear" w:color="auto" w:fill="BAD591"/>
          </w:tcPr>
          <w:p w14:paraId="40F4D8B1" w14:textId="77777777" w:rsidR="00DC7AF6" w:rsidRDefault="00465938">
            <w:pPr>
              <w:pStyle w:val="TableParagraph"/>
              <w:spacing w:before="14" w:line="200" w:lineRule="exact"/>
              <w:ind w:left="152"/>
              <w:rPr>
                <w:b/>
                <w:sz w:val="18"/>
              </w:rPr>
            </w:pPr>
            <w:r>
              <w:rPr>
                <w:b/>
                <w:color w:val="065570"/>
                <w:sz w:val="18"/>
              </w:rPr>
              <w:t>Profile</w:t>
            </w:r>
          </w:p>
        </w:tc>
      </w:tr>
      <w:tr w:rsidR="00DC7AF6" w14:paraId="456AB062" w14:textId="77777777">
        <w:trPr>
          <w:trHeight w:val="233"/>
        </w:trPr>
        <w:tc>
          <w:tcPr>
            <w:tcW w:w="7289" w:type="dxa"/>
            <w:gridSpan w:val="2"/>
            <w:shd w:val="clear" w:color="auto" w:fill="E9ECF4"/>
          </w:tcPr>
          <w:p w14:paraId="39CEEBD9" w14:textId="77777777" w:rsidR="00DC7AF6" w:rsidRDefault="00465938">
            <w:pPr>
              <w:pStyle w:val="TableParagraph"/>
              <w:spacing w:before="14" w:line="200" w:lineRule="exact"/>
              <w:ind w:left="152"/>
              <w:rPr>
                <w:sz w:val="18"/>
              </w:rPr>
            </w:pPr>
            <w:r>
              <w:rPr>
                <w:sz w:val="18"/>
              </w:rPr>
              <w:t>Number of distinct young people with a proven offence</w:t>
            </w:r>
          </w:p>
        </w:tc>
        <w:tc>
          <w:tcPr>
            <w:tcW w:w="1146" w:type="dxa"/>
            <w:shd w:val="clear" w:color="auto" w:fill="E9ECF4"/>
          </w:tcPr>
          <w:p w14:paraId="523AC3BD" w14:textId="77777777" w:rsidR="00DC7AF6" w:rsidRDefault="00465938">
            <w:pPr>
              <w:pStyle w:val="TableParagraph"/>
              <w:spacing w:before="14" w:line="200" w:lineRule="exact"/>
              <w:ind w:left="368"/>
              <w:rPr>
                <w:sz w:val="18"/>
              </w:rPr>
            </w:pPr>
            <w:r>
              <w:rPr>
                <w:sz w:val="18"/>
              </w:rPr>
              <w:t>4,646</w:t>
            </w:r>
          </w:p>
        </w:tc>
        <w:tc>
          <w:tcPr>
            <w:tcW w:w="1146" w:type="dxa"/>
            <w:shd w:val="clear" w:color="auto" w:fill="E9ECF4"/>
          </w:tcPr>
          <w:p w14:paraId="337416AF" w14:textId="77777777" w:rsidR="00DC7AF6" w:rsidRDefault="00465938">
            <w:pPr>
              <w:pStyle w:val="TableParagraph"/>
              <w:spacing w:before="14" w:line="200" w:lineRule="exact"/>
              <w:ind w:left="149" w:right="130"/>
              <w:jc w:val="center"/>
              <w:rPr>
                <w:sz w:val="18"/>
              </w:rPr>
            </w:pPr>
            <w:r>
              <w:rPr>
                <w:sz w:val="18"/>
              </w:rPr>
              <w:t>3,395</w:t>
            </w:r>
          </w:p>
        </w:tc>
        <w:tc>
          <w:tcPr>
            <w:tcW w:w="3886" w:type="dxa"/>
            <w:shd w:val="clear" w:color="auto" w:fill="E9ECF4"/>
          </w:tcPr>
          <w:p w14:paraId="0796F611" w14:textId="77777777" w:rsidR="00DC7AF6" w:rsidRDefault="00465938">
            <w:pPr>
              <w:pStyle w:val="TableParagraph"/>
              <w:spacing w:before="14" w:line="200" w:lineRule="exact"/>
              <w:ind w:left="49"/>
              <w:rPr>
                <w:sz w:val="18"/>
              </w:rPr>
            </w:pPr>
            <w:r>
              <w:rPr>
                <w:sz w:val="18"/>
              </w:rPr>
              <w:t>decrease of 27 percent</w:t>
            </w:r>
          </w:p>
        </w:tc>
      </w:tr>
      <w:tr w:rsidR="00DC7AF6" w14:paraId="2F35E34C" w14:textId="77777777">
        <w:trPr>
          <w:trHeight w:val="233"/>
        </w:trPr>
        <w:tc>
          <w:tcPr>
            <w:tcW w:w="7289" w:type="dxa"/>
            <w:gridSpan w:val="2"/>
            <w:shd w:val="clear" w:color="auto" w:fill="E9ECF4"/>
          </w:tcPr>
          <w:p w14:paraId="28FD8103" w14:textId="77777777" w:rsidR="00DC7AF6" w:rsidRDefault="00465938">
            <w:pPr>
              <w:pStyle w:val="TableParagraph"/>
              <w:spacing w:before="14" w:line="200" w:lineRule="exact"/>
              <w:ind w:left="152"/>
              <w:rPr>
                <w:sz w:val="18"/>
              </w:rPr>
            </w:pPr>
            <w:r>
              <w:rPr>
                <w:sz w:val="18"/>
              </w:rPr>
              <w:t>Male offenders with a proven offence</w:t>
            </w:r>
          </w:p>
        </w:tc>
        <w:tc>
          <w:tcPr>
            <w:tcW w:w="1146" w:type="dxa"/>
            <w:shd w:val="clear" w:color="auto" w:fill="E9ECF4"/>
          </w:tcPr>
          <w:p w14:paraId="204B08AA" w14:textId="77777777" w:rsidR="00DC7AF6" w:rsidRDefault="00465938">
            <w:pPr>
              <w:pStyle w:val="TableParagraph"/>
              <w:spacing w:before="14" w:line="200" w:lineRule="exact"/>
              <w:ind w:right="130"/>
              <w:jc w:val="center"/>
              <w:rPr>
                <w:sz w:val="18"/>
              </w:rPr>
            </w:pPr>
            <w:r>
              <w:rPr>
                <w:sz w:val="18"/>
              </w:rPr>
              <w:t>73%</w:t>
            </w:r>
          </w:p>
        </w:tc>
        <w:tc>
          <w:tcPr>
            <w:tcW w:w="1146" w:type="dxa"/>
            <w:shd w:val="clear" w:color="auto" w:fill="E9ECF4"/>
          </w:tcPr>
          <w:p w14:paraId="79981A8D" w14:textId="77777777" w:rsidR="00DC7AF6" w:rsidRDefault="00465938">
            <w:pPr>
              <w:pStyle w:val="TableParagraph"/>
              <w:spacing w:before="14" w:line="200" w:lineRule="exact"/>
              <w:ind w:right="130"/>
              <w:jc w:val="center"/>
              <w:rPr>
                <w:sz w:val="18"/>
              </w:rPr>
            </w:pPr>
            <w:r>
              <w:rPr>
                <w:sz w:val="18"/>
              </w:rPr>
              <w:t>72%</w:t>
            </w:r>
          </w:p>
        </w:tc>
        <w:tc>
          <w:tcPr>
            <w:tcW w:w="3886" w:type="dxa"/>
            <w:shd w:val="clear" w:color="auto" w:fill="E9ECF4"/>
          </w:tcPr>
          <w:p w14:paraId="5B3F8749" w14:textId="77777777" w:rsidR="00DC7AF6" w:rsidRDefault="00465938">
            <w:pPr>
              <w:pStyle w:val="TableParagraph"/>
              <w:spacing w:before="14" w:line="200" w:lineRule="exact"/>
              <w:ind w:left="49"/>
              <w:rPr>
                <w:sz w:val="18"/>
              </w:rPr>
            </w:pPr>
            <w:r>
              <w:rPr>
                <w:sz w:val="18"/>
              </w:rPr>
              <w:t>decrease of one percentage point</w:t>
            </w:r>
          </w:p>
        </w:tc>
      </w:tr>
      <w:tr w:rsidR="00DC7AF6" w14:paraId="406AEDC6" w14:textId="77777777">
        <w:trPr>
          <w:trHeight w:val="233"/>
        </w:trPr>
        <w:tc>
          <w:tcPr>
            <w:tcW w:w="13467" w:type="dxa"/>
            <w:gridSpan w:val="5"/>
            <w:shd w:val="clear" w:color="auto" w:fill="BAD591"/>
          </w:tcPr>
          <w:p w14:paraId="415DA40A" w14:textId="77777777" w:rsidR="00DC7AF6" w:rsidRDefault="00465938">
            <w:pPr>
              <w:pStyle w:val="TableParagraph"/>
              <w:spacing w:before="14" w:line="200" w:lineRule="exact"/>
              <w:ind w:left="152"/>
              <w:rPr>
                <w:b/>
                <w:sz w:val="18"/>
              </w:rPr>
            </w:pPr>
            <w:r>
              <w:rPr>
                <w:b/>
                <w:color w:val="065570"/>
                <w:sz w:val="18"/>
              </w:rPr>
              <w:t>Proven offences</w:t>
            </w:r>
          </w:p>
        </w:tc>
      </w:tr>
      <w:tr w:rsidR="00DC7AF6" w14:paraId="4995B5A6" w14:textId="77777777">
        <w:trPr>
          <w:trHeight w:val="233"/>
        </w:trPr>
        <w:tc>
          <w:tcPr>
            <w:tcW w:w="7289" w:type="dxa"/>
            <w:gridSpan w:val="2"/>
            <w:shd w:val="clear" w:color="auto" w:fill="E9ECF4"/>
          </w:tcPr>
          <w:p w14:paraId="61308C1C" w14:textId="77777777" w:rsidR="00DC7AF6" w:rsidRDefault="00465938">
            <w:pPr>
              <w:pStyle w:val="TableParagraph"/>
              <w:spacing w:before="14" w:line="200" w:lineRule="exact"/>
              <w:ind w:left="152"/>
              <w:rPr>
                <w:sz w:val="18"/>
              </w:rPr>
            </w:pPr>
            <w:r>
              <w:rPr>
                <w:sz w:val="18"/>
              </w:rPr>
              <w:t>Number of proven offences</w:t>
            </w:r>
          </w:p>
        </w:tc>
        <w:tc>
          <w:tcPr>
            <w:tcW w:w="1146" w:type="dxa"/>
            <w:shd w:val="clear" w:color="auto" w:fill="E9ECF4"/>
          </w:tcPr>
          <w:p w14:paraId="1E7BFD71" w14:textId="77777777" w:rsidR="00DC7AF6" w:rsidRDefault="00465938">
            <w:pPr>
              <w:pStyle w:val="TableParagraph"/>
              <w:spacing w:before="14" w:line="200" w:lineRule="exact"/>
              <w:ind w:left="0" w:right="299"/>
              <w:jc w:val="right"/>
              <w:rPr>
                <w:sz w:val="18"/>
              </w:rPr>
            </w:pPr>
            <w:r>
              <w:rPr>
                <w:sz w:val="18"/>
              </w:rPr>
              <w:t>36,500</w:t>
            </w:r>
          </w:p>
        </w:tc>
        <w:tc>
          <w:tcPr>
            <w:tcW w:w="1146" w:type="dxa"/>
            <w:shd w:val="clear" w:color="auto" w:fill="E9ECF4"/>
          </w:tcPr>
          <w:p w14:paraId="15B6A7C7" w14:textId="77777777" w:rsidR="00DC7AF6" w:rsidRDefault="00465938">
            <w:pPr>
              <w:pStyle w:val="TableParagraph"/>
              <w:spacing w:before="14" w:line="200" w:lineRule="exact"/>
              <w:ind w:left="151" w:right="129"/>
              <w:jc w:val="center"/>
              <w:rPr>
                <w:sz w:val="18"/>
              </w:rPr>
            </w:pPr>
            <w:r>
              <w:rPr>
                <w:sz w:val="18"/>
              </w:rPr>
              <w:t>30,516</w:t>
            </w:r>
          </w:p>
        </w:tc>
        <w:tc>
          <w:tcPr>
            <w:tcW w:w="3886" w:type="dxa"/>
            <w:shd w:val="clear" w:color="auto" w:fill="E9ECF4"/>
          </w:tcPr>
          <w:p w14:paraId="1B4F3AF6" w14:textId="77777777" w:rsidR="00DC7AF6" w:rsidRDefault="00465938">
            <w:pPr>
              <w:pStyle w:val="TableParagraph"/>
              <w:spacing w:before="14" w:line="200" w:lineRule="exact"/>
              <w:ind w:left="49"/>
              <w:rPr>
                <w:sz w:val="18"/>
              </w:rPr>
            </w:pPr>
            <w:r>
              <w:rPr>
                <w:sz w:val="18"/>
              </w:rPr>
              <w:t>decrease of 16 percent</w:t>
            </w:r>
          </w:p>
        </w:tc>
      </w:tr>
      <w:tr w:rsidR="00DC7AF6" w14:paraId="6390D05C" w14:textId="77777777">
        <w:trPr>
          <w:trHeight w:val="233"/>
        </w:trPr>
        <w:tc>
          <w:tcPr>
            <w:tcW w:w="7289" w:type="dxa"/>
            <w:gridSpan w:val="2"/>
            <w:shd w:val="clear" w:color="auto" w:fill="E9ECF4"/>
          </w:tcPr>
          <w:p w14:paraId="0F6689AF" w14:textId="77777777" w:rsidR="00DC7AF6" w:rsidRDefault="00465938">
            <w:pPr>
              <w:pStyle w:val="TableParagraph"/>
              <w:spacing w:before="14"/>
              <w:ind w:left="152"/>
              <w:rPr>
                <w:sz w:val="18"/>
              </w:rPr>
            </w:pPr>
            <w:r>
              <w:rPr>
                <w:sz w:val="18"/>
              </w:rPr>
              <w:t>Proportion of property offences</w:t>
            </w:r>
          </w:p>
        </w:tc>
        <w:tc>
          <w:tcPr>
            <w:tcW w:w="1146" w:type="dxa"/>
            <w:shd w:val="clear" w:color="auto" w:fill="E9ECF4"/>
          </w:tcPr>
          <w:p w14:paraId="6BBCB306" w14:textId="77777777" w:rsidR="00DC7AF6" w:rsidRDefault="00465938">
            <w:pPr>
              <w:pStyle w:val="TableParagraph"/>
              <w:spacing w:before="14"/>
              <w:ind w:right="130"/>
              <w:jc w:val="center"/>
              <w:rPr>
                <w:sz w:val="18"/>
              </w:rPr>
            </w:pPr>
            <w:r>
              <w:rPr>
                <w:sz w:val="18"/>
              </w:rPr>
              <w:t>61%</w:t>
            </w:r>
          </w:p>
        </w:tc>
        <w:tc>
          <w:tcPr>
            <w:tcW w:w="1146" w:type="dxa"/>
            <w:shd w:val="clear" w:color="auto" w:fill="E9ECF4"/>
          </w:tcPr>
          <w:p w14:paraId="412CCCB7" w14:textId="77777777" w:rsidR="00DC7AF6" w:rsidRDefault="00465938">
            <w:pPr>
              <w:pStyle w:val="TableParagraph"/>
              <w:spacing w:before="14"/>
              <w:ind w:right="130"/>
              <w:jc w:val="center"/>
              <w:rPr>
                <w:sz w:val="18"/>
              </w:rPr>
            </w:pPr>
            <w:r>
              <w:rPr>
                <w:sz w:val="18"/>
              </w:rPr>
              <w:t>62%</w:t>
            </w:r>
          </w:p>
        </w:tc>
        <w:tc>
          <w:tcPr>
            <w:tcW w:w="3886" w:type="dxa"/>
            <w:shd w:val="clear" w:color="auto" w:fill="E9ECF4"/>
          </w:tcPr>
          <w:p w14:paraId="6EB652BB" w14:textId="77777777" w:rsidR="00DC7AF6" w:rsidRDefault="00465938">
            <w:pPr>
              <w:pStyle w:val="TableParagraph"/>
              <w:spacing w:before="14"/>
              <w:ind w:left="49"/>
              <w:rPr>
                <w:sz w:val="18"/>
              </w:rPr>
            </w:pPr>
            <w:r>
              <w:rPr>
                <w:sz w:val="18"/>
              </w:rPr>
              <w:t>increase of one percentage point</w:t>
            </w:r>
          </w:p>
        </w:tc>
      </w:tr>
      <w:tr w:rsidR="00DC7AF6" w14:paraId="2484D0DE" w14:textId="77777777">
        <w:trPr>
          <w:trHeight w:val="233"/>
        </w:trPr>
        <w:tc>
          <w:tcPr>
            <w:tcW w:w="7289" w:type="dxa"/>
            <w:gridSpan w:val="2"/>
            <w:shd w:val="clear" w:color="auto" w:fill="E9ECF4"/>
          </w:tcPr>
          <w:p w14:paraId="45964026" w14:textId="77777777" w:rsidR="00DC7AF6" w:rsidRDefault="00465938">
            <w:pPr>
              <w:pStyle w:val="TableParagraph"/>
              <w:spacing w:before="14"/>
              <w:ind w:left="152"/>
              <w:rPr>
                <w:sz w:val="18"/>
              </w:rPr>
            </w:pPr>
            <w:r>
              <w:rPr>
                <w:sz w:val="18"/>
              </w:rPr>
              <w:t>Proportion of violent offences</w:t>
            </w:r>
          </w:p>
        </w:tc>
        <w:tc>
          <w:tcPr>
            <w:tcW w:w="1146" w:type="dxa"/>
            <w:shd w:val="clear" w:color="auto" w:fill="E9ECF4"/>
          </w:tcPr>
          <w:p w14:paraId="3027CCC5" w14:textId="77777777" w:rsidR="00DC7AF6" w:rsidRDefault="00465938">
            <w:pPr>
              <w:pStyle w:val="TableParagraph"/>
              <w:spacing w:before="14"/>
              <w:ind w:right="130"/>
              <w:jc w:val="center"/>
              <w:rPr>
                <w:sz w:val="18"/>
              </w:rPr>
            </w:pPr>
            <w:r>
              <w:rPr>
                <w:sz w:val="18"/>
              </w:rPr>
              <w:t>7%</w:t>
            </w:r>
          </w:p>
        </w:tc>
        <w:tc>
          <w:tcPr>
            <w:tcW w:w="1146" w:type="dxa"/>
            <w:shd w:val="clear" w:color="auto" w:fill="E9ECF4"/>
          </w:tcPr>
          <w:p w14:paraId="01E768AD" w14:textId="77777777" w:rsidR="00DC7AF6" w:rsidRDefault="00465938">
            <w:pPr>
              <w:pStyle w:val="TableParagraph"/>
              <w:spacing w:before="14"/>
              <w:ind w:right="130"/>
              <w:jc w:val="center"/>
              <w:rPr>
                <w:sz w:val="18"/>
              </w:rPr>
            </w:pPr>
            <w:r>
              <w:rPr>
                <w:sz w:val="18"/>
              </w:rPr>
              <w:t>8%</w:t>
            </w:r>
          </w:p>
        </w:tc>
        <w:tc>
          <w:tcPr>
            <w:tcW w:w="3886" w:type="dxa"/>
            <w:shd w:val="clear" w:color="auto" w:fill="E9ECF4"/>
          </w:tcPr>
          <w:p w14:paraId="25A776C9" w14:textId="77777777" w:rsidR="00DC7AF6" w:rsidRDefault="00465938">
            <w:pPr>
              <w:pStyle w:val="TableParagraph"/>
              <w:spacing w:before="14"/>
              <w:ind w:left="49"/>
              <w:rPr>
                <w:sz w:val="18"/>
              </w:rPr>
            </w:pPr>
            <w:r>
              <w:rPr>
                <w:sz w:val="18"/>
              </w:rPr>
              <w:t>increase of one percentage point</w:t>
            </w:r>
          </w:p>
        </w:tc>
      </w:tr>
      <w:tr w:rsidR="00DC7AF6" w14:paraId="7295CC97" w14:textId="77777777">
        <w:trPr>
          <w:trHeight w:val="233"/>
        </w:trPr>
        <w:tc>
          <w:tcPr>
            <w:tcW w:w="7289" w:type="dxa"/>
            <w:gridSpan w:val="2"/>
            <w:shd w:val="clear" w:color="auto" w:fill="E9ECF4"/>
          </w:tcPr>
          <w:p w14:paraId="164DA8F2" w14:textId="77777777" w:rsidR="00DC7AF6" w:rsidRDefault="00465938">
            <w:pPr>
              <w:pStyle w:val="TableParagraph"/>
              <w:spacing w:before="14"/>
              <w:ind w:left="152"/>
              <w:rPr>
                <w:sz w:val="18"/>
              </w:rPr>
            </w:pPr>
            <w:r>
              <w:rPr>
                <w:sz w:val="18"/>
              </w:rPr>
              <w:t>Proportion of drug offences</w:t>
            </w:r>
          </w:p>
        </w:tc>
        <w:tc>
          <w:tcPr>
            <w:tcW w:w="1146" w:type="dxa"/>
            <w:shd w:val="clear" w:color="auto" w:fill="E9ECF4"/>
          </w:tcPr>
          <w:p w14:paraId="3C570CA7" w14:textId="77777777" w:rsidR="00DC7AF6" w:rsidRDefault="00465938">
            <w:pPr>
              <w:pStyle w:val="TableParagraph"/>
              <w:spacing w:before="14"/>
              <w:ind w:right="130"/>
              <w:jc w:val="center"/>
              <w:rPr>
                <w:sz w:val="18"/>
              </w:rPr>
            </w:pPr>
            <w:r>
              <w:rPr>
                <w:sz w:val="18"/>
              </w:rPr>
              <w:t>7%</w:t>
            </w:r>
          </w:p>
        </w:tc>
        <w:tc>
          <w:tcPr>
            <w:tcW w:w="1146" w:type="dxa"/>
            <w:shd w:val="clear" w:color="auto" w:fill="E9ECF4"/>
          </w:tcPr>
          <w:p w14:paraId="728D3A1B" w14:textId="77777777" w:rsidR="00DC7AF6" w:rsidRDefault="00465938">
            <w:pPr>
              <w:pStyle w:val="TableParagraph"/>
              <w:spacing w:before="14"/>
              <w:ind w:right="130"/>
              <w:jc w:val="center"/>
              <w:rPr>
                <w:sz w:val="18"/>
              </w:rPr>
            </w:pPr>
            <w:r>
              <w:rPr>
                <w:sz w:val="18"/>
              </w:rPr>
              <w:t>6%</w:t>
            </w:r>
          </w:p>
        </w:tc>
        <w:tc>
          <w:tcPr>
            <w:tcW w:w="3886" w:type="dxa"/>
            <w:shd w:val="clear" w:color="auto" w:fill="E9ECF4"/>
          </w:tcPr>
          <w:p w14:paraId="2EFB1D0A" w14:textId="77777777" w:rsidR="00DC7AF6" w:rsidRDefault="00465938">
            <w:pPr>
              <w:pStyle w:val="TableParagraph"/>
              <w:spacing w:before="14"/>
              <w:ind w:left="49"/>
              <w:rPr>
                <w:sz w:val="18"/>
              </w:rPr>
            </w:pPr>
            <w:r>
              <w:rPr>
                <w:sz w:val="18"/>
              </w:rPr>
              <w:t>decrease of one percentage point</w:t>
            </w:r>
          </w:p>
        </w:tc>
      </w:tr>
      <w:tr w:rsidR="00DC7AF6" w14:paraId="0BE84BA5" w14:textId="77777777">
        <w:trPr>
          <w:trHeight w:val="233"/>
        </w:trPr>
        <w:tc>
          <w:tcPr>
            <w:tcW w:w="7289" w:type="dxa"/>
            <w:gridSpan w:val="2"/>
            <w:shd w:val="clear" w:color="auto" w:fill="E9ECF4"/>
          </w:tcPr>
          <w:p w14:paraId="77D6B364" w14:textId="77777777" w:rsidR="00DC7AF6" w:rsidRDefault="00465938">
            <w:pPr>
              <w:pStyle w:val="TableParagraph"/>
              <w:spacing w:before="14"/>
              <w:ind w:left="152"/>
              <w:rPr>
                <w:sz w:val="18"/>
              </w:rPr>
            </w:pPr>
            <w:r>
              <w:rPr>
                <w:sz w:val="18"/>
              </w:rPr>
              <w:t>Proportion of other offences</w:t>
            </w:r>
          </w:p>
        </w:tc>
        <w:tc>
          <w:tcPr>
            <w:tcW w:w="1146" w:type="dxa"/>
            <w:shd w:val="clear" w:color="auto" w:fill="E9ECF4"/>
          </w:tcPr>
          <w:p w14:paraId="02ACEAF5" w14:textId="77777777" w:rsidR="00DC7AF6" w:rsidRDefault="00465938">
            <w:pPr>
              <w:pStyle w:val="TableParagraph"/>
              <w:spacing w:before="14"/>
              <w:ind w:right="130"/>
              <w:jc w:val="center"/>
              <w:rPr>
                <w:sz w:val="18"/>
              </w:rPr>
            </w:pPr>
            <w:r>
              <w:rPr>
                <w:sz w:val="18"/>
              </w:rPr>
              <w:t>25%</w:t>
            </w:r>
          </w:p>
        </w:tc>
        <w:tc>
          <w:tcPr>
            <w:tcW w:w="1146" w:type="dxa"/>
            <w:shd w:val="clear" w:color="auto" w:fill="E9ECF4"/>
          </w:tcPr>
          <w:p w14:paraId="3EBE7493" w14:textId="77777777" w:rsidR="00DC7AF6" w:rsidRDefault="00465938">
            <w:pPr>
              <w:pStyle w:val="TableParagraph"/>
              <w:spacing w:before="14"/>
              <w:ind w:right="130"/>
              <w:jc w:val="center"/>
              <w:rPr>
                <w:sz w:val="18"/>
              </w:rPr>
            </w:pPr>
            <w:r>
              <w:rPr>
                <w:sz w:val="18"/>
              </w:rPr>
              <w:t>24%</w:t>
            </w:r>
          </w:p>
        </w:tc>
        <w:tc>
          <w:tcPr>
            <w:tcW w:w="3886" w:type="dxa"/>
            <w:shd w:val="clear" w:color="auto" w:fill="E9ECF4"/>
          </w:tcPr>
          <w:p w14:paraId="2B8AEE64" w14:textId="77777777" w:rsidR="00DC7AF6" w:rsidRDefault="00465938">
            <w:pPr>
              <w:pStyle w:val="TableParagraph"/>
              <w:spacing w:before="14"/>
              <w:ind w:left="49"/>
              <w:rPr>
                <w:sz w:val="18"/>
              </w:rPr>
            </w:pPr>
            <w:r>
              <w:rPr>
                <w:sz w:val="18"/>
              </w:rPr>
              <w:t>decrease of one percentage point</w:t>
            </w:r>
          </w:p>
        </w:tc>
      </w:tr>
      <w:tr w:rsidR="00DC7AF6" w14:paraId="569C3466" w14:textId="77777777">
        <w:trPr>
          <w:trHeight w:val="233"/>
        </w:trPr>
        <w:tc>
          <w:tcPr>
            <w:tcW w:w="13467" w:type="dxa"/>
            <w:gridSpan w:val="5"/>
            <w:shd w:val="clear" w:color="auto" w:fill="BAD591"/>
          </w:tcPr>
          <w:p w14:paraId="69AAC032" w14:textId="77777777" w:rsidR="00DC7AF6" w:rsidRDefault="00465938">
            <w:pPr>
              <w:pStyle w:val="TableParagraph"/>
              <w:spacing w:before="14"/>
              <w:ind w:left="152"/>
              <w:rPr>
                <w:b/>
                <w:sz w:val="18"/>
              </w:rPr>
            </w:pPr>
            <w:r>
              <w:rPr>
                <w:b/>
                <w:color w:val="065570"/>
                <w:sz w:val="18"/>
              </w:rPr>
              <w:t>Complexity of young offenders (Census)</w:t>
            </w:r>
          </w:p>
        </w:tc>
      </w:tr>
      <w:tr w:rsidR="00DC7AF6" w14:paraId="6E91F778" w14:textId="77777777">
        <w:trPr>
          <w:trHeight w:val="233"/>
        </w:trPr>
        <w:tc>
          <w:tcPr>
            <w:tcW w:w="7289" w:type="dxa"/>
            <w:gridSpan w:val="2"/>
            <w:shd w:val="clear" w:color="auto" w:fill="E9ECF4"/>
          </w:tcPr>
          <w:p w14:paraId="41931F05" w14:textId="77777777" w:rsidR="00DC7AF6" w:rsidRDefault="00465938">
            <w:pPr>
              <w:pStyle w:val="TableParagraph"/>
              <w:spacing w:before="14"/>
              <w:ind w:left="152"/>
              <w:rPr>
                <w:sz w:val="18"/>
              </w:rPr>
            </w:pPr>
            <w:r>
              <w:rPr>
                <w:sz w:val="18"/>
              </w:rPr>
              <w:t>Use of at least one substance</w:t>
            </w:r>
          </w:p>
        </w:tc>
        <w:tc>
          <w:tcPr>
            <w:tcW w:w="1146" w:type="dxa"/>
            <w:shd w:val="clear" w:color="auto" w:fill="E9ECF4"/>
          </w:tcPr>
          <w:p w14:paraId="4419E738" w14:textId="77777777" w:rsidR="00DC7AF6" w:rsidRDefault="00465938">
            <w:pPr>
              <w:pStyle w:val="TableParagraph"/>
              <w:spacing w:before="14"/>
              <w:ind w:right="130"/>
              <w:jc w:val="center"/>
              <w:rPr>
                <w:sz w:val="18"/>
              </w:rPr>
            </w:pPr>
            <w:r>
              <w:rPr>
                <w:sz w:val="18"/>
              </w:rPr>
              <w:t>80%</w:t>
            </w:r>
          </w:p>
        </w:tc>
        <w:tc>
          <w:tcPr>
            <w:tcW w:w="1146" w:type="dxa"/>
            <w:shd w:val="clear" w:color="auto" w:fill="E9ECF4"/>
          </w:tcPr>
          <w:p w14:paraId="30C83878" w14:textId="77777777" w:rsidR="00DC7AF6" w:rsidRDefault="00465938">
            <w:pPr>
              <w:pStyle w:val="TableParagraph"/>
              <w:spacing w:before="14"/>
              <w:ind w:right="130"/>
              <w:jc w:val="center"/>
              <w:rPr>
                <w:sz w:val="18"/>
              </w:rPr>
            </w:pPr>
            <w:r>
              <w:rPr>
                <w:sz w:val="18"/>
              </w:rPr>
              <w:t>80%</w:t>
            </w:r>
          </w:p>
        </w:tc>
        <w:tc>
          <w:tcPr>
            <w:tcW w:w="3886" w:type="dxa"/>
            <w:shd w:val="clear" w:color="auto" w:fill="E9ECF4"/>
          </w:tcPr>
          <w:p w14:paraId="0C2B275E" w14:textId="77777777" w:rsidR="00DC7AF6" w:rsidRDefault="00465938">
            <w:pPr>
              <w:pStyle w:val="TableParagraph"/>
              <w:spacing w:before="14"/>
              <w:ind w:left="49"/>
              <w:rPr>
                <w:sz w:val="18"/>
              </w:rPr>
            </w:pPr>
            <w:r>
              <w:rPr>
                <w:sz w:val="18"/>
              </w:rPr>
              <w:t>no change</w:t>
            </w:r>
          </w:p>
        </w:tc>
      </w:tr>
      <w:tr w:rsidR="00DC7AF6" w14:paraId="7C554576" w14:textId="77777777">
        <w:trPr>
          <w:trHeight w:val="233"/>
        </w:trPr>
        <w:tc>
          <w:tcPr>
            <w:tcW w:w="7289" w:type="dxa"/>
            <w:gridSpan w:val="2"/>
            <w:shd w:val="clear" w:color="auto" w:fill="E9ECF4"/>
          </w:tcPr>
          <w:p w14:paraId="70CFAAE1" w14:textId="77777777" w:rsidR="00DC7AF6" w:rsidRDefault="00465938">
            <w:pPr>
              <w:pStyle w:val="TableParagraph"/>
              <w:spacing w:before="14"/>
              <w:ind w:left="152"/>
              <w:rPr>
                <w:sz w:val="18"/>
              </w:rPr>
            </w:pPr>
            <w:r>
              <w:rPr>
                <w:sz w:val="18"/>
              </w:rPr>
              <w:t>Use of ice/other meth in YJ custody (YDC &amp; WH)</w:t>
            </w:r>
          </w:p>
        </w:tc>
        <w:tc>
          <w:tcPr>
            <w:tcW w:w="1146" w:type="dxa"/>
            <w:shd w:val="clear" w:color="auto" w:fill="E9ECF4"/>
          </w:tcPr>
          <w:p w14:paraId="69DB7658" w14:textId="77777777" w:rsidR="00DC7AF6" w:rsidRDefault="00465938">
            <w:pPr>
              <w:pStyle w:val="TableParagraph"/>
              <w:spacing w:before="14"/>
              <w:ind w:right="130"/>
              <w:jc w:val="center"/>
              <w:rPr>
                <w:sz w:val="18"/>
              </w:rPr>
            </w:pPr>
            <w:r>
              <w:rPr>
                <w:sz w:val="18"/>
              </w:rPr>
              <w:t>39%</w:t>
            </w:r>
          </w:p>
        </w:tc>
        <w:tc>
          <w:tcPr>
            <w:tcW w:w="1146" w:type="dxa"/>
            <w:shd w:val="clear" w:color="auto" w:fill="E9ECF4"/>
          </w:tcPr>
          <w:p w14:paraId="2357EA82" w14:textId="77777777" w:rsidR="00DC7AF6" w:rsidRDefault="00465938">
            <w:pPr>
              <w:pStyle w:val="TableParagraph"/>
              <w:spacing w:before="14"/>
              <w:ind w:right="130"/>
              <w:jc w:val="center"/>
              <w:rPr>
                <w:sz w:val="18"/>
              </w:rPr>
            </w:pPr>
            <w:r>
              <w:rPr>
                <w:sz w:val="18"/>
              </w:rPr>
              <w:t>38%</w:t>
            </w:r>
          </w:p>
        </w:tc>
        <w:tc>
          <w:tcPr>
            <w:tcW w:w="3886" w:type="dxa"/>
            <w:shd w:val="clear" w:color="auto" w:fill="E9ECF4"/>
          </w:tcPr>
          <w:p w14:paraId="7ECC3D36" w14:textId="77777777" w:rsidR="00DC7AF6" w:rsidRDefault="00465938">
            <w:pPr>
              <w:pStyle w:val="TableParagraph"/>
              <w:spacing w:before="14"/>
              <w:ind w:left="49"/>
              <w:rPr>
                <w:sz w:val="18"/>
              </w:rPr>
            </w:pPr>
            <w:r>
              <w:rPr>
                <w:sz w:val="18"/>
              </w:rPr>
              <w:t>decrease of one percentage point</w:t>
            </w:r>
          </w:p>
        </w:tc>
      </w:tr>
      <w:tr w:rsidR="00DC7AF6" w14:paraId="7596F514" w14:textId="77777777">
        <w:trPr>
          <w:trHeight w:val="233"/>
        </w:trPr>
        <w:tc>
          <w:tcPr>
            <w:tcW w:w="7289" w:type="dxa"/>
            <w:gridSpan w:val="2"/>
            <w:shd w:val="clear" w:color="auto" w:fill="E9ECF4"/>
          </w:tcPr>
          <w:p w14:paraId="6E56C204" w14:textId="77777777" w:rsidR="00DC7AF6" w:rsidRDefault="00465938">
            <w:pPr>
              <w:pStyle w:val="TableParagraph"/>
              <w:ind w:left="152"/>
              <w:rPr>
                <w:sz w:val="18"/>
              </w:rPr>
            </w:pPr>
            <w:r>
              <w:rPr>
                <w:sz w:val="18"/>
              </w:rPr>
              <w:t>Mental health and/or behavioural disorder (diagnosed or suspected)</w:t>
            </w:r>
          </w:p>
        </w:tc>
        <w:tc>
          <w:tcPr>
            <w:tcW w:w="1146" w:type="dxa"/>
            <w:shd w:val="clear" w:color="auto" w:fill="E9ECF4"/>
          </w:tcPr>
          <w:p w14:paraId="115E00ED" w14:textId="77777777" w:rsidR="00DC7AF6" w:rsidRDefault="00465938">
            <w:pPr>
              <w:pStyle w:val="TableParagraph"/>
              <w:ind w:right="130"/>
              <w:jc w:val="center"/>
              <w:rPr>
                <w:sz w:val="18"/>
              </w:rPr>
            </w:pPr>
            <w:r>
              <w:rPr>
                <w:sz w:val="18"/>
              </w:rPr>
              <w:t>56%</w:t>
            </w:r>
          </w:p>
        </w:tc>
        <w:tc>
          <w:tcPr>
            <w:tcW w:w="1146" w:type="dxa"/>
            <w:shd w:val="clear" w:color="auto" w:fill="E9ECF4"/>
          </w:tcPr>
          <w:p w14:paraId="5E56461C" w14:textId="77777777" w:rsidR="00DC7AF6" w:rsidRDefault="00465938">
            <w:pPr>
              <w:pStyle w:val="TableParagraph"/>
              <w:ind w:right="130"/>
              <w:jc w:val="center"/>
              <w:rPr>
                <w:sz w:val="18"/>
              </w:rPr>
            </w:pPr>
            <w:r>
              <w:rPr>
                <w:sz w:val="18"/>
              </w:rPr>
              <w:t>46%</w:t>
            </w:r>
          </w:p>
        </w:tc>
        <w:tc>
          <w:tcPr>
            <w:tcW w:w="3886" w:type="dxa"/>
            <w:shd w:val="clear" w:color="auto" w:fill="E9ECF4"/>
          </w:tcPr>
          <w:p w14:paraId="2ECC7AFD" w14:textId="77777777" w:rsidR="00DC7AF6" w:rsidRDefault="00465938">
            <w:pPr>
              <w:pStyle w:val="TableParagraph"/>
              <w:ind w:left="49"/>
              <w:rPr>
                <w:sz w:val="18"/>
              </w:rPr>
            </w:pPr>
            <w:r>
              <w:rPr>
                <w:sz w:val="18"/>
              </w:rPr>
              <w:t>decrease of 10 percentage points</w:t>
            </w:r>
          </w:p>
        </w:tc>
      </w:tr>
      <w:tr w:rsidR="00DC7AF6" w14:paraId="6F22C506" w14:textId="77777777">
        <w:trPr>
          <w:trHeight w:val="233"/>
        </w:trPr>
        <w:tc>
          <w:tcPr>
            <w:tcW w:w="7289" w:type="dxa"/>
            <w:gridSpan w:val="2"/>
            <w:shd w:val="clear" w:color="auto" w:fill="E9ECF4"/>
          </w:tcPr>
          <w:p w14:paraId="3B44F0CF" w14:textId="77777777" w:rsidR="00DC7AF6" w:rsidRDefault="00465938">
            <w:pPr>
              <w:pStyle w:val="TableParagraph"/>
              <w:ind w:left="152"/>
              <w:rPr>
                <w:sz w:val="18"/>
              </w:rPr>
            </w:pPr>
            <w:r>
              <w:rPr>
                <w:sz w:val="18"/>
              </w:rPr>
              <w:t xml:space="preserve">Disengaged from education, </w:t>
            </w:r>
            <w:proofErr w:type="gramStart"/>
            <w:r>
              <w:rPr>
                <w:sz w:val="18"/>
              </w:rPr>
              <w:t>training</w:t>
            </w:r>
            <w:proofErr w:type="gramEnd"/>
            <w:r>
              <w:rPr>
                <w:sz w:val="18"/>
              </w:rPr>
              <w:t xml:space="preserve"> or employment</w:t>
            </w:r>
          </w:p>
        </w:tc>
        <w:tc>
          <w:tcPr>
            <w:tcW w:w="1146" w:type="dxa"/>
            <w:shd w:val="clear" w:color="auto" w:fill="E9ECF4"/>
          </w:tcPr>
          <w:p w14:paraId="5ED70871" w14:textId="77777777" w:rsidR="00DC7AF6" w:rsidRDefault="00465938">
            <w:pPr>
              <w:pStyle w:val="TableParagraph"/>
              <w:ind w:right="130"/>
              <w:jc w:val="center"/>
              <w:rPr>
                <w:sz w:val="18"/>
              </w:rPr>
            </w:pPr>
            <w:r>
              <w:rPr>
                <w:sz w:val="18"/>
              </w:rPr>
              <w:t>53%</w:t>
            </w:r>
          </w:p>
        </w:tc>
        <w:tc>
          <w:tcPr>
            <w:tcW w:w="1146" w:type="dxa"/>
            <w:shd w:val="clear" w:color="auto" w:fill="E9ECF4"/>
          </w:tcPr>
          <w:p w14:paraId="7A6BCFAF" w14:textId="77777777" w:rsidR="00DC7AF6" w:rsidRDefault="00465938">
            <w:pPr>
              <w:pStyle w:val="TableParagraph"/>
              <w:ind w:right="130"/>
              <w:jc w:val="center"/>
              <w:rPr>
                <w:sz w:val="18"/>
              </w:rPr>
            </w:pPr>
            <w:r>
              <w:rPr>
                <w:sz w:val="18"/>
              </w:rPr>
              <w:t>55%</w:t>
            </w:r>
          </w:p>
        </w:tc>
        <w:tc>
          <w:tcPr>
            <w:tcW w:w="3886" w:type="dxa"/>
            <w:shd w:val="clear" w:color="auto" w:fill="E9ECF4"/>
          </w:tcPr>
          <w:p w14:paraId="150B575A" w14:textId="77777777" w:rsidR="00DC7AF6" w:rsidRDefault="00465938">
            <w:pPr>
              <w:pStyle w:val="TableParagraph"/>
              <w:ind w:left="49"/>
              <w:rPr>
                <w:sz w:val="18"/>
              </w:rPr>
            </w:pPr>
            <w:r>
              <w:rPr>
                <w:sz w:val="18"/>
              </w:rPr>
              <w:t>increase of two percentage points</w:t>
            </w:r>
          </w:p>
        </w:tc>
      </w:tr>
      <w:tr w:rsidR="00DC7AF6" w14:paraId="60ECEE69" w14:textId="77777777">
        <w:trPr>
          <w:trHeight w:val="233"/>
        </w:trPr>
        <w:tc>
          <w:tcPr>
            <w:tcW w:w="7289" w:type="dxa"/>
            <w:gridSpan w:val="2"/>
            <w:shd w:val="clear" w:color="auto" w:fill="E9ECF4"/>
          </w:tcPr>
          <w:p w14:paraId="23ED7343" w14:textId="77777777" w:rsidR="00DC7AF6" w:rsidRDefault="00465938">
            <w:pPr>
              <w:pStyle w:val="TableParagraph"/>
              <w:ind w:left="152"/>
              <w:rPr>
                <w:sz w:val="18"/>
              </w:rPr>
            </w:pPr>
            <w:r>
              <w:rPr>
                <w:sz w:val="18"/>
              </w:rPr>
              <w:t>Unstable and/or unsuitable accommodation</w:t>
            </w:r>
          </w:p>
        </w:tc>
        <w:tc>
          <w:tcPr>
            <w:tcW w:w="1146" w:type="dxa"/>
            <w:shd w:val="clear" w:color="auto" w:fill="E9ECF4"/>
          </w:tcPr>
          <w:p w14:paraId="676BA362" w14:textId="77777777" w:rsidR="00DC7AF6" w:rsidRDefault="00465938">
            <w:pPr>
              <w:pStyle w:val="TableParagraph"/>
              <w:ind w:right="130"/>
              <w:jc w:val="center"/>
              <w:rPr>
                <w:sz w:val="18"/>
              </w:rPr>
            </w:pPr>
            <w:r>
              <w:rPr>
                <w:sz w:val="18"/>
              </w:rPr>
              <w:t>21%</w:t>
            </w:r>
          </w:p>
        </w:tc>
        <w:tc>
          <w:tcPr>
            <w:tcW w:w="1146" w:type="dxa"/>
            <w:shd w:val="clear" w:color="auto" w:fill="E9ECF4"/>
          </w:tcPr>
          <w:p w14:paraId="2767E2D6" w14:textId="77777777" w:rsidR="00DC7AF6" w:rsidRDefault="00465938">
            <w:pPr>
              <w:pStyle w:val="TableParagraph"/>
              <w:ind w:right="130"/>
              <w:jc w:val="center"/>
              <w:rPr>
                <w:sz w:val="18"/>
              </w:rPr>
            </w:pPr>
            <w:r>
              <w:rPr>
                <w:sz w:val="18"/>
              </w:rPr>
              <w:t>29%</w:t>
            </w:r>
          </w:p>
        </w:tc>
        <w:tc>
          <w:tcPr>
            <w:tcW w:w="3886" w:type="dxa"/>
            <w:shd w:val="clear" w:color="auto" w:fill="E9ECF4"/>
          </w:tcPr>
          <w:p w14:paraId="5775E55C" w14:textId="77777777" w:rsidR="00DC7AF6" w:rsidRDefault="00465938">
            <w:pPr>
              <w:pStyle w:val="TableParagraph"/>
              <w:ind w:left="49"/>
              <w:rPr>
                <w:sz w:val="18"/>
              </w:rPr>
            </w:pPr>
            <w:r>
              <w:rPr>
                <w:sz w:val="18"/>
              </w:rPr>
              <w:t>increase of eight percentage points</w:t>
            </w:r>
          </w:p>
        </w:tc>
      </w:tr>
      <w:tr w:rsidR="00DC7AF6" w14:paraId="5CFDB529" w14:textId="77777777">
        <w:trPr>
          <w:trHeight w:val="233"/>
        </w:trPr>
        <w:tc>
          <w:tcPr>
            <w:tcW w:w="7289" w:type="dxa"/>
            <w:gridSpan w:val="2"/>
            <w:shd w:val="clear" w:color="auto" w:fill="E9ECF4"/>
          </w:tcPr>
          <w:p w14:paraId="7C8312E0" w14:textId="77777777" w:rsidR="00DC7AF6" w:rsidRDefault="00465938">
            <w:pPr>
              <w:pStyle w:val="TableParagraph"/>
              <w:ind w:left="152"/>
              <w:rPr>
                <w:sz w:val="18"/>
              </w:rPr>
            </w:pPr>
            <w:r>
              <w:rPr>
                <w:sz w:val="18"/>
              </w:rPr>
              <w:t>Disability (assessed or suspected)</w:t>
            </w:r>
          </w:p>
        </w:tc>
        <w:tc>
          <w:tcPr>
            <w:tcW w:w="1146" w:type="dxa"/>
            <w:shd w:val="clear" w:color="auto" w:fill="E9ECF4"/>
          </w:tcPr>
          <w:p w14:paraId="4B780852" w14:textId="77777777" w:rsidR="00DC7AF6" w:rsidRDefault="00465938">
            <w:pPr>
              <w:pStyle w:val="TableParagraph"/>
              <w:ind w:right="130"/>
              <w:jc w:val="center"/>
              <w:rPr>
                <w:sz w:val="18"/>
              </w:rPr>
            </w:pPr>
            <w:r>
              <w:rPr>
                <w:sz w:val="18"/>
              </w:rPr>
              <w:t>16%</w:t>
            </w:r>
          </w:p>
        </w:tc>
        <w:tc>
          <w:tcPr>
            <w:tcW w:w="1146" w:type="dxa"/>
            <w:shd w:val="clear" w:color="auto" w:fill="E9ECF4"/>
          </w:tcPr>
          <w:p w14:paraId="56E40FD3" w14:textId="77777777" w:rsidR="00DC7AF6" w:rsidRDefault="00465938">
            <w:pPr>
              <w:pStyle w:val="TableParagraph"/>
              <w:ind w:right="130"/>
              <w:jc w:val="center"/>
              <w:rPr>
                <w:sz w:val="18"/>
              </w:rPr>
            </w:pPr>
            <w:r>
              <w:rPr>
                <w:sz w:val="18"/>
              </w:rPr>
              <w:t>12%</w:t>
            </w:r>
          </w:p>
        </w:tc>
        <w:tc>
          <w:tcPr>
            <w:tcW w:w="3886" w:type="dxa"/>
            <w:shd w:val="clear" w:color="auto" w:fill="E9ECF4"/>
          </w:tcPr>
          <w:p w14:paraId="063FE9EC" w14:textId="77777777" w:rsidR="00DC7AF6" w:rsidRDefault="00465938">
            <w:pPr>
              <w:pStyle w:val="TableParagraph"/>
              <w:ind w:left="49"/>
              <w:rPr>
                <w:sz w:val="18"/>
              </w:rPr>
            </w:pPr>
            <w:r>
              <w:rPr>
                <w:sz w:val="18"/>
              </w:rPr>
              <w:t>decrease of four percentage points</w:t>
            </w:r>
          </w:p>
        </w:tc>
      </w:tr>
      <w:tr w:rsidR="00DC7AF6" w14:paraId="20FEB0CE" w14:textId="77777777">
        <w:trPr>
          <w:trHeight w:val="233"/>
        </w:trPr>
        <w:tc>
          <w:tcPr>
            <w:tcW w:w="13467" w:type="dxa"/>
            <w:gridSpan w:val="5"/>
            <w:shd w:val="clear" w:color="auto" w:fill="BAD591"/>
          </w:tcPr>
          <w:p w14:paraId="0C1BC91A" w14:textId="77777777" w:rsidR="00DC7AF6" w:rsidRDefault="00465938">
            <w:pPr>
              <w:pStyle w:val="TableParagraph"/>
              <w:ind w:left="152"/>
              <w:rPr>
                <w:b/>
                <w:sz w:val="18"/>
              </w:rPr>
            </w:pPr>
            <w:r>
              <w:rPr>
                <w:b/>
                <w:color w:val="065570"/>
                <w:sz w:val="18"/>
              </w:rPr>
              <w:t>YJ custody</w:t>
            </w:r>
          </w:p>
        </w:tc>
      </w:tr>
      <w:tr w:rsidR="00DC7AF6" w14:paraId="6C1F54E9" w14:textId="77777777">
        <w:trPr>
          <w:trHeight w:val="233"/>
        </w:trPr>
        <w:tc>
          <w:tcPr>
            <w:tcW w:w="7289" w:type="dxa"/>
            <w:gridSpan w:val="2"/>
            <w:shd w:val="clear" w:color="auto" w:fill="E9ECF4"/>
          </w:tcPr>
          <w:p w14:paraId="65D197D0" w14:textId="77777777" w:rsidR="00DC7AF6" w:rsidRDefault="00465938"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>
              <w:rPr>
                <w:sz w:val="18"/>
              </w:rPr>
              <w:t>All young people in custody on an average day</w:t>
            </w:r>
          </w:p>
        </w:tc>
        <w:tc>
          <w:tcPr>
            <w:tcW w:w="1146" w:type="dxa"/>
            <w:shd w:val="clear" w:color="auto" w:fill="E9ECF4"/>
          </w:tcPr>
          <w:p w14:paraId="34BA039E" w14:textId="77777777" w:rsidR="00DC7AF6" w:rsidRDefault="00465938">
            <w:pPr>
              <w:pStyle w:val="TableParagraph"/>
              <w:spacing w:line="198" w:lineRule="exact"/>
              <w:ind w:right="130"/>
              <w:jc w:val="center"/>
              <w:rPr>
                <w:sz w:val="18"/>
              </w:rPr>
            </w:pPr>
            <w:r>
              <w:rPr>
                <w:sz w:val="18"/>
              </w:rPr>
              <w:t>252</w:t>
            </w:r>
          </w:p>
        </w:tc>
        <w:tc>
          <w:tcPr>
            <w:tcW w:w="1146" w:type="dxa"/>
            <w:shd w:val="clear" w:color="auto" w:fill="E9ECF4"/>
          </w:tcPr>
          <w:p w14:paraId="5F29A44E" w14:textId="77777777" w:rsidR="00DC7AF6" w:rsidRDefault="00465938">
            <w:pPr>
              <w:pStyle w:val="TableParagraph"/>
              <w:spacing w:line="198" w:lineRule="exact"/>
              <w:ind w:left="151" w:right="130"/>
              <w:jc w:val="center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3886" w:type="dxa"/>
            <w:shd w:val="clear" w:color="auto" w:fill="E9ECF4"/>
          </w:tcPr>
          <w:p w14:paraId="5B91315B" w14:textId="77777777" w:rsidR="00DC7AF6" w:rsidRDefault="00465938">
            <w:pPr>
              <w:pStyle w:val="TableParagraph"/>
              <w:spacing w:line="198" w:lineRule="exact"/>
              <w:ind w:left="49"/>
              <w:rPr>
                <w:sz w:val="18"/>
              </w:rPr>
            </w:pPr>
            <w:r>
              <w:rPr>
                <w:sz w:val="18"/>
              </w:rPr>
              <w:t>decrease of 17 percent</w:t>
            </w:r>
          </w:p>
        </w:tc>
      </w:tr>
      <w:tr w:rsidR="00DC7AF6" w14:paraId="26F10276" w14:textId="77777777">
        <w:trPr>
          <w:trHeight w:val="267"/>
        </w:trPr>
        <w:tc>
          <w:tcPr>
            <w:tcW w:w="7289" w:type="dxa"/>
            <w:gridSpan w:val="2"/>
            <w:shd w:val="clear" w:color="auto" w:fill="E9ECF4"/>
          </w:tcPr>
          <w:p w14:paraId="09095B38" w14:textId="77777777" w:rsidR="00DC7AF6" w:rsidRDefault="00465938">
            <w:pPr>
              <w:pStyle w:val="TableParagraph"/>
              <w:spacing w:before="32" w:line="215" w:lineRule="exact"/>
              <w:ind w:left="113"/>
              <w:rPr>
                <w:sz w:val="18"/>
              </w:rPr>
            </w:pPr>
            <w:r>
              <w:rPr>
                <w:sz w:val="18"/>
              </w:rPr>
              <w:t>Aboriginal and Torres Strait Islander young people in custody on an average day</w:t>
            </w:r>
          </w:p>
        </w:tc>
        <w:tc>
          <w:tcPr>
            <w:tcW w:w="1146" w:type="dxa"/>
            <w:shd w:val="clear" w:color="auto" w:fill="E9ECF4"/>
          </w:tcPr>
          <w:p w14:paraId="46FD2E76" w14:textId="77777777" w:rsidR="00DC7AF6" w:rsidRDefault="00465938">
            <w:pPr>
              <w:pStyle w:val="TableParagraph"/>
              <w:spacing w:before="32" w:line="215" w:lineRule="exact"/>
              <w:ind w:right="130"/>
              <w:jc w:val="center"/>
              <w:rPr>
                <w:sz w:val="18"/>
              </w:rPr>
            </w:pPr>
            <w:r>
              <w:rPr>
                <w:sz w:val="18"/>
              </w:rPr>
              <w:t>71%</w:t>
            </w:r>
          </w:p>
        </w:tc>
        <w:tc>
          <w:tcPr>
            <w:tcW w:w="1146" w:type="dxa"/>
            <w:shd w:val="clear" w:color="auto" w:fill="E9ECF4"/>
          </w:tcPr>
          <w:p w14:paraId="79EC4AC4" w14:textId="77777777" w:rsidR="00DC7AF6" w:rsidRDefault="00465938">
            <w:pPr>
              <w:pStyle w:val="TableParagraph"/>
              <w:spacing w:before="32" w:line="215" w:lineRule="exact"/>
              <w:ind w:right="130"/>
              <w:jc w:val="center"/>
              <w:rPr>
                <w:sz w:val="18"/>
              </w:rPr>
            </w:pPr>
            <w:r>
              <w:rPr>
                <w:sz w:val="18"/>
              </w:rPr>
              <w:t>70%</w:t>
            </w:r>
          </w:p>
        </w:tc>
        <w:tc>
          <w:tcPr>
            <w:tcW w:w="3886" w:type="dxa"/>
            <w:shd w:val="clear" w:color="auto" w:fill="E9ECF4"/>
          </w:tcPr>
          <w:p w14:paraId="78FD429A" w14:textId="77777777" w:rsidR="00DC7AF6" w:rsidRDefault="00465938">
            <w:pPr>
              <w:pStyle w:val="TableParagraph"/>
              <w:spacing w:before="32" w:line="215" w:lineRule="exact"/>
              <w:ind w:left="49"/>
              <w:rPr>
                <w:sz w:val="18"/>
              </w:rPr>
            </w:pPr>
            <w:r>
              <w:rPr>
                <w:sz w:val="18"/>
              </w:rPr>
              <w:t>decrease of one percentage point</w:t>
            </w:r>
          </w:p>
        </w:tc>
      </w:tr>
      <w:tr w:rsidR="00DC7AF6" w14:paraId="1D10E806" w14:textId="77777777">
        <w:trPr>
          <w:trHeight w:val="233"/>
        </w:trPr>
        <w:tc>
          <w:tcPr>
            <w:tcW w:w="7289" w:type="dxa"/>
            <w:gridSpan w:val="2"/>
            <w:shd w:val="clear" w:color="auto" w:fill="E9ECF4"/>
          </w:tcPr>
          <w:p w14:paraId="06F82DBB" w14:textId="77777777" w:rsidR="00DC7AF6" w:rsidRDefault="00465938"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>
              <w:rPr>
                <w:sz w:val="18"/>
              </w:rPr>
              <w:t>All young people in custody on remand on an average day</w:t>
            </w:r>
          </w:p>
        </w:tc>
        <w:tc>
          <w:tcPr>
            <w:tcW w:w="1146" w:type="dxa"/>
            <w:shd w:val="clear" w:color="auto" w:fill="E9ECF4"/>
          </w:tcPr>
          <w:p w14:paraId="79FF0FA2" w14:textId="77777777" w:rsidR="00DC7AF6" w:rsidRDefault="00465938">
            <w:pPr>
              <w:pStyle w:val="TableParagraph"/>
              <w:spacing w:line="198" w:lineRule="exact"/>
              <w:ind w:right="130"/>
              <w:jc w:val="center"/>
              <w:rPr>
                <w:sz w:val="18"/>
              </w:rPr>
            </w:pPr>
            <w:r>
              <w:rPr>
                <w:sz w:val="18"/>
              </w:rPr>
              <w:t>213</w:t>
            </w:r>
          </w:p>
        </w:tc>
        <w:tc>
          <w:tcPr>
            <w:tcW w:w="1146" w:type="dxa"/>
            <w:shd w:val="clear" w:color="auto" w:fill="E9ECF4"/>
          </w:tcPr>
          <w:p w14:paraId="4907BC9A" w14:textId="77777777" w:rsidR="00DC7AF6" w:rsidRDefault="00465938">
            <w:pPr>
              <w:pStyle w:val="TableParagraph"/>
              <w:spacing w:line="198" w:lineRule="exact"/>
              <w:ind w:left="151" w:right="130"/>
              <w:jc w:val="center"/>
              <w:rPr>
                <w:sz w:val="18"/>
              </w:rPr>
            </w:pPr>
            <w:r>
              <w:rPr>
                <w:sz w:val="18"/>
              </w:rPr>
              <w:t>178</w:t>
            </w:r>
          </w:p>
        </w:tc>
        <w:tc>
          <w:tcPr>
            <w:tcW w:w="3886" w:type="dxa"/>
            <w:shd w:val="clear" w:color="auto" w:fill="E9ECF4"/>
          </w:tcPr>
          <w:p w14:paraId="48DB386F" w14:textId="77777777" w:rsidR="00DC7AF6" w:rsidRDefault="00465938">
            <w:pPr>
              <w:pStyle w:val="TableParagraph"/>
              <w:spacing w:line="198" w:lineRule="exact"/>
              <w:ind w:left="49"/>
              <w:rPr>
                <w:sz w:val="18"/>
              </w:rPr>
            </w:pPr>
            <w:r>
              <w:rPr>
                <w:sz w:val="18"/>
              </w:rPr>
              <w:t>decrease of 16 percent</w:t>
            </w:r>
          </w:p>
        </w:tc>
      </w:tr>
      <w:tr w:rsidR="00DC7AF6" w14:paraId="72267A17" w14:textId="77777777">
        <w:trPr>
          <w:trHeight w:val="288"/>
        </w:trPr>
        <w:tc>
          <w:tcPr>
            <w:tcW w:w="7289" w:type="dxa"/>
            <w:gridSpan w:val="2"/>
            <w:shd w:val="clear" w:color="auto" w:fill="E9ECF4"/>
          </w:tcPr>
          <w:p w14:paraId="2CA1DEA9" w14:textId="77777777" w:rsidR="00DC7AF6" w:rsidRDefault="00465938">
            <w:pPr>
              <w:pStyle w:val="TableParagraph"/>
              <w:spacing w:before="42" w:line="240" w:lineRule="auto"/>
              <w:ind w:left="113"/>
              <w:rPr>
                <w:sz w:val="18"/>
              </w:rPr>
            </w:pPr>
            <w:r>
              <w:rPr>
                <w:sz w:val="18"/>
              </w:rPr>
              <w:t>Aboriginal and Torres Strait Islander young people on remand on an average day</w:t>
            </w:r>
          </w:p>
        </w:tc>
        <w:tc>
          <w:tcPr>
            <w:tcW w:w="1146" w:type="dxa"/>
            <w:shd w:val="clear" w:color="auto" w:fill="E9ECF4"/>
          </w:tcPr>
          <w:p w14:paraId="58E7C0E0" w14:textId="77777777" w:rsidR="00DC7AF6" w:rsidRDefault="00465938">
            <w:pPr>
              <w:pStyle w:val="TableParagraph"/>
              <w:spacing w:before="42" w:line="240" w:lineRule="auto"/>
              <w:ind w:right="130"/>
              <w:jc w:val="center"/>
              <w:rPr>
                <w:sz w:val="18"/>
              </w:rPr>
            </w:pPr>
            <w:r>
              <w:rPr>
                <w:sz w:val="18"/>
              </w:rPr>
              <w:t>71%</w:t>
            </w:r>
          </w:p>
        </w:tc>
        <w:tc>
          <w:tcPr>
            <w:tcW w:w="1146" w:type="dxa"/>
            <w:shd w:val="clear" w:color="auto" w:fill="E9ECF4"/>
          </w:tcPr>
          <w:p w14:paraId="4DDF3627" w14:textId="77777777" w:rsidR="00DC7AF6" w:rsidRDefault="00465938">
            <w:pPr>
              <w:pStyle w:val="TableParagraph"/>
              <w:spacing w:before="42" w:line="240" w:lineRule="auto"/>
              <w:ind w:right="130"/>
              <w:jc w:val="center"/>
              <w:rPr>
                <w:sz w:val="18"/>
              </w:rPr>
            </w:pPr>
            <w:r>
              <w:rPr>
                <w:sz w:val="18"/>
              </w:rPr>
              <w:t>70%</w:t>
            </w:r>
          </w:p>
        </w:tc>
        <w:tc>
          <w:tcPr>
            <w:tcW w:w="3886" w:type="dxa"/>
            <w:shd w:val="clear" w:color="auto" w:fill="E9ECF4"/>
          </w:tcPr>
          <w:p w14:paraId="072D5BC6" w14:textId="77777777" w:rsidR="00DC7AF6" w:rsidRDefault="00465938">
            <w:pPr>
              <w:pStyle w:val="TableParagraph"/>
              <w:spacing w:before="42" w:line="240" w:lineRule="auto"/>
              <w:ind w:left="49"/>
              <w:rPr>
                <w:sz w:val="18"/>
              </w:rPr>
            </w:pPr>
            <w:r>
              <w:rPr>
                <w:sz w:val="18"/>
              </w:rPr>
              <w:t>decrease of one percentage point</w:t>
            </w:r>
          </w:p>
        </w:tc>
      </w:tr>
      <w:tr w:rsidR="00DC7AF6" w14:paraId="5BA3B0E9" w14:textId="77777777">
        <w:trPr>
          <w:trHeight w:val="233"/>
        </w:trPr>
        <w:tc>
          <w:tcPr>
            <w:tcW w:w="7289" w:type="dxa"/>
            <w:gridSpan w:val="2"/>
            <w:shd w:val="clear" w:color="auto" w:fill="E9ECF4"/>
          </w:tcPr>
          <w:p w14:paraId="4926C947" w14:textId="77777777" w:rsidR="00DC7AF6" w:rsidRDefault="00465938"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>
              <w:rPr>
                <w:sz w:val="18"/>
              </w:rPr>
              <w:t>Average duration on sentence</w:t>
            </w:r>
          </w:p>
        </w:tc>
        <w:tc>
          <w:tcPr>
            <w:tcW w:w="1146" w:type="dxa"/>
            <w:shd w:val="clear" w:color="auto" w:fill="E9ECF4"/>
          </w:tcPr>
          <w:p w14:paraId="70048B9F" w14:textId="77777777" w:rsidR="00DC7AF6" w:rsidRDefault="00465938">
            <w:pPr>
              <w:pStyle w:val="TableParagraph"/>
              <w:spacing w:line="198" w:lineRule="exact"/>
              <w:ind w:left="0" w:right="274"/>
              <w:jc w:val="right"/>
              <w:rPr>
                <w:sz w:val="18"/>
              </w:rPr>
            </w:pPr>
            <w:r>
              <w:rPr>
                <w:sz w:val="18"/>
              </w:rPr>
              <w:t>60 days</w:t>
            </w:r>
          </w:p>
        </w:tc>
        <w:tc>
          <w:tcPr>
            <w:tcW w:w="1146" w:type="dxa"/>
            <w:shd w:val="clear" w:color="auto" w:fill="E9ECF4"/>
          </w:tcPr>
          <w:p w14:paraId="796D4300" w14:textId="77777777" w:rsidR="00DC7AF6" w:rsidRDefault="00465938">
            <w:pPr>
              <w:pStyle w:val="TableParagraph"/>
              <w:spacing w:line="198" w:lineRule="exact"/>
              <w:ind w:left="149" w:right="130"/>
              <w:jc w:val="center"/>
              <w:rPr>
                <w:sz w:val="18"/>
              </w:rPr>
            </w:pPr>
            <w:r>
              <w:rPr>
                <w:sz w:val="18"/>
              </w:rPr>
              <w:t>56 days</w:t>
            </w:r>
          </w:p>
        </w:tc>
        <w:tc>
          <w:tcPr>
            <w:tcW w:w="3886" w:type="dxa"/>
            <w:shd w:val="clear" w:color="auto" w:fill="E9ECF4"/>
          </w:tcPr>
          <w:p w14:paraId="6FB05B19" w14:textId="77777777" w:rsidR="00DC7AF6" w:rsidRDefault="00465938">
            <w:pPr>
              <w:pStyle w:val="TableParagraph"/>
              <w:spacing w:line="198" w:lineRule="exact"/>
              <w:ind w:left="49"/>
              <w:rPr>
                <w:sz w:val="18"/>
              </w:rPr>
            </w:pPr>
            <w:r>
              <w:rPr>
                <w:sz w:val="18"/>
              </w:rPr>
              <w:t>decrease of 7 percent</w:t>
            </w:r>
          </w:p>
        </w:tc>
      </w:tr>
      <w:tr w:rsidR="00DC7AF6" w14:paraId="6827EEA1" w14:textId="77777777">
        <w:trPr>
          <w:trHeight w:val="233"/>
        </w:trPr>
        <w:tc>
          <w:tcPr>
            <w:tcW w:w="7289" w:type="dxa"/>
            <w:gridSpan w:val="2"/>
            <w:shd w:val="clear" w:color="auto" w:fill="E9ECF4"/>
          </w:tcPr>
          <w:p w14:paraId="31C6CAF7" w14:textId="77777777" w:rsidR="00DC7AF6" w:rsidRDefault="00465938"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>
              <w:rPr>
                <w:sz w:val="18"/>
              </w:rPr>
              <w:t>Average duration on remand</w:t>
            </w:r>
          </w:p>
        </w:tc>
        <w:tc>
          <w:tcPr>
            <w:tcW w:w="1146" w:type="dxa"/>
            <w:shd w:val="clear" w:color="auto" w:fill="E9ECF4"/>
          </w:tcPr>
          <w:p w14:paraId="326523EC" w14:textId="77777777" w:rsidR="00DC7AF6" w:rsidRDefault="00465938">
            <w:pPr>
              <w:pStyle w:val="TableParagraph"/>
              <w:spacing w:line="198" w:lineRule="exact"/>
              <w:ind w:left="0" w:right="274"/>
              <w:jc w:val="right"/>
              <w:rPr>
                <w:sz w:val="18"/>
              </w:rPr>
            </w:pPr>
            <w:r>
              <w:rPr>
                <w:sz w:val="18"/>
              </w:rPr>
              <w:t>27 days</w:t>
            </w:r>
          </w:p>
        </w:tc>
        <w:tc>
          <w:tcPr>
            <w:tcW w:w="1146" w:type="dxa"/>
            <w:shd w:val="clear" w:color="auto" w:fill="E9ECF4"/>
          </w:tcPr>
          <w:p w14:paraId="6D1FE56E" w14:textId="77777777" w:rsidR="00DC7AF6" w:rsidRDefault="00465938">
            <w:pPr>
              <w:pStyle w:val="TableParagraph"/>
              <w:spacing w:line="198" w:lineRule="exact"/>
              <w:ind w:left="149" w:right="130"/>
              <w:jc w:val="center"/>
              <w:rPr>
                <w:sz w:val="18"/>
              </w:rPr>
            </w:pPr>
            <w:r>
              <w:rPr>
                <w:sz w:val="18"/>
              </w:rPr>
              <w:t>30 days</w:t>
            </w:r>
          </w:p>
        </w:tc>
        <w:tc>
          <w:tcPr>
            <w:tcW w:w="3886" w:type="dxa"/>
            <w:shd w:val="clear" w:color="auto" w:fill="E9ECF4"/>
          </w:tcPr>
          <w:p w14:paraId="7BB19ED9" w14:textId="77777777" w:rsidR="00DC7AF6" w:rsidRDefault="00465938">
            <w:pPr>
              <w:pStyle w:val="TableParagraph"/>
              <w:spacing w:line="198" w:lineRule="exact"/>
              <w:ind w:left="49"/>
              <w:rPr>
                <w:sz w:val="18"/>
              </w:rPr>
            </w:pPr>
            <w:r>
              <w:rPr>
                <w:sz w:val="18"/>
              </w:rPr>
              <w:t>increase of 11 percent</w:t>
            </w:r>
          </w:p>
        </w:tc>
      </w:tr>
      <w:tr w:rsidR="00DC7AF6" w14:paraId="4B9F7690" w14:textId="77777777">
        <w:trPr>
          <w:trHeight w:val="233"/>
        </w:trPr>
        <w:tc>
          <w:tcPr>
            <w:tcW w:w="13467" w:type="dxa"/>
            <w:gridSpan w:val="5"/>
            <w:shd w:val="clear" w:color="auto" w:fill="BAD591"/>
          </w:tcPr>
          <w:p w14:paraId="5EFA83CF" w14:textId="77777777" w:rsidR="00DC7AF6" w:rsidRDefault="00465938">
            <w:pPr>
              <w:pStyle w:val="TableParagraph"/>
              <w:spacing w:line="198" w:lineRule="exact"/>
              <w:ind w:left="152"/>
              <w:rPr>
                <w:b/>
                <w:sz w:val="18"/>
              </w:rPr>
            </w:pPr>
            <w:r>
              <w:rPr>
                <w:b/>
                <w:color w:val="065570"/>
                <w:sz w:val="18"/>
              </w:rPr>
              <w:t>Orders</w:t>
            </w:r>
          </w:p>
        </w:tc>
      </w:tr>
      <w:tr w:rsidR="00DC7AF6" w14:paraId="3A43689C" w14:textId="77777777">
        <w:trPr>
          <w:trHeight w:val="233"/>
        </w:trPr>
        <w:tc>
          <w:tcPr>
            <w:tcW w:w="7289" w:type="dxa"/>
            <w:gridSpan w:val="2"/>
            <w:shd w:val="clear" w:color="auto" w:fill="E9ECF4"/>
          </w:tcPr>
          <w:p w14:paraId="3F944E66" w14:textId="77777777" w:rsidR="00DC7AF6" w:rsidRDefault="00465938">
            <w:pPr>
              <w:pStyle w:val="TableParagraph"/>
              <w:spacing w:line="198" w:lineRule="exact"/>
              <w:ind w:left="152"/>
              <w:rPr>
                <w:sz w:val="18"/>
              </w:rPr>
            </w:pPr>
            <w:r>
              <w:rPr>
                <w:sz w:val="18"/>
              </w:rPr>
              <w:t>Number of distinct young people admitted to a supervised order</w:t>
            </w:r>
          </w:p>
        </w:tc>
        <w:tc>
          <w:tcPr>
            <w:tcW w:w="1146" w:type="dxa"/>
            <w:shd w:val="clear" w:color="auto" w:fill="E9ECF4"/>
          </w:tcPr>
          <w:p w14:paraId="379081F6" w14:textId="77777777" w:rsidR="00DC7AF6" w:rsidRDefault="00465938">
            <w:pPr>
              <w:pStyle w:val="TableParagraph"/>
              <w:spacing w:line="198" w:lineRule="exact"/>
              <w:ind w:left="368"/>
              <w:rPr>
                <w:sz w:val="18"/>
              </w:rPr>
            </w:pPr>
            <w:r>
              <w:rPr>
                <w:sz w:val="18"/>
              </w:rPr>
              <w:t>2,064</w:t>
            </w:r>
          </w:p>
        </w:tc>
        <w:tc>
          <w:tcPr>
            <w:tcW w:w="1146" w:type="dxa"/>
            <w:shd w:val="clear" w:color="auto" w:fill="E9ECF4"/>
          </w:tcPr>
          <w:p w14:paraId="3DD68B37" w14:textId="77777777" w:rsidR="00DC7AF6" w:rsidRDefault="00465938">
            <w:pPr>
              <w:pStyle w:val="TableParagraph"/>
              <w:spacing w:line="198" w:lineRule="exact"/>
              <w:ind w:left="149" w:right="130"/>
              <w:jc w:val="center"/>
              <w:rPr>
                <w:sz w:val="18"/>
              </w:rPr>
            </w:pPr>
            <w:r>
              <w:rPr>
                <w:sz w:val="18"/>
              </w:rPr>
              <w:t>1,571</w:t>
            </w:r>
          </w:p>
        </w:tc>
        <w:tc>
          <w:tcPr>
            <w:tcW w:w="3886" w:type="dxa"/>
            <w:shd w:val="clear" w:color="auto" w:fill="E9ECF4"/>
          </w:tcPr>
          <w:p w14:paraId="6AA79671" w14:textId="77777777" w:rsidR="00DC7AF6" w:rsidRDefault="00465938">
            <w:pPr>
              <w:pStyle w:val="TableParagraph"/>
              <w:spacing w:line="198" w:lineRule="exact"/>
              <w:ind w:left="49"/>
              <w:rPr>
                <w:sz w:val="18"/>
              </w:rPr>
            </w:pPr>
            <w:r>
              <w:rPr>
                <w:sz w:val="18"/>
              </w:rPr>
              <w:t>decrease of 24 percent</w:t>
            </w:r>
          </w:p>
        </w:tc>
      </w:tr>
      <w:tr w:rsidR="00DC7AF6" w14:paraId="0C7361CD" w14:textId="77777777">
        <w:trPr>
          <w:trHeight w:val="233"/>
        </w:trPr>
        <w:tc>
          <w:tcPr>
            <w:tcW w:w="7289" w:type="dxa"/>
            <w:gridSpan w:val="2"/>
            <w:shd w:val="clear" w:color="auto" w:fill="E9ECF4"/>
          </w:tcPr>
          <w:p w14:paraId="4710F04E" w14:textId="77777777" w:rsidR="00DC7AF6" w:rsidRDefault="00465938">
            <w:pPr>
              <w:pStyle w:val="TableParagraph"/>
              <w:spacing w:line="198" w:lineRule="exact"/>
              <w:ind w:left="152"/>
              <w:rPr>
                <w:sz w:val="18"/>
              </w:rPr>
            </w:pPr>
            <w:r>
              <w:rPr>
                <w:sz w:val="18"/>
              </w:rPr>
              <w:t>Number of supervised orders</w:t>
            </w:r>
          </w:p>
        </w:tc>
        <w:tc>
          <w:tcPr>
            <w:tcW w:w="1146" w:type="dxa"/>
            <w:shd w:val="clear" w:color="auto" w:fill="E9ECF4"/>
          </w:tcPr>
          <w:p w14:paraId="6FDFACAF" w14:textId="77777777" w:rsidR="00DC7AF6" w:rsidRDefault="00465938">
            <w:pPr>
              <w:pStyle w:val="TableParagraph"/>
              <w:spacing w:line="198" w:lineRule="exact"/>
              <w:ind w:left="368"/>
              <w:rPr>
                <w:sz w:val="18"/>
              </w:rPr>
            </w:pPr>
            <w:r>
              <w:rPr>
                <w:sz w:val="18"/>
              </w:rPr>
              <w:t>4,015</w:t>
            </w:r>
          </w:p>
        </w:tc>
        <w:tc>
          <w:tcPr>
            <w:tcW w:w="1146" w:type="dxa"/>
            <w:shd w:val="clear" w:color="auto" w:fill="E9ECF4"/>
          </w:tcPr>
          <w:p w14:paraId="72F0B94C" w14:textId="77777777" w:rsidR="00DC7AF6" w:rsidRDefault="00465938">
            <w:pPr>
              <w:pStyle w:val="TableParagraph"/>
              <w:spacing w:line="198" w:lineRule="exact"/>
              <w:ind w:left="149" w:right="130"/>
              <w:jc w:val="center"/>
              <w:rPr>
                <w:sz w:val="18"/>
              </w:rPr>
            </w:pPr>
            <w:r>
              <w:rPr>
                <w:sz w:val="18"/>
              </w:rPr>
              <w:t>2,994</w:t>
            </w:r>
          </w:p>
        </w:tc>
        <w:tc>
          <w:tcPr>
            <w:tcW w:w="3886" w:type="dxa"/>
            <w:shd w:val="clear" w:color="auto" w:fill="E9ECF4"/>
          </w:tcPr>
          <w:p w14:paraId="18017F0A" w14:textId="77777777" w:rsidR="00DC7AF6" w:rsidRDefault="00465938">
            <w:pPr>
              <w:pStyle w:val="TableParagraph"/>
              <w:spacing w:line="198" w:lineRule="exact"/>
              <w:ind w:left="49"/>
              <w:rPr>
                <w:sz w:val="18"/>
              </w:rPr>
            </w:pPr>
            <w:r>
              <w:rPr>
                <w:sz w:val="18"/>
              </w:rPr>
              <w:t>decrease of 25 percent</w:t>
            </w:r>
          </w:p>
        </w:tc>
      </w:tr>
      <w:tr w:rsidR="00DC7AF6" w14:paraId="58B80268" w14:textId="77777777">
        <w:trPr>
          <w:trHeight w:val="233"/>
        </w:trPr>
        <w:tc>
          <w:tcPr>
            <w:tcW w:w="7289" w:type="dxa"/>
            <w:gridSpan w:val="2"/>
            <w:shd w:val="clear" w:color="auto" w:fill="E9ECF4"/>
          </w:tcPr>
          <w:p w14:paraId="417BADAB" w14:textId="77777777" w:rsidR="00DC7AF6" w:rsidRDefault="00465938">
            <w:pPr>
              <w:pStyle w:val="TableParagraph"/>
              <w:spacing w:line="198" w:lineRule="exact"/>
              <w:ind w:left="152"/>
              <w:rPr>
                <w:sz w:val="18"/>
              </w:rPr>
            </w:pPr>
            <w:r>
              <w:rPr>
                <w:sz w:val="18"/>
              </w:rPr>
              <w:t>Number of distinct young people admitted to community-based orders</w:t>
            </w:r>
          </w:p>
        </w:tc>
        <w:tc>
          <w:tcPr>
            <w:tcW w:w="1146" w:type="dxa"/>
            <w:shd w:val="clear" w:color="auto" w:fill="E9ECF4"/>
          </w:tcPr>
          <w:p w14:paraId="40C25BCD" w14:textId="77777777" w:rsidR="00DC7AF6" w:rsidRDefault="00465938">
            <w:pPr>
              <w:pStyle w:val="TableParagraph"/>
              <w:spacing w:line="198" w:lineRule="exact"/>
              <w:ind w:left="368"/>
              <w:rPr>
                <w:sz w:val="18"/>
              </w:rPr>
            </w:pPr>
            <w:r>
              <w:rPr>
                <w:sz w:val="18"/>
              </w:rPr>
              <w:t>1,978</w:t>
            </w:r>
          </w:p>
        </w:tc>
        <w:tc>
          <w:tcPr>
            <w:tcW w:w="1146" w:type="dxa"/>
            <w:shd w:val="clear" w:color="auto" w:fill="E9ECF4"/>
          </w:tcPr>
          <w:p w14:paraId="7B48A9C6" w14:textId="77777777" w:rsidR="00DC7AF6" w:rsidRDefault="00465938">
            <w:pPr>
              <w:pStyle w:val="TableParagraph"/>
              <w:spacing w:line="198" w:lineRule="exact"/>
              <w:ind w:right="130"/>
              <w:jc w:val="center"/>
              <w:rPr>
                <w:sz w:val="18"/>
              </w:rPr>
            </w:pPr>
            <w:r>
              <w:rPr>
                <w:sz w:val="18"/>
              </w:rPr>
              <w:t>1,478</w:t>
            </w:r>
          </w:p>
        </w:tc>
        <w:tc>
          <w:tcPr>
            <w:tcW w:w="3886" w:type="dxa"/>
            <w:shd w:val="clear" w:color="auto" w:fill="E9ECF4"/>
          </w:tcPr>
          <w:p w14:paraId="2DA61D1F" w14:textId="77777777" w:rsidR="00DC7AF6" w:rsidRDefault="00465938">
            <w:pPr>
              <w:pStyle w:val="TableParagraph"/>
              <w:spacing w:line="198" w:lineRule="exact"/>
              <w:ind w:left="49"/>
              <w:rPr>
                <w:sz w:val="18"/>
              </w:rPr>
            </w:pPr>
            <w:r>
              <w:rPr>
                <w:sz w:val="18"/>
              </w:rPr>
              <w:t>decrease of 25 percent</w:t>
            </w:r>
          </w:p>
        </w:tc>
      </w:tr>
      <w:tr w:rsidR="00DC7AF6" w14:paraId="42FEB030" w14:textId="77777777">
        <w:trPr>
          <w:trHeight w:val="233"/>
        </w:trPr>
        <w:tc>
          <w:tcPr>
            <w:tcW w:w="7289" w:type="dxa"/>
            <w:gridSpan w:val="2"/>
            <w:shd w:val="clear" w:color="auto" w:fill="E9ECF4"/>
          </w:tcPr>
          <w:p w14:paraId="264128F3" w14:textId="77777777" w:rsidR="00DC7AF6" w:rsidRDefault="00465938">
            <w:pPr>
              <w:pStyle w:val="TableParagraph"/>
              <w:spacing w:line="198" w:lineRule="exact"/>
              <w:ind w:left="153"/>
              <w:rPr>
                <w:sz w:val="18"/>
              </w:rPr>
            </w:pPr>
            <w:r>
              <w:rPr>
                <w:sz w:val="18"/>
              </w:rPr>
              <w:t xml:space="preserve">Number of </w:t>
            </w:r>
            <w:proofErr w:type="gramStart"/>
            <w:r>
              <w:rPr>
                <w:sz w:val="18"/>
              </w:rPr>
              <w:t>community based</w:t>
            </w:r>
            <w:proofErr w:type="gramEnd"/>
            <w:r>
              <w:rPr>
                <w:sz w:val="18"/>
              </w:rPr>
              <w:t xml:space="preserve"> orders</w:t>
            </w:r>
          </w:p>
        </w:tc>
        <w:tc>
          <w:tcPr>
            <w:tcW w:w="1146" w:type="dxa"/>
            <w:shd w:val="clear" w:color="auto" w:fill="E9ECF4"/>
          </w:tcPr>
          <w:p w14:paraId="2CCCAB99" w14:textId="77777777" w:rsidR="00DC7AF6" w:rsidRDefault="00465938">
            <w:pPr>
              <w:pStyle w:val="TableParagraph"/>
              <w:spacing w:line="198" w:lineRule="exact"/>
              <w:ind w:left="368"/>
              <w:rPr>
                <w:sz w:val="18"/>
              </w:rPr>
            </w:pPr>
            <w:r>
              <w:rPr>
                <w:sz w:val="18"/>
              </w:rPr>
              <w:t>3,656</w:t>
            </w:r>
          </w:p>
        </w:tc>
        <w:tc>
          <w:tcPr>
            <w:tcW w:w="1146" w:type="dxa"/>
            <w:shd w:val="clear" w:color="auto" w:fill="E9ECF4"/>
          </w:tcPr>
          <w:p w14:paraId="42DFE4B3" w14:textId="77777777" w:rsidR="00DC7AF6" w:rsidRDefault="00465938">
            <w:pPr>
              <w:pStyle w:val="TableParagraph"/>
              <w:spacing w:line="198" w:lineRule="exact"/>
              <w:ind w:right="130"/>
              <w:jc w:val="center"/>
              <w:rPr>
                <w:sz w:val="18"/>
              </w:rPr>
            </w:pPr>
            <w:r>
              <w:rPr>
                <w:sz w:val="18"/>
              </w:rPr>
              <w:t>2,696</w:t>
            </w:r>
          </w:p>
        </w:tc>
        <w:tc>
          <w:tcPr>
            <w:tcW w:w="3886" w:type="dxa"/>
            <w:shd w:val="clear" w:color="auto" w:fill="E9ECF4"/>
          </w:tcPr>
          <w:p w14:paraId="225571E2" w14:textId="77777777" w:rsidR="00DC7AF6" w:rsidRDefault="00465938">
            <w:pPr>
              <w:pStyle w:val="TableParagraph"/>
              <w:spacing w:line="198" w:lineRule="exact"/>
              <w:ind w:left="49"/>
              <w:rPr>
                <w:sz w:val="18"/>
              </w:rPr>
            </w:pPr>
            <w:r>
              <w:rPr>
                <w:sz w:val="18"/>
              </w:rPr>
              <w:t>decrease of 26 percent</w:t>
            </w:r>
          </w:p>
        </w:tc>
      </w:tr>
      <w:tr w:rsidR="00DC7AF6" w14:paraId="3200DF09" w14:textId="77777777">
        <w:trPr>
          <w:trHeight w:val="233"/>
        </w:trPr>
        <w:tc>
          <w:tcPr>
            <w:tcW w:w="7289" w:type="dxa"/>
            <w:gridSpan w:val="2"/>
            <w:shd w:val="clear" w:color="auto" w:fill="E9ECF4"/>
          </w:tcPr>
          <w:p w14:paraId="3FB9E70C" w14:textId="77777777" w:rsidR="00DC7AF6" w:rsidRDefault="00465938">
            <w:pPr>
              <w:pStyle w:val="TableParagraph"/>
              <w:spacing w:line="198" w:lineRule="exact"/>
              <w:ind w:left="153"/>
              <w:rPr>
                <w:sz w:val="18"/>
              </w:rPr>
            </w:pPr>
            <w:r>
              <w:rPr>
                <w:sz w:val="18"/>
              </w:rPr>
              <w:t>Number of restorative justice referrals received</w:t>
            </w:r>
          </w:p>
        </w:tc>
        <w:tc>
          <w:tcPr>
            <w:tcW w:w="1146" w:type="dxa"/>
            <w:shd w:val="clear" w:color="auto" w:fill="E9ECF4"/>
          </w:tcPr>
          <w:p w14:paraId="59E18762" w14:textId="77777777" w:rsidR="00DC7AF6" w:rsidRDefault="00465938">
            <w:pPr>
              <w:pStyle w:val="TableParagraph"/>
              <w:spacing w:line="198" w:lineRule="exact"/>
              <w:ind w:left="368"/>
              <w:rPr>
                <w:sz w:val="18"/>
              </w:rPr>
            </w:pPr>
            <w:r>
              <w:rPr>
                <w:sz w:val="18"/>
              </w:rPr>
              <w:t>2,857</w:t>
            </w:r>
          </w:p>
        </w:tc>
        <w:tc>
          <w:tcPr>
            <w:tcW w:w="1146" w:type="dxa"/>
            <w:shd w:val="clear" w:color="auto" w:fill="E9ECF4"/>
          </w:tcPr>
          <w:p w14:paraId="3C139424" w14:textId="77777777" w:rsidR="00DC7AF6" w:rsidRDefault="00465938">
            <w:pPr>
              <w:pStyle w:val="TableParagraph"/>
              <w:spacing w:line="198" w:lineRule="exact"/>
              <w:ind w:right="130"/>
              <w:jc w:val="center"/>
              <w:rPr>
                <w:sz w:val="18"/>
              </w:rPr>
            </w:pPr>
            <w:r>
              <w:rPr>
                <w:sz w:val="18"/>
              </w:rPr>
              <w:t>3,247</w:t>
            </w:r>
          </w:p>
        </w:tc>
        <w:tc>
          <w:tcPr>
            <w:tcW w:w="3886" w:type="dxa"/>
            <w:shd w:val="clear" w:color="auto" w:fill="E9ECF4"/>
          </w:tcPr>
          <w:p w14:paraId="5627053D" w14:textId="77777777" w:rsidR="00DC7AF6" w:rsidRDefault="00465938">
            <w:pPr>
              <w:pStyle w:val="TableParagraph"/>
              <w:spacing w:line="198" w:lineRule="exact"/>
              <w:ind w:left="49"/>
              <w:rPr>
                <w:sz w:val="18"/>
              </w:rPr>
            </w:pPr>
            <w:r>
              <w:rPr>
                <w:sz w:val="18"/>
              </w:rPr>
              <w:t>increase of 14 percent</w:t>
            </w:r>
          </w:p>
        </w:tc>
      </w:tr>
    </w:tbl>
    <w:p w14:paraId="667928FE" w14:textId="77777777" w:rsidR="00DC7AF6" w:rsidRDefault="00465938">
      <w:pPr>
        <w:pStyle w:val="BodyText"/>
        <w:spacing w:before="146" w:line="194" w:lineRule="exact"/>
        <w:ind w:left="3375" w:right="1740"/>
        <w:jc w:val="center"/>
      </w:pPr>
      <w:r>
        <w:t>The 2018-19 and 2019-20 figures are based on youth justice corporate datasets and are accurate as at 31 July 2020.</w:t>
      </w:r>
    </w:p>
    <w:p w14:paraId="5126987A" w14:textId="77777777" w:rsidR="00DC7AF6" w:rsidRDefault="00465938">
      <w:pPr>
        <w:pStyle w:val="BodyText"/>
        <w:spacing w:line="194" w:lineRule="exact"/>
        <w:ind w:left="3376" w:right="1740"/>
        <w:jc w:val="center"/>
      </w:pPr>
      <w:r>
        <w:t>This means the 2018-19 figures appearing in last year’s pocket stats may differ to these 2018-19 figures due to the use of more up-to-date data.</w:t>
      </w:r>
    </w:p>
    <w:sectPr w:rsidR="00DC7AF6">
      <w:type w:val="continuous"/>
      <w:pgSz w:w="15600" w:h="10800" w:orient="landscape"/>
      <w:pgMar w:top="340" w:right="1060" w:bottom="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Normal-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F6"/>
    <w:rsid w:val="000426E0"/>
    <w:rsid w:val="00465938"/>
    <w:rsid w:val="00D36BFD"/>
    <w:rsid w:val="00DC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B85FB"/>
  <w15:docId w15:val="{EAA5AAB5-6AC8-4837-B2AB-2438D465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 w:line="199" w:lineRule="exact"/>
      <w:ind w:left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E98648E908F468C970C7CB8F82EB7" ma:contentTypeVersion="289" ma:contentTypeDescription="Create a new document." ma:contentTypeScope="" ma:versionID="12f159f075a02266bd9ca581dca6e38d">
  <xsd:schema xmlns:xsd="http://www.w3.org/2001/XMLSchema" xmlns:xs="http://www.w3.org/2001/XMLSchema" xmlns:p="http://schemas.microsoft.com/office/2006/metadata/properties" xmlns:ns1="http://schemas.microsoft.com/sharepoint/v3" xmlns:ns2="dbefc7fa-1a1d-4432-8b48-0661d01a2bf9" xmlns:ns3="0b8dffbd-6425-4760-9d3e-66ce409199d4" xmlns:ns4="85c3036c-0ff9-43d2-b8a6-17c53915ea50" targetNamespace="http://schemas.microsoft.com/office/2006/metadata/properties" ma:root="true" ma:fieldsID="47bbd562aa59321dc51cc48297f47af5" ns1:_="" ns2:_="" ns3:_="" ns4:_="">
    <xsd:import namespace="http://schemas.microsoft.com/sharepoint/v3"/>
    <xsd:import namespace="dbefc7fa-1a1d-4432-8b48-0661d01a2bf9"/>
    <xsd:import namespace="0b8dffbd-6425-4760-9d3e-66ce409199d4"/>
    <xsd:import namespace="85c3036c-0ff9-43d2-b8a6-17c53915e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1:PublishingStartDate" minOccurs="0"/>
                <xsd:element ref="ns1:PublishingExpirationDat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ffbd-6425-4760-9d3e-66ce409199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3036c-0ff9-43d2-b8a6-17c53915e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efc7fa-1a1d-4432-8b48-0661d01a2bf9" xsi:nil="true"/>
    <PublishingExpirationDate xmlns="http://schemas.microsoft.com/sharepoint/v3" xsi:nil="true"/>
    <lcf76f155ced4ddcb4097134ff3c332f xmlns="0b8dffbd-6425-4760-9d3e-66ce409199d4">
      <Terms xmlns="http://schemas.microsoft.com/office/infopath/2007/PartnerControls"/>
    </lcf76f155ced4ddcb4097134ff3c332f>
    <PublishingStartDate xmlns="http://schemas.microsoft.com/sharepoint/v3" xsi:nil="true"/>
    <_dlc_DocId xmlns="dbefc7fa-1a1d-4432-8b48-0661d01a2bf9">NER3HZ3QZUNC-1385979215-290090</_dlc_DocId>
    <_dlc_DocIdUrl xmlns="dbefc7fa-1a1d-4432-8b48-0661d01a2bf9">
      <Url>https://dsitiaqld.sharepoint.com/sites/DESBT/engagement/customer-experience/digital-delivery/_layouts/15/DocIdRedir.aspx?ID=NER3HZ3QZUNC-1385979215-290090</Url>
      <Description>NER3HZ3QZUNC-1385979215-290090</Description>
    </_dlc_DocIdUrl>
  </documentManagement>
</p:properties>
</file>

<file path=customXml/itemProps1.xml><?xml version="1.0" encoding="utf-8"?>
<ds:datastoreItem xmlns:ds="http://schemas.openxmlformats.org/officeDocument/2006/customXml" ds:itemID="{653A7C7D-230F-40CD-A350-3A9F486A4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efc7fa-1a1d-4432-8b48-0661d01a2bf9"/>
    <ds:schemaRef ds:uri="0b8dffbd-6425-4760-9d3e-66ce409199d4"/>
    <ds:schemaRef ds:uri="85c3036c-0ff9-43d2-b8a6-17c53915e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98034E-CF91-4321-854C-45703DF7E97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E083B6D-6E45-4020-ABC2-3045725B80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26F3EC-F52A-4965-9685-FF0F5FC67B63}">
  <ds:schemaRefs>
    <ds:schemaRef ds:uri="http://schemas.microsoft.com/office/2006/metadata/properties"/>
    <ds:schemaRef ds:uri="http://schemas.microsoft.com/office/infopath/2007/PartnerControls"/>
    <ds:schemaRef ds:uri="dbefc7fa-1a1d-4432-8b48-0661d01a2bf9"/>
    <ds:schemaRef ds:uri="http://schemas.microsoft.com/sharepoint/v3"/>
    <ds:schemaRef ds:uri="0b8dffbd-6425-4760-9d3e-66ce409199d4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2019-20 Youth Justice Pocket Stats</vt:lpstr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Justice Pocket Stats - comparisons 2018-19 and 2019-20</dc:title>
  <dc:subject>2019-20 Youth Justice Pocket Stats</dc:subject>
  <dc:creator>Queensland Government</dc:creator>
  <cp:keywords>YJ, youth justice, data, pocket stats</cp:keywords>
  <cp:lastModifiedBy>Lara M Williams</cp:lastModifiedBy>
  <cp:revision>2</cp:revision>
  <dcterms:created xsi:type="dcterms:W3CDTF">2025-02-11T03:57:00Z</dcterms:created>
  <dcterms:modified xsi:type="dcterms:W3CDTF">2025-02-11T03:57:00Z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Acrobat PDFMaker 20 for PowerPoint</vt:lpwstr>
  </property>
  <property fmtid="{D5CDD505-2E9C-101B-9397-08002B2CF9AE}" pid="4" name="LastSaved">
    <vt:filetime>2021-04-07T00:00:00Z</vt:filetime>
  </property>
  <property fmtid="{D5CDD505-2E9C-101B-9397-08002B2CF9AE}" pid="5" name="ContentTypeId">
    <vt:lpwstr>0x0101007D0E98648E908F468C970C7CB8F82EB7</vt:lpwstr>
  </property>
  <property fmtid="{D5CDD505-2E9C-101B-9397-08002B2CF9AE}" pid="6" name="_dlc_DocIdItemGuid">
    <vt:lpwstr>31a1792c-2bf2-4b4d-b14c-7bcb59606776</vt:lpwstr>
  </property>
</Properties>
</file>