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31" w:rsidRPr="003136E5" w:rsidRDefault="00CE6531" w:rsidP="00CE6531">
      <w:pPr>
        <w:pStyle w:val="Heading1"/>
      </w:pPr>
      <w:bookmarkStart w:id="0" w:name="_GoBack"/>
      <w:bookmarkEnd w:id="0"/>
      <w:r>
        <w:t>Report card</w:t>
      </w:r>
    </w:p>
    <w:p w:rsidR="00CE6531" w:rsidRPr="003136E5" w:rsidRDefault="00CE6531" w:rsidP="00CE6531">
      <w:pPr>
        <w:pStyle w:val="Heading1"/>
        <w:spacing w:before="0"/>
      </w:pPr>
      <w:r w:rsidRPr="003136E5">
        <w:t xml:space="preserve">Gender equality — how Queensland is faring </w:t>
      </w:r>
    </w:p>
    <w:p w:rsidR="00CE6531" w:rsidRPr="003136E5" w:rsidRDefault="00CE6531" w:rsidP="00CE6531">
      <w:pPr>
        <w:pStyle w:val="Heading2"/>
      </w:pPr>
      <w:r w:rsidRPr="003136E5">
        <w:t>Women’s safety</w:t>
      </w:r>
    </w:p>
    <w:p w:rsidR="00CE6531" w:rsidRPr="003136E5" w:rsidRDefault="00CE6531" w:rsidP="00CE6531">
      <w:r w:rsidRPr="003136E5">
        <w:t>Queensland females</w:t>
      </w:r>
      <w:r>
        <w:t>:</w:t>
      </w:r>
    </w:p>
    <w:p w:rsidR="00CE6531" w:rsidRDefault="00CE6531" w:rsidP="00CE6531">
      <w:pPr>
        <w:numPr>
          <w:ilvl w:val="0"/>
          <w:numId w:val="1"/>
        </w:numPr>
      </w:pPr>
      <w:r w:rsidRPr="00656CD7">
        <w:t>account for 67.7% of all alleged victims of elder abuse reported to the Elder Abuse Helpline in 2014–15</w:t>
      </w:r>
    </w:p>
    <w:p w:rsidR="00CE6531" w:rsidRPr="003136E5" w:rsidRDefault="00CE6531" w:rsidP="00CE6531">
      <w:pPr>
        <w:numPr>
          <w:ilvl w:val="0"/>
          <w:numId w:val="1"/>
        </w:numPr>
      </w:pPr>
      <w:r w:rsidRPr="003136E5">
        <w:t xml:space="preserve">are almost four times more likely than </w:t>
      </w:r>
      <w:r>
        <w:t>males</w:t>
      </w:r>
      <w:r w:rsidRPr="003136E5">
        <w:t xml:space="preserve"> to be killed by a partner, comprising 79.4% of the total victims of intimate partner relationship homicides between 1 January 2006 and 31 December 2013</w:t>
      </w:r>
    </w:p>
    <w:p w:rsidR="00CE6531" w:rsidRPr="003136E5" w:rsidRDefault="00CE6531" w:rsidP="00CE6531">
      <w:pPr>
        <w:numPr>
          <w:ilvl w:val="0"/>
          <w:numId w:val="1"/>
        </w:numPr>
      </w:pPr>
      <w:r w:rsidRPr="003136E5">
        <w:t>largely do not experience physical or sexual assault or threat (94.1% in 2012) and feel safe at home alone after dark (79.3% in 2010)</w:t>
      </w:r>
    </w:p>
    <w:p w:rsidR="00CE6531" w:rsidRPr="003136E5" w:rsidRDefault="00CE6531" w:rsidP="00CE6531">
      <w:pPr>
        <w:numPr>
          <w:ilvl w:val="0"/>
          <w:numId w:val="1"/>
        </w:numPr>
      </w:pPr>
      <w:r w:rsidRPr="003136E5">
        <w:t>are almost equally likely to be the victims of offences against the person (49.3%) as males (50.5%) in 2014–15</w:t>
      </w:r>
    </w:p>
    <w:p w:rsidR="00CE6531" w:rsidRPr="003136E5" w:rsidRDefault="00CE6531" w:rsidP="00CE6531">
      <w:pPr>
        <w:numPr>
          <w:ilvl w:val="0"/>
          <w:numId w:val="1"/>
        </w:numPr>
      </w:pPr>
      <w:r w:rsidRPr="003136E5">
        <w:t>aged 15-19 years are most likely to be victims of offences in all age groups for females and males, at the rate of 1762 victims per 100,000 of the female 15-19 years population in 2011–12</w:t>
      </w:r>
    </w:p>
    <w:p w:rsidR="00CE6531" w:rsidRPr="003136E5" w:rsidRDefault="00CE6531" w:rsidP="00CE6531">
      <w:pPr>
        <w:numPr>
          <w:ilvl w:val="0"/>
          <w:numId w:val="1"/>
        </w:numPr>
      </w:pPr>
      <w:r w:rsidRPr="003136E5">
        <w:t>constitute 81.8% of sexual offences victims in 2014-15</w:t>
      </w:r>
      <w:r>
        <w:t>. N</w:t>
      </w:r>
      <w:r w:rsidRPr="003136E5">
        <w:t>ationally 83% of sexual assault victims are female in 2014</w:t>
      </w:r>
    </w:p>
    <w:p w:rsidR="00CE6531" w:rsidRPr="003136E5" w:rsidRDefault="00CE6531" w:rsidP="00CE6531">
      <w:pPr>
        <w:numPr>
          <w:ilvl w:val="0"/>
          <w:numId w:val="1"/>
        </w:numPr>
      </w:pPr>
      <w:r w:rsidRPr="003136E5">
        <w:t xml:space="preserve">in the 10-19 years age group are almost </w:t>
      </w:r>
      <w:r>
        <w:t>6</w:t>
      </w:r>
      <w:r w:rsidRPr="003136E5">
        <w:t xml:space="preserve"> times more likely than males of the same age to be victims of sexual offences in 2014–15</w:t>
      </w:r>
    </w:p>
    <w:p w:rsidR="00CE6531" w:rsidRPr="003136E5" w:rsidRDefault="00CE6531" w:rsidP="00CE6531">
      <w:pPr>
        <w:numPr>
          <w:ilvl w:val="0"/>
          <w:numId w:val="1"/>
        </w:numPr>
      </w:pPr>
      <w:r w:rsidRPr="003136E5">
        <w:t xml:space="preserve">of Aboriginal and Torres Strait Islander origin comprise 11.4% of total female victims of sexual assault in 2014. Comparable statistics available for other states and territories are 7.4% in </w:t>
      </w:r>
      <w:r>
        <w:t>New South Wales</w:t>
      </w:r>
      <w:r w:rsidRPr="003136E5">
        <w:t xml:space="preserve">, 8.1% in </w:t>
      </w:r>
      <w:r>
        <w:t>South Australia</w:t>
      </w:r>
      <w:r w:rsidRPr="003136E5">
        <w:t xml:space="preserve"> and 47.6% in </w:t>
      </w:r>
      <w:r>
        <w:t>the Northern Territory</w:t>
      </w:r>
    </w:p>
    <w:p w:rsidR="00CE6531" w:rsidRPr="003136E5" w:rsidRDefault="00CE6531" w:rsidP="00CE6531">
      <w:pPr>
        <w:numPr>
          <w:ilvl w:val="0"/>
          <w:numId w:val="1"/>
        </w:numPr>
      </w:pPr>
      <w:r w:rsidRPr="003136E5">
        <w:t>make up 74.3% of victims of stalking in 2014-15, with males constituting 81.8% of all stalking offenders in 2014–15</w:t>
      </w:r>
    </w:p>
    <w:p w:rsidR="00CE6531" w:rsidRPr="003136E5" w:rsidRDefault="00CE6531" w:rsidP="00CE6531">
      <w:pPr>
        <w:numPr>
          <w:ilvl w:val="0"/>
          <w:numId w:val="1"/>
        </w:numPr>
      </w:pPr>
      <w:r w:rsidRPr="003136E5">
        <w:t>are much more likely than male</w:t>
      </w:r>
      <w:r>
        <w:t>s</w:t>
      </w:r>
      <w:r w:rsidRPr="003136E5">
        <w:t xml:space="preserve"> to be killed by a family member – 53.3% of female victims of homicides were killed by a family member, compared </w:t>
      </w:r>
      <w:r>
        <w:t>with</w:t>
      </w:r>
      <w:r w:rsidRPr="003136E5">
        <w:t xml:space="preserve"> 31.8% of male victims of homicides in 2014. Comparable statistics available for other states and territories for victims killed by a family member are 64.4% of female victim</w:t>
      </w:r>
      <w:r>
        <w:t>s and 17.1% of male victims in New South Wales</w:t>
      </w:r>
      <w:r w:rsidRPr="003136E5">
        <w:t>, 47.2% of female victims and 23.1% of male victims</w:t>
      </w:r>
      <w:r>
        <w:t xml:space="preserve"> in Victoria</w:t>
      </w:r>
      <w:r w:rsidRPr="003136E5">
        <w:t xml:space="preserve">, and 42.9% of female victims and 10.3% of male victims in </w:t>
      </w:r>
      <w:r>
        <w:t>South Australia</w:t>
      </w:r>
      <w:r w:rsidRPr="003136E5">
        <w:t xml:space="preserve"> </w:t>
      </w:r>
    </w:p>
    <w:p w:rsidR="00CE6531" w:rsidRPr="003136E5" w:rsidRDefault="00CE6531" w:rsidP="00CE6531">
      <w:pPr>
        <w:numPr>
          <w:ilvl w:val="0"/>
          <w:numId w:val="1"/>
        </w:numPr>
      </w:pPr>
      <w:r w:rsidRPr="003136E5">
        <w:t>comprise 76.4% of all Queensland clients seeking government-funded specialist homelessness services due to domestic and family violence in 2013–14 – nationally 83.6%</w:t>
      </w:r>
      <w:r>
        <w:t>.</w:t>
      </w:r>
    </w:p>
    <w:p w:rsidR="005A555B" w:rsidRPr="00CE6531" w:rsidRDefault="005A555B" w:rsidP="00CE6531"/>
    <w:sectPr w:rsidR="005A555B" w:rsidRPr="00CE6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0EC8"/>
    <w:multiLevelType w:val="hybridMultilevel"/>
    <w:tmpl w:val="47C0F6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61EF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B6"/>
    <w:rsid w:val="00000774"/>
    <w:rsid w:val="0016608E"/>
    <w:rsid w:val="00395187"/>
    <w:rsid w:val="005A555B"/>
    <w:rsid w:val="006A7DB6"/>
    <w:rsid w:val="00CE6531"/>
    <w:rsid w:val="00D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B8044-B428-4FC3-BBB9-4147FFD8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DB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DB6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DB6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7DB6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7DB6"/>
    <w:rPr>
      <w:rFonts w:ascii="Cambria" w:eastAsia="Malgun Gothic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Strategy report card - safety</vt:lpstr>
    </vt:vector>
  </TitlesOfParts>
  <Company>Department of Communities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Strategy report card - safety</dc:title>
  <dc:subject>Queensland Women's Strategy report card - safety</dc:subject>
  <dc:creator>Queensland Government</dc:creator>
  <cp:keywords>Queensland Women's Strategy, report card, safety, violence against women</cp:keywords>
  <cp:lastModifiedBy>Joanne Boyd</cp:lastModifiedBy>
  <cp:revision>2</cp:revision>
  <dcterms:created xsi:type="dcterms:W3CDTF">2021-03-30T00:09:00Z</dcterms:created>
  <dcterms:modified xsi:type="dcterms:W3CDTF">2021-03-30T00:09:00Z</dcterms:modified>
</cp:coreProperties>
</file>