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2F4F" w:rsidRPr="00562F4F" w:rsidRDefault="00562F4F" w:rsidP="00562F4F">
      <w:pPr>
        <w:rPr>
          <w:rFonts w:ascii="Arial" w:hAnsi="Arial"/>
          <w:sz w:val="22"/>
          <w:szCs w:val="22"/>
        </w:rPr>
      </w:pPr>
      <w:r w:rsidRPr="00562F4F">
        <w:rPr>
          <w:noProof/>
          <w:sz w:val="22"/>
          <w:szCs w:val="22"/>
          <w:lang w:val="en-AU" w:eastAsia="en-AU"/>
        </w:rPr>
        <mc:AlternateContent>
          <mc:Choice Requires="wps">
            <w:drawing>
              <wp:anchor distT="0" distB="0" distL="114300" distR="114300" simplePos="0" relativeHeight="251663360" behindDoc="0" locked="0" layoutInCell="1" allowOverlap="1" wp14:anchorId="390C80FB" wp14:editId="2FBCE02C">
                <wp:simplePos x="0" y="0"/>
                <wp:positionH relativeFrom="column">
                  <wp:posOffset>1647520</wp:posOffset>
                </wp:positionH>
                <wp:positionV relativeFrom="page">
                  <wp:posOffset>900202</wp:posOffset>
                </wp:positionV>
                <wp:extent cx="4711700" cy="321310"/>
                <wp:effectExtent l="0" t="0" r="0" b="2540"/>
                <wp:wrapSquare wrapText="bothSides"/>
                <wp:docPr id="29" name="Text Box 29"/>
                <wp:cNvGraphicFramePr/>
                <a:graphic xmlns:a="http://schemas.openxmlformats.org/drawingml/2006/main">
                  <a:graphicData uri="http://schemas.microsoft.com/office/word/2010/wordprocessingShape">
                    <wps:wsp>
                      <wps:cNvSpPr txBox="1"/>
                      <wps:spPr>
                        <a:xfrm>
                          <a:off x="0" y="0"/>
                          <a:ext cx="4711700" cy="32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562F4F" w:rsidRPr="00071CF1" w:rsidRDefault="00562F4F" w:rsidP="00562F4F">
                            <w:pPr>
                              <w:rPr>
                                <w:rFonts w:ascii="Arial" w:hAnsi="Arial"/>
                                <w:b/>
                                <w:lang w:val="en-AU"/>
                              </w:rPr>
                            </w:pPr>
                            <w:r>
                              <w:rPr>
                                <w:rFonts w:ascii="Arial" w:hAnsi="Arial"/>
                                <w:b/>
                                <w:lang w:val="en-AU"/>
                              </w:rPr>
                              <w:t>GENDER EQUALITY — HOW QUEENSLAND IS FARING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0C80FB" id="_x0000_t202" coordsize="21600,21600" o:spt="202" path="m,l,21600r21600,l21600,xe">
                <v:stroke joinstyle="miter"/>
                <v:path gradientshapeok="t" o:connecttype="rect"/>
              </v:shapetype>
              <v:shape id="Text Box 29" o:spid="_x0000_s1026" type="#_x0000_t202" style="position:absolute;margin-left:129.75pt;margin-top:70.9pt;width:371pt;height:25.3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" filled="f" stroked="f">
                <v:textbox>
                  <w:txbxContent>
                    <w:p w:rsidR="00562F4F" w:rsidRPr="00071CF1" w:rsidRDefault="00562F4F" w:rsidP="00562F4F">
                      <w:pPr>
                        <w:rPr>
                          <w:rFonts w:ascii="Arial" w:hAnsi="Arial"/>
                          <w:b/>
                          <w:lang w:val="en-AU"/>
                        </w:rPr>
                      </w:pPr>
                      <w:r>
                        <w:rPr>
                          <w:rFonts w:ascii="Arial" w:hAnsi="Arial"/>
                          <w:b/>
                          <w:lang w:val="en-AU"/>
                        </w:rPr>
                        <w:t>GENDER EQUALITY — HOW QUEENSLAND IS FARING</w:t>
                      </w:r>
                    </w:p>
                  </w:txbxContent>
                </v:textbox>
                <w10:wrap type="square" anchory="page"/>
              </v:shape>
            </w:pict>
          </mc:Fallback>
        </mc:AlternateContent>
      </w: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sz w:val="22"/>
          <w:szCs w:val="22"/>
        </w:rPr>
      </w:pPr>
    </w:p>
    <w:p w:rsidR="00562F4F" w:rsidRPr="00562F4F" w:rsidRDefault="00562F4F" w:rsidP="00562F4F">
      <w:pPr>
        <w:rPr>
          <w:rFonts w:ascii="Arial" w:hAnsi="Arial" w:cs="Arial"/>
          <w:b/>
          <w:sz w:val="22"/>
          <w:szCs w:val="22"/>
        </w:rPr>
        <w:sectPr w:rsidR="00562F4F" w:rsidRPr="00562F4F" w:rsidSect="00456A95">
          <w:headerReference w:type="even" r:id="rId8"/>
          <w:headerReference w:type="default" r:id="rId9"/>
          <w:footerReference w:type="even" r:id="rId10"/>
          <w:footerReference w:type="default" r:id="rId11"/>
          <w:headerReference w:type="first" r:id="rId12"/>
          <w:footerReference w:type="first" r:id="rId13"/>
          <w:pgSz w:w="11900" w:h="16840"/>
          <w:pgMar w:top="1843" w:right="1127" w:bottom="1440" w:left="1276" w:header="708" w:footer="708" w:gutter="0"/>
          <w:cols w:space="708"/>
          <w:titlePg/>
          <w:docGrid w:linePitch="360"/>
        </w:sectPr>
      </w:pPr>
    </w:p>
    <w:p w:rsidR="00562F4F" w:rsidRPr="00562F4F" w:rsidRDefault="00562F4F" w:rsidP="00654F1E">
      <w:pPr>
        <w:spacing w:after="120"/>
        <w:rPr>
          <w:rFonts w:ascii="Arial" w:hAnsi="Arial" w:cs="Arial"/>
          <w:sz w:val="22"/>
          <w:szCs w:val="22"/>
        </w:rPr>
      </w:pPr>
      <w:r w:rsidRPr="00562F4F">
        <w:rPr>
          <w:rFonts w:ascii="Arial" w:hAnsi="Arial" w:cs="Arial"/>
          <w:b/>
          <w:sz w:val="22"/>
          <w:szCs w:val="22"/>
        </w:rPr>
        <w:t>Feelings of safety</w:t>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Both females and males largely did not experience physical assault or threat, with only 2.</w:t>
      </w:r>
      <w:r w:rsidRPr="00562F4F">
        <w:rPr>
          <w:rFonts w:ascii="Arial" w:eastAsia="Arial Unicode MS" w:hAnsi="Arial" w:cs="Arial"/>
          <w:sz w:val="22"/>
          <w:szCs w:val="22"/>
        </w:rPr>
        <w:t>4% of</w:t>
      </w:r>
      <w:r w:rsidRPr="00562F4F">
        <w:rPr>
          <w:rFonts w:ascii="Arial" w:hAnsi="Arial" w:cs="Arial"/>
          <w:sz w:val="22"/>
          <w:szCs w:val="22"/>
        </w:rPr>
        <w:t xml:space="preserve"> females and 2.7% of males aged 15 years and over experiencing physical assault</w:t>
      </w:r>
      <w:r w:rsidRPr="00562F4F">
        <w:rPr>
          <w:rFonts w:ascii="Arial" w:hAnsi="Arial" w:cs="Arial"/>
          <w:sz w:val="22"/>
          <w:szCs w:val="22"/>
          <w:vertAlign w:val="superscript"/>
        </w:rPr>
        <w:endnoteReference w:id="1"/>
      </w:r>
      <w:r w:rsidRPr="00562F4F">
        <w:rPr>
          <w:rFonts w:ascii="Arial" w:hAnsi="Arial" w:cs="Arial"/>
          <w:sz w:val="22"/>
          <w:szCs w:val="22"/>
        </w:rPr>
        <w:t xml:space="preserve"> in 2015-16. However, females (3.4%) were slightly more likely than males (2.5%) to experience threatened physical assault</w:t>
      </w:r>
      <w:r w:rsidRPr="00562F4F">
        <w:rPr>
          <w:rFonts w:ascii="Arial" w:hAnsi="Arial" w:cs="Arial"/>
          <w:sz w:val="22"/>
          <w:szCs w:val="22"/>
          <w:vertAlign w:val="superscript"/>
        </w:rPr>
        <w:endnoteReference w:id="2"/>
      </w:r>
      <w:r w:rsidRPr="00562F4F">
        <w:rPr>
          <w:rFonts w:ascii="Arial" w:hAnsi="Arial" w:cs="Arial"/>
          <w:sz w:val="22"/>
          <w:szCs w:val="22"/>
        </w:rPr>
        <w:t xml:space="preserve"> (both face-to-face</w:t>
      </w:r>
      <w:r w:rsidRPr="00562F4F">
        <w:rPr>
          <w:rFonts w:ascii="Arial" w:hAnsi="Arial" w:cs="Arial"/>
          <w:sz w:val="22"/>
          <w:szCs w:val="22"/>
          <w:vertAlign w:val="superscript"/>
        </w:rPr>
        <w:endnoteReference w:id="3"/>
      </w:r>
      <w:r w:rsidRPr="00562F4F">
        <w:rPr>
          <w:rFonts w:ascii="Arial" w:hAnsi="Arial" w:cs="Arial"/>
          <w:sz w:val="22"/>
          <w:szCs w:val="22"/>
        </w:rPr>
        <w:t xml:space="preserve"> and </w:t>
      </w:r>
      <w:r w:rsidR="00654F1E" w:rsidRPr="00562F4F">
        <w:rPr>
          <w:rFonts w:ascii="Arial" w:hAnsi="Arial" w:cs="Arial"/>
          <w:sz w:val="22"/>
          <w:szCs w:val="22"/>
        </w:rPr>
        <w:t>non-face-to-face</w:t>
      </w:r>
      <w:r w:rsidRPr="00562F4F">
        <w:rPr>
          <w:rFonts w:ascii="Arial" w:hAnsi="Arial" w:cs="Arial"/>
          <w:sz w:val="22"/>
          <w:szCs w:val="22"/>
        </w:rPr>
        <w:t xml:space="preserve"> incidents</w:t>
      </w:r>
      <w:r w:rsidRPr="00562F4F">
        <w:rPr>
          <w:rFonts w:ascii="Arial" w:hAnsi="Arial" w:cs="Arial"/>
          <w:sz w:val="22"/>
          <w:szCs w:val="22"/>
          <w:vertAlign w:val="superscript"/>
        </w:rPr>
        <w:endnoteReference w:id="4"/>
      </w:r>
      <w:r w:rsidRPr="00562F4F">
        <w:rPr>
          <w:rFonts w:ascii="Arial" w:hAnsi="Arial" w:cs="Arial"/>
          <w:sz w:val="22"/>
          <w:szCs w:val="22"/>
        </w:rPr>
        <w:t xml:space="preserve"> such as SMS, email or over the phone). </w:t>
      </w:r>
      <w:r w:rsidRPr="00562F4F">
        <w:rPr>
          <w:rFonts w:ascii="Arial" w:hAnsi="Arial" w:cs="Arial"/>
          <w:sz w:val="22"/>
          <w:szCs w:val="22"/>
          <w:vertAlign w:val="superscript"/>
        </w:rPr>
        <w:endnoteReference w:id="5"/>
      </w:r>
      <w:r w:rsidRPr="00562F4F">
        <w:rPr>
          <w:rFonts w:ascii="Arial" w:hAnsi="Arial" w:cs="Arial"/>
          <w:sz w:val="22"/>
          <w:szCs w:val="22"/>
        </w:rPr>
        <w:t xml:space="preserve"> </w:t>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Most females were less likely than males to feel safe alone after dark at home or in local area:</w:t>
      </w:r>
    </w:p>
    <w:p w:rsidR="00562F4F" w:rsidRPr="00562F4F" w:rsidRDefault="00562F4F" w:rsidP="00654F1E">
      <w:pPr>
        <w:numPr>
          <w:ilvl w:val="0"/>
          <w:numId w:val="11"/>
        </w:numPr>
        <w:spacing w:after="120"/>
        <w:rPr>
          <w:rFonts w:ascii="Arial" w:hAnsi="Arial" w:cs="Arial"/>
          <w:sz w:val="22"/>
          <w:szCs w:val="22"/>
        </w:rPr>
      </w:pPr>
      <w:r w:rsidRPr="00562F4F">
        <w:rPr>
          <w:rFonts w:ascii="Arial" w:hAnsi="Arial" w:cs="Arial"/>
          <w:sz w:val="22"/>
          <w:szCs w:val="22"/>
        </w:rPr>
        <w:t>84.1% of females, compared with 94.1% of males felt safe or very safe at home alone after dark in 2014.</w:t>
      </w:r>
      <w:r w:rsidRPr="00562F4F">
        <w:rPr>
          <w:vertAlign w:val="superscript"/>
        </w:rPr>
        <w:endnoteReference w:id="6"/>
      </w:r>
    </w:p>
    <w:p w:rsidR="00361D12" w:rsidRPr="00361D12" w:rsidRDefault="00562F4F" w:rsidP="00654F1E">
      <w:pPr>
        <w:numPr>
          <w:ilvl w:val="0"/>
          <w:numId w:val="11"/>
        </w:numPr>
        <w:spacing w:after="120"/>
        <w:ind w:left="357" w:hanging="357"/>
        <w:rPr>
          <w:rFonts w:ascii="Arial" w:hAnsi="Arial" w:cs="Arial"/>
          <w:sz w:val="22"/>
          <w:szCs w:val="22"/>
        </w:rPr>
      </w:pPr>
      <w:r w:rsidRPr="00562F4F">
        <w:rPr>
          <w:rFonts w:ascii="Arial" w:hAnsi="Arial" w:cs="Arial"/>
          <w:sz w:val="22"/>
          <w:szCs w:val="22"/>
        </w:rPr>
        <w:t>32.6% of females reported feeling safe or very safe walking alone in local area after dark, compared with 69.6% of males.</w:t>
      </w:r>
      <w:r w:rsidRPr="00562F4F">
        <w:rPr>
          <w:vertAlign w:val="superscript"/>
        </w:rPr>
        <w:endnoteReference w:id="7"/>
      </w:r>
    </w:p>
    <w:p w:rsidR="00562F4F" w:rsidRPr="00562F4F" w:rsidRDefault="00562F4F" w:rsidP="00654F1E">
      <w:pPr>
        <w:spacing w:before="240" w:after="120"/>
        <w:rPr>
          <w:rFonts w:ascii="Arial" w:hAnsi="Arial" w:cs="Arial"/>
          <w:b/>
          <w:sz w:val="22"/>
          <w:szCs w:val="22"/>
        </w:rPr>
      </w:pPr>
      <w:r w:rsidRPr="00562F4F">
        <w:rPr>
          <w:rFonts w:ascii="Arial" w:hAnsi="Arial" w:cs="Arial"/>
          <w:b/>
          <w:sz w:val="22"/>
          <w:szCs w:val="22"/>
        </w:rPr>
        <w:t>Victims of offences</w:t>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Females were slightly more likely to be the victims of offences against the person</w:t>
      </w:r>
      <w:r w:rsidR="00654F1E">
        <w:rPr>
          <w:rFonts w:ascii="Arial" w:hAnsi="Arial" w:cs="Arial"/>
          <w:sz w:val="22"/>
          <w:szCs w:val="22"/>
        </w:rPr>
        <w:t xml:space="preserve"> —</w:t>
      </w:r>
      <w:r w:rsidRPr="00562F4F">
        <w:rPr>
          <w:rFonts w:ascii="Arial" w:hAnsi="Arial" w:cs="Arial"/>
          <w:sz w:val="22"/>
          <w:szCs w:val="22"/>
          <w:lang w:eastAsia="ko-KR"/>
        </w:rPr>
        <w:t>homicide, assault, sexual offences, robbery, kidnapping and abduction, extortion, stalking and life endangering acts</w:t>
      </w:r>
      <w:r w:rsidRPr="00562F4F">
        <w:rPr>
          <w:rFonts w:ascii="Arial" w:hAnsi="Arial" w:cs="Arial"/>
          <w:sz w:val="22"/>
          <w:szCs w:val="22"/>
          <w:vertAlign w:val="superscript"/>
        </w:rPr>
        <w:endnoteReference w:id="8"/>
      </w:r>
      <w:r w:rsidR="00654F1E">
        <w:rPr>
          <w:rFonts w:ascii="Arial" w:hAnsi="Arial" w:cs="Arial"/>
          <w:sz w:val="22"/>
          <w:szCs w:val="22"/>
          <w:lang w:eastAsia="ko-KR"/>
        </w:rPr>
        <w:t>—</w:t>
      </w:r>
      <w:r w:rsidRPr="00562F4F">
        <w:rPr>
          <w:rFonts w:ascii="Arial" w:hAnsi="Arial" w:cs="Arial"/>
          <w:sz w:val="22"/>
          <w:szCs w:val="22"/>
        </w:rPr>
        <w:t xml:space="preserve"> with females making up 51.0% victims in 2015-16.</w:t>
      </w:r>
      <w:r w:rsidRPr="00562F4F">
        <w:rPr>
          <w:rFonts w:ascii="Arial" w:hAnsi="Arial" w:cs="Arial"/>
          <w:sz w:val="22"/>
          <w:szCs w:val="22"/>
          <w:vertAlign w:val="superscript"/>
        </w:rPr>
        <w:endnoteReference w:id="9"/>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Females in the younger age groups were more likely to be victims of offences against person on a per capita basis in 2015-16</w:t>
      </w:r>
      <w:r w:rsidR="00654F1E">
        <w:rPr>
          <w:rFonts w:ascii="Arial" w:hAnsi="Arial" w:cs="Arial"/>
          <w:sz w:val="22"/>
          <w:szCs w:val="22"/>
        </w:rPr>
        <w:t>.</w:t>
      </w:r>
      <w:r w:rsidRPr="00562F4F">
        <w:rPr>
          <w:rFonts w:ascii="Arial" w:hAnsi="Arial" w:cs="Arial"/>
          <w:sz w:val="22"/>
          <w:szCs w:val="22"/>
          <w:vertAlign w:val="superscript"/>
        </w:rPr>
        <w:endnoteReference w:id="10"/>
      </w:r>
      <w:r w:rsidR="00654F1E">
        <w:rPr>
          <w:rFonts w:ascii="Arial" w:hAnsi="Arial" w:cs="Arial"/>
          <w:sz w:val="22"/>
          <w:szCs w:val="22"/>
        </w:rPr>
        <w:t xml:space="preserve"> </w:t>
      </w:r>
      <w:r w:rsidRPr="00562F4F">
        <w:rPr>
          <w:rFonts w:ascii="Arial" w:hAnsi="Arial" w:cs="Arial"/>
          <w:sz w:val="22"/>
          <w:szCs w:val="22"/>
        </w:rPr>
        <w:t>Females aged:</w:t>
      </w:r>
    </w:p>
    <w:p w:rsidR="00562F4F" w:rsidRPr="00562F4F" w:rsidRDefault="00562F4F" w:rsidP="00654F1E">
      <w:pPr>
        <w:numPr>
          <w:ilvl w:val="0"/>
          <w:numId w:val="12"/>
        </w:numPr>
        <w:spacing w:after="120"/>
        <w:rPr>
          <w:rFonts w:ascii="Arial" w:hAnsi="Arial" w:cs="Arial"/>
          <w:sz w:val="22"/>
          <w:szCs w:val="22"/>
        </w:rPr>
      </w:pPr>
      <w:r w:rsidRPr="00562F4F">
        <w:rPr>
          <w:rFonts w:ascii="Arial" w:hAnsi="Arial" w:cs="Arial"/>
          <w:sz w:val="22"/>
          <w:szCs w:val="22"/>
        </w:rPr>
        <w:t>15-19 years were the most common victims of offences in all age groups for both females and males at the rate of 1,686 victims per 100,000 of the female 15-19 years population, compared with 901.1 victims per 100,000 of the male 15-19 years population.</w:t>
      </w:r>
    </w:p>
    <w:p w:rsidR="00562F4F" w:rsidRPr="00562F4F" w:rsidRDefault="00562F4F" w:rsidP="00654F1E">
      <w:pPr>
        <w:numPr>
          <w:ilvl w:val="0"/>
          <w:numId w:val="12"/>
        </w:numPr>
        <w:spacing w:after="120"/>
        <w:ind w:left="357" w:hanging="357"/>
        <w:rPr>
          <w:rFonts w:ascii="Arial" w:hAnsi="Arial" w:cs="Arial"/>
          <w:sz w:val="22"/>
          <w:szCs w:val="22"/>
        </w:rPr>
      </w:pPr>
      <w:r w:rsidRPr="00562F4F">
        <w:rPr>
          <w:rFonts w:ascii="Arial" w:hAnsi="Arial" w:cs="Arial"/>
          <w:sz w:val="22"/>
          <w:szCs w:val="22"/>
        </w:rPr>
        <w:t xml:space="preserve">10-14 years were the second largest cohort of victims of offences in all age </w:t>
      </w:r>
      <w:r w:rsidRPr="00562F4F">
        <w:rPr>
          <w:rFonts w:ascii="Arial" w:hAnsi="Arial" w:cs="Arial"/>
          <w:sz w:val="22"/>
          <w:szCs w:val="22"/>
        </w:rPr>
        <w:t>groups for both females and males at the rate of 1</w:t>
      </w:r>
      <w:r w:rsidR="00654F1E">
        <w:rPr>
          <w:rFonts w:ascii="Arial" w:hAnsi="Arial" w:cs="Arial"/>
          <w:sz w:val="22"/>
          <w:szCs w:val="22"/>
        </w:rPr>
        <w:t>,</w:t>
      </w:r>
      <w:r w:rsidRPr="00562F4F">
        <w:rPr>
          <w:rFonts w:ascii="Arial" w:hAnsi="Arial" w:cs="Arial"/>
          <w:sz w:val="22"/>
          <w:szCs w:val="22"/>
        </w:rPr>
        <w:t xml:space="preserve">287.8 victims per 100,000 of the female 10-14 years population, compared with 776.9 victims per 100,000 of the male 10-14 years population. </w:t>
      </w:r>
    </w:p>
    <w:p w:rsidR="00562F4F" w:rsidRPr="00562F4F" w:rsidRDefault="00562F4F" w:rsidP="00654F1E">
      <w:pPr>
        <w:spacing w:before="240" w:after="120"/>
        <w:rPr>
          <w:rFonts w:ascii="Arial" w:hAnsi="Arial" w:cs="Arial"/>
          <w:b/>
          <w:sz w:val="22"/>
          <w:szCs w:val="22"/>
        </w:rPr>
      </w:pPr>
      <w:r w:rsidRPr="00562F4F">
        <w:rPr>
          <w:rFonts w:ascii="Arial" w:hAnsi="Arial" w:cs="Arial"/>
          <w:b/>
          <w:sz w:val="22"/>
          <w:szCs w:val="22"/>
        </w:rPr>
        <w:t>Sexual offences and stalking</w:t>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Females constituted 82.4% of victims of sexual offences</w:t>
      </w:r>
      <w:r w:rsidRPr="00562F4F">
        <w:rPr>
          <w:rFonts w:ascii="Arial" w:hAnsi="Arial" w:cs="Arial"/>
          <w:sz w:val="22"/>
          <w:szCs w:val="22"/>
          <w:vertAlign w:val="superscript"/>
        </w:rPr>
        <w:endnoteReference w:id="11"/>
      </w:r>
      <w:r w:rsidRPr="00562F4F">
        <w:rPr>
          <w:rFonts w:ascii="Arial" w:hAnsi="Arial" w:cs="Arial"/>
          <w:sz w:val="22"/>
          <w:szCs w:val="22"/>
        </w:rPr>
        <w:t xml:space="preserve"> in 2015-16</w:t>
      </w:r>
      <w:r w:rsidRPr="00562F4F">
        <w:rPr>
          <w:rFonts w:ascii="Arial" w:hAnsi="Arial" w:cs="Arial"/>
          <w:sz w:val="22"/>
          <w:szCs w:val="22"/>
          <w:vertAlign w:val="superscript"/>
        </w:rPr>
        <w:endnoteReference w:id="12"/>
      </w:r>
      <w:r w:rsidRPr="00562F4F">
        <w:rPr>
          <w:rFonts w:ascii="Arial" w:hAnsi="Arial" w:cs="Arial"/>
          <w:sz w:val="22"/>
          <w:szCs w:val="22"/>
        </w:rPr>
        <w:t>, and 80.9% of Aboriginal and Torres Strait Islander victims of sexual assault</w:t>
      </w:r>
      <w:r w:rsidRPr="00562F4F" w:rsidDel="008775DD">
        <w:rPr>
          <w:rFonts w:ascii="Arial" w:hAnsi="Arial" w:cs="Arial"/>
          <w:sz w:val="22"/>
          <w:szCs w:val="22"/>
        </w:rPr>
        <w:t xml:space="preserve"> </w:t>
      </w:r>
      <w:r w:rsidRPr="00562F4F">
        <w:rPr>
          <w:rFonts w:ascii="Arial" w:hAnsi="Arial" w:cs="Arial"/>
          <w:sz w:val="22"/>
          <w:szCs w:val="22"/>
        </w:rPr>
        <w:t>in 2015</w:t>
      </w:r>
      <w:r w:rsidRPr="00562F4F">
        <w:rPr>
          <w:rFonts w:ascii="Arial" w:hAnsi="Arial" w:cs="Arial"/>
          <w:sz w:val="22"/>
          <w:szCs w:val="22"/>
          <w:vertAlign w:val="superscript"/>
        </w:rPr>
        <w:endnoteReference w:id="13"/>
      </w:r>
      <w:r w:rsidRPr="00562F4F">
        <w:rPr>
          <w:rFonts w:ascii="Arial" w:hAnsi="Arial" w:cs="Arial"/>
          <w:sz w:val="22"/>
          <w:szCs w:val="22"/>
        </w:rPr>
        <w:t>. Nationally, 82.3% of sexual assault</w:t>
      </w:r>
      <w:r w:rsidRPr="00562F4F">
        <w:rPr>
          <w:rFonts w:ascii="Arial" w:hAnsi="Arial" w:cs="Arial"/>
          <w:sz w:val="22"/>
          <w:szCs w:val="22"/>
          <w:vertAlign w:val="superscript"/>
        </w:rPr>
        <w:endnoteReference w:id="14"/>
      </w:r>
      <w:r w:rsidRPr="00562F4F">
        <w:rPr>
          <w:rFonts w:ascii="Arial" w:hAnsi="Arial" w:cs="Arial"/>
          <w:sz w:val="22"/>
          <w:szCs w:val="22"/>
        </w:rPr>
        <w:t xml:space="preserve"> victims were female in 2015.</w:t>
      </w:r>
      <w:r w:rsidRPr="00562F4F">
        <w:rPr>
          <w:rFonts w:ascii="Arial" w:hAnsi="Arial" w:cs="Arial"/>
          <w:sz w:val="22"/>
          <w:szCs w:val="22"/>
          <w:vertAlign w:val="superscript"/>
        </w:rPr>
        <w:endnoteReference w:id="15"/>
      </w:r>
    </w:p>
    <w:p w:rsidR="00562F4F" w:rsidRPr="00562F4F" w:rsidRDefault="00562F4F" w:rsidP="00654F1E">
      <w:pPr>
        <w:spacing w:after="120"/>
        <w:rPr>
          <w:rFonts w:ascii="Arial" w:hAnsi="Arial" w:cs="Arial"/>
          <w:sz w:val="22"/>
          <w:szCs w:val="22"/>
        </w:rPr>
      </w:pPr>
      <w:r w:rsidRPr="00562F4F">
        <w:rPr>
          <w:rFonts w:ascii="Arial" w:hAnsi="Arial" w:cs="Arial"/>
          <w:sz w:val="22"/>
          <w:szCs w:val="22"/>
        </w:rPr>
        <w:t xml:space="preserve">Females in all age groups were considerably more likely than males to be victims of sexual offences with females </w:t>
      </w:r>
      <w:r w:rsidR="007A0B06">
        <w:rPr>
          <w:rFonts w:ascii="Arial" w:hAnsi="Arial" w:cs="Arial"/>
          <w:sz w:val="22"/>
          <w:szCs w:val="22"/>
        </w:rPr>
        <w:t xml:space="preserve">in the </w:t>
      </w:r>
      <w:r w:rsidRPr="00562F4F">
        <w:rPr>
          <w:rFonts w:ascii="Arial" w:hAnsi="Arial" w:cs="Arial"/>
          <w:sz w:val="22"/>
          <w:szCs w:val="22"/>
        </w:rPr>
        <w:t>15-19 year</w:t>
      </w:r>
      <w:r w:rsidR="007A0B06">
        <w:rPr>
          <w:rFonts w:ascii="Arial" w:hAnsi="Arial" w:cs="Arial"/>
          <w:sz w:val="22"/>
          <w:szCs w:val="22"/>
        </w:rPr>
        <w:t xml:space="preserve"> age group being the most likely to be a victim. In this age group, 89.5% of victims</w:t>
      </w:r>
      <w:r w:rsidR="00654F1E">
        <w:rPr>
          <w:rFonts w:ascii="Arial" w:hAnsi="Arial" w:cs="Arial"/>
          <w:sz w:val="22"/>
          <w:szCs w:val="22"/>
        </w:rPr>
        <w:t xml:space="preserve"> were female</w:t>
      </w:r>
      <w:r w:rsidR="007A0B06">
        <w:rPr>
          <w:rFonts w:ascii="Arial" w:hAnsi="Arial" w:cs="Arial"/>
          <w:sz w:val="22"/>
          <w:szCs w:val="22"/>
        </w:rPr>
        <w:t xml:space="preserve"> in 2015-16</w:t>
      </w:r>
      <w:r w:rsidRPr="00562F4F">
        <w:rPr>
          <w:rFonts w:ascii="Arial" w:hAnsi="Arial" w:cs="Arial"/>
          <w:sz w:val="22"/>
          <w:szCs w:val="22"/>
        </w:rPr>
        <w:t>.</w:t>
      </w:r>
      <w:r w:rsidRPr="00562F4F">
        <w:rPr>
          <w:rFonts w:ascii="Arial" w:hAnsi="Arial" w:cs="Arial"/>
          <w:sz w:val="22"/>
          <w:szCs w:val="22"/>
          <w:vertAlign w:val="superscript"/>
        </w:rPr>
        <w:endnoteReference w:id="16"/>
      </w:r>
    </w:p>
    <w:p w:rsidR="00C56E7A" w:rsidRDefault="00C56E7A" w:rsidP="002D4C87">
      <w:pPr>
        <w:spacing w:after="120"/>
        <w:rPr>
          <w:rFonts w:ascii="Arial" w:hAnsi="Arial" w:cs="Arial"/>
          <w:sz w:val="22"/>
          <w:szCs w:val="22"/>
        </w:rPr>
      </w:pPr>
      <w:r>
        <w:rPr>
          <w:noProof/>
          <w:lang w:val="en-AU" w:eastAsia="en-AU"/>
        </w:rPr>
        <mc:AlternateContent>
          <mc:Choice Requires="wps">
            <w:drawing>
              <wp:anchor distT="0" distB="0" distL="114300" distR="114300" simplePos="0" relativeHeight="251674624" behindDoc="1" locked="0" layoutInCell="1" allowOverlap="1" wp14:anchorId="384C70F7" wp14:editId="67967A03">
                <wp:simplePos x="0" y="0"/>
                <wp:positionH relativeFrom="margin">
                  <wp:posOffset>4712715</wp:posOffset>
                </wp:positionH>
                <wp:positionV relativeFrom="paragraph">
                  <wp:posOffset>234188</wp:posOffset>
                </wp:positionV>
                <wp:extent cx="1294587" cy="1484986"/>
                <wp:effectExtent l="0" t="0" r="1270" b="1270"/>
                <wp:wrapNone/>
                <wp:docPr id="35" name="Text Box 35"/>
                <wp:cNvGraphicFramePr/>
                <a:graphic xmlns:a="http://schemas.openxmlformats.org/drawingml/2006/main">
                  <a:graphicData uri="http://schemas.microsoft.com/office/word/2010/wordprocessingShape">
                    <wps:wsp>
                      <wps:cNvSpPr txBox="1"/>
                      <wps:spPr>
                        <a:xfrm>
                          <a:off x="0" y="0"/>
                          <a:ext cx="1294587" cy="1484986"/>
                        </a:xfrm>
                        <a:prstGeom prst="rect">
                          <a:avLst/>
                        </a:prstGeom>
                        <a:solidFill>
                          <a:sysClr val="window" lastClr="FFFFFF"/>
                        </a:solidFill>
                        <a:ln w="6350">
                          <a:noFill/>
                        </a:ln>
                        <a:effectLst/>
                      </wps:spPr>
                      <wps:txbx>
                        <w:txbxContent>
                          <w:p w:rsidR="00361D12" w:rsidRPr="00361D12" w:rsidRDefault="00A762EB" w:rsidP="00361D12">
                            <w:pPr>
                              <w:rPr>
                                <w:rFonts w:ascii="Arial" w:hAnsi="Arial" w:cs="Arial"/>
                                <w:color w:val="D7AA96"/>
                              </w:rPr>
                            </w:pPr>
                            <w:r>
                              <w:rPr>
                                <w:rFonts w:ascii="Arial" w:hAnsi="Arial" w:cs="Arial"/>
                                <w:color w:val="EDA78F"/>
                              </w:rPr>
                              <w:t xml:space="preserve">In the 15-19 year age group, </w:t>
                            </w:r>
                            <w:r>
                              <w:rPr>
                                <w:rFonts w:ascii="Arial" w:hAnsi="Arial" w:cs="Arial"/>
                                <w:b/>
                                <w:color w:val="DF571D"/>
                                <w:sz w:val="32"/>
                              </w:rPr>
                              <w:t xml:space="preserve">9 in 10 </w:t>
                            </w:r>
                            <w:r w:rsidR="003138C7">
                              <w:rPr>
                                <w:rFonts w:ascii="Arial" w:hAnsi="Arial" w:cs="Arial"/>
                                <w:color w:val="EDA78F"/>
                              </w:rPr>
                              <w:t>victims of sexual offence</w:t>
                            </w:r>
                            <w:r w:rsidR="00942297">
                              <w:rPr>
                                <w:rFonts w:ascii="Arial" w:hAnsi="Arial" w:cs="Arial"/>
                                <w:color w:val="EDA78F"/>
                              </w:rPr>
                              <w:t>s</w:t>
                            </w:r>
                            <w:r w:rsidR="003138C7">
                              <w:rPr>
                                <w:rFonts w:ascii="Arial" w:hAnsi="Arial" w:cs="Arial"/>
                                <w:color w:val="EDA78F"/>
                              </w:rPr>
                              <w:t xml:space="preserve"> </w:t>
                            </w:r>
                            <w:r w:rsidR="002D4C87">
                              <w:rPr>
                                <w:rFonts w:ascii="Arial" w:hAnsi="Arial" w:cs="Arial"/>
                                <w:color w:val="EDA78F"/>
                              </w:rPr>
                              <w:t xml:space="preserve">were female </w:t>
                            </w:r>
                            <w:r w:rsidR="003138C7">
                              <w:rPr>
                                <w:rFonts w:ascii="Arial" w:hAnsi="Arial" w:cs="Arial"/>
                                <w:color w:val="EDA78F"/>
                              </w:rPr>
                              <w:t>in 2015-16</w:t>
                            </w:r>
                            <w:r w:rsidR="00942297">
                              <w:rPr>
                                <w:rFonts w:ascii="Arial" w:hAnsi="Arial" w:cs="Arial"/>
                                <w:color w:val="EDA78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70F7" id="Text Box 35" o:spid="_x0000_s1027" type="#_x0000_t202" style="position:absolute;margin-left:371.1pt;margin-top:18.45pt;width:101.95pt;height:116.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" fillcolor="window" stroked="f" strokeweight=".5pt">
                <v:textbox>
                  <w:txbxContent>
                    <w:p w:rsidR="00361D12" w:rsidRPr="00361D12" w:rsidRDefault="00A762EB" w:rsidP="00361D12">
                      <w:pPr>
                        <w:rPr>
                          <w:rFonts w:ascii="Arial" w:hAnsi="Arial" w:cs="Arial"/>
                          <w:color w:val="D7AA96"/>
                        </w:rPr>
                      </w:pPr>
                      <w:r>
                        <w:rPr>
                          <w:rFonts w:ascii="Arial" w:hAnsi="Arial" w:cs="Arial"/>
                          <w:color w:val="EDA78F"/>
                        </w:rPr>
                        <w:t xml:space="preserve">In the 15-19 year age group, </w:t>
                      </w:r>
                      <w:r>
                        <w:rPr>
                          <w:rFonts w:ascii="Arial" w:hAnsi="Arial" w:cs="Arial"/>
                          <w:b/>
                          <w:color w:val="DF571D"/>
                          <w:sz w:val="32"/>
                        </w:rPr>
                        <w:t xml:space="preserve">9 in 10 </w:t>
                      </w:r>
                      <w:r w:rsidR="003138C7">
                        <w:rPr>
                          <w:rFonts w:ascii="Arial" w:hAnsi="Arial" w:cs="Arial"/>
                          <w:color w:val="EDA78F"/>
                        </w:rPr>
                        <w:t>victims of sexual offence</w:t>
                      </w:r>
                      <w:r w:rsidR="00942297">
                        <w:rPr>
                          <w:rFonts w:ascii="Arial" w:hAnsi="Arial" w:cs="Arial"/>
                          <w:color w:val="EDA78F"/>
                        </w:rPr>
                        <w:t>s</w:t>
                      </w:r>
                      <w:r w:rsidR="003138C7">
                        <w:rPr>
                          <w:rFonts w:ascii="Arial" w:hAnsi="Arial" w:cs="Arial"/>
                          <w:color w:val="EDA78F"/>
                        </w:rPr>
                        <w:t xml:space="preserve"> </w:t>
                      </w:r>
                      <w:r w:rsidR="002D4C87">
                        <w:rPr>
                          <w:rFonts w:ascii="Arial" w:hAnsi="Arial" w:cs="Arial"/>
                          <w:color w:val="EDA78F"/>
                        </w:rPr>
                        <w:t xml:space="preserve">were female </w:t>
                      </w:r>
                      <w:r w:rsidR="003138C7">
                        <w:rPr>
                          <w:rFonts w:ascii="Arial" w:hAnsi="Arial" w:cs="Arial"/>
                          <w:color w:val="EDA78F"/>
                        </w:rPr>
                        <w:t>in 2015-16</w:t>
                      </w:r>
                      <w:r w:rsidR="00942297">
                        <w:rPr>
                          <w:rFonts w:ascii="Arial" w:hAnsi="Arial" w:cs="Arial"/>
                          <w:color w:val="EDA78F"/>
                        </w:rPr>
                        <w:t>.</w:t>
                      </w:r>
                    </w:p>
                  </w:txbxContent>
                </v:textbox>
                <w10:wrap anchorx="margin"/>
              </v:shape>
            </w:pict>
          </mc:Fallback>
        </mc:AlternateContent>
      </w:r>
      <w:r>
        <w:rPr>
          <w:noProof/>
          <w:lang w:val="en-AU" w:eastAsia="en-AU"/>
        </w:rPr>
        <w:drawing>
          <wp:inline distT="0" distB="0" distL="0" distR="0" wp14:anchorId="02229484" wp14:editId="03A83BFC">
            <wp:extent cx="1411605" cy="21945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1605" cy="2194560"/>
                    </a:xfrm>
                    <a:prstGeom prst="rect">
                      <a:avLst/>
                    </a:prstGeom>
                  </pic:spPr>
                </pic:pic>
              </a:graphicData>
            </a:graphic>
          </wp:inline>
        </w:drawing>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Of total 2,594 offenders for sexual offences in 2015, 95.1% (or 2,468) were male and 4.9% (or 126) were female</w:t>
      </w:r>
      <w:r w:rsidRPr="00562F4F">
        <w:rPr>
          <w:rFonts w:ascii="Arial" w:hAnsi="Arial" w:cs="Arial"/>
          <w:sz w:val="22"/>
          <w:szCs w:val="22"/>
          <w:vertAlign w:val="superscript"/>
        </w:rPr>
        <w:endnoteReference w:id="17"/>
      </w:r>
      <w:r w:rsidRPr="00562F4F">
        <w:rPr>
          <w:rFonts w:ascii="Arial" w:hAnsi="Arial" w:cs="Arial"/>
          <w:sz w:val="22"/>
          <w:szCs w:val="22"/>
        </w:rPr>
        <w:t>:</w:t>
      </w:r>
    </w:p>
    <w:p w:rsidR="00562F4F" w:rsidRDefault="00562F4F" w:rsidP="002D4C87">
      <w:pPr>
        <w:numPr>
          <w:ilvl w:val="0"/>
          <w:numId w:val="13"/>
        </w:numPr>
        <w:spacing w:after="120"/>
        <w:rPr>
          <w:rFonts w:ascii="Arial" w:hAnsi="Arial" w:cs="Arial"/>
          <w:sz w:val="22"/>
          <w:szCs w:val="22"/>
        </w:rPr>
      </w:pPr>
      <w:r w:rsidRPr="00562F4F">
        <w:rPr>
          <w:rFonts w:ascii="Arial" w:hAnsi="Arial" w:cs="Arial"/>
          <w:sz w:val="22"/>
          <w:szCs w:val="22"/>
        </w:rPr>
        <w:t>Offenders for sexual offences were known to seven in ten (71%) victims in 2015-16, with 37% of victims assaulted by family members (a partner, a former partner, a child or other family members) and 34% by acquaintances, friends, neighbours or colleagues.</w:t>
      </w:r>
      <w:r w:rsidRPr="00562F4F">
        <w:rPr>
          <w:vertAlign w:val="superscript"/>
        </w:rPr>
        <w:endnoteReference w:id="18"/>
      </w:r>
    </w:p>
    <w:p w:rsidR="00562F4F" w:rsidRPr="00562F4F" w:rsidRDefault="00562F4F" w:rsidP="002D4C87">
      <w:pPr>
        <w:spacing w:after="120"/>
        <w:rPr>
          <w:rFonts w:ascii="Arial" w:hAnsi="Arial" w:cs="Arial"/>
          <w:sz w:val="22"/>
          <w:szCs w:val="22"/>
        </w:rPr>
      </w:pPr>
      <w:r w:rsidRPr="00562F4F">
        <w:rPr>
          <w:rFonts w:ascii="Arial" w:hAnsi="Arial" w:cs="Arial"/>
          <w:sz w:val="22"/>
          <w:szCs w:val="22"/>
        </w:rPr>
        <w:lastRenderedPageBreak/>
        <w:t>Females of Aboriginal and Torres Strait Islander origin comprised 11.0% of total female victims of sexual assault in 2015.</w:t>
      </w:r>
      <w:r w:rsidRPr="00562F4F">
        <w:rPr>
          <w:rFonts w:ascii="Arial" w:hAnsi="Arial" w:cs="Arial"/>
          <w:sz w:val="22"/>
          <w:szCs w:val="22"/>
          <w:vertAlign w:val="superscript"/>
        </w:rPr>
        <w:endnoteReference w:id="19"/>
      </w:r>
      <w:r w:rsidRPr="00562F4F">
        <w:rPr>
          <w:rFonts w:ascii="Arial" w:hAnsi="Arial" w:cs="Arial"/>
          <w:sz w:val="22"/>
          <w:szCs w:val="22"/>
        </w:rPr>
        <w:t xml:space="preserve"> Comparable statistics available for other states and territories </w:t>
      </w:r>
      <w:r w:rsidR="002D4C87">
        <w:rPr>
          <w:rFonts w:ascii="Arial" w:hAnsi="Arial" w:cs="Arial"/>
          <w:sz w:val="22"/>
          <w:szCs w:val="22"/>
        </w:rPr>
        <w:t>were</w:t>
      </w:r>
      <w:r w:rsidRPr="00562F4F">
        <w:rPr>
          <w:rFonts w:ascii="Arial" w:hAnsi="Arial" w:cs="Arial"/>
          <w:sz w:val="22"/>
          <w:szCs w:val="22"/>
        </w:rPr>
        <w:t xml:space="preserve"> 7.6% in New South Wales, 7.2% in South Australia and 45.5% in the Northern Territory.</w:t>
      </w:r>
      <w:r w:rsidRPr="00562F4F">
        <w:rPr>
          <w:rFonts w:ascii="Arial" w:hAnsi="Arial" w:cs="Arial"/>
          <w:sz w:val="22"/>
          <w:szCs w:val="22"/>
          <w:vertAlign w:val="superscript"/>
        </w:rPr>
        <w:endnoteReference w:id="20"/>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Females made up 77.2% of victims of stalking in 2015-16, with males constituting 86.6% of all stalking offenders in 2015-16.</w:t>
      </w:r>
      <w:r w:rsidRPr="00562F4F">
        <w:rPr>
          <w:rFonts w:ascii="Arial" w:hAnsi="Arial" w:cs="Arial"/>
          <w:sz w:val="22"/>
          <w:szCs w:val="22"/>
          <w:vertAlign w:val="superscript"/>
        </w:rPr>
        <w:endnoteReference w:id="21"/>
      </w:r>
    </w:p>
    <w:p w:rsidR="00562F4F" w:rsidRPr="003138C7" w:rsidRDefault="00562F4F" w:rsidP="002D4C87">
      <w:pPr>
        <w:spacing w:before="240" w:after="120"/>
        <w:rPr>
          <w:rFonts w:ascii="Arial" w:hAnsi="Arial" w:cs="Arial"/>
          <w:b/>
          <w:sz w:val="22"/>
          <w:szCs w:val="22"/>
        </w:rPr>
      </w:pPr>
      <w:r w:rsidRPr="00562F4F">
        <w:rPr>
          <w:rFonts w:ascii="Arial" w:hAnsi="Arial" w:cs="Arial"/>
          <w:b/>
          <w:sz w:val="22"/>
          <w:szCs w:val="22"/>
        </w:rPr>
        <w:t xml:space="preserve">Domestic and family violence </w:t>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 xml:space="preserve">Females were almost four times more likely than males to be killed by a partner, comprising 81.9% of the total </w:t>
      </w:r>
      <w:r w:rsidR="002D4C87" w:rsidRPr="00562F4F">
        <w:rPr>
          <w:rFonts w:ascii="Arial" w:hAnsi="Arial" w:cs="Arial"/>
          <w:sz w:val="22"/>
          <w:szCs w:val="22"/>
        </w:rPr>
        <w:t>138</w:t>
      </w:r>
      <w:r w:rsidR="002D4C87">
        <w:rPr>
          <w:rFonts w:ascii="Arial" w:hAnsi="Arial" w:cs="Arial"/>
          <w:sz w:val="22"/>
          <w:szCs w:val="22"/>
        </w:rPr>
        <w:t xml:space="preserve"> </w:t>
      </w:r>
      <w:r w:rsidRPr="00562F4F">
        <w:rPr>
          <w:rFonts w:ascii="Arial" w:hAnsi="Arial" w:cs="Arial"/>
          <w:sz w:val="22"/>
          <w:szCs w:val="22"/>
        </w:rPr>
        <w:t>victims of intimate partner relationship homicides from 1 January 2006 to 31 December 2016.</w:t>
      </w:r>
      <w:r w:rsidRPr="00562F4F">
        <w:rPr>
          <w:rFonts w:ascii="Arial" w:hAnsi="Arial" w:cs="Arial"/>
          <w:sz w:val="22"/>
          <w:szCs w:val="22"/>
          <w:vertAlign w:val="superscript"/>
        </w:rPr>
        <w:endnoteReference w:id="22"/>
      </w:r>
      <w:r w:rsidRPr="00562F4F">
        <w:rPr>
          <w:rFonts w:ascii="Arial" w:hAnsi="Arial" w:cs="Arial"/>
          <w:sz w:val="22"/>
          <w:szCs w:val="22"/>
        </w:rPr>
        <w:t xml:space="preserve"> During this period: </w:t>
      </w:r>
    </w:p>
    <w:p w:rsidR="00562F4F" w:rsidRPr="00562F4F" w:rsidRDefault="00562F4F" w:rsidP="002D4C87">
      <w:pPr>
        <w:numPr>
          <w:ilvl w:val="0"/>
          <w:numId w:val="13"/>
        </w:numPr>
        <w:spacing w:after="120"/>
        <w:rPr>
          <w:rFonts w:ascii="Arial" w:hAnsi="Arial" w:cs="Arial"/>
          <w:sz w:val="22"/>
          <w:szCs w:val="22"/>
        </w:rPr>
      </w:pPr>
      <w:r w:rsidRPr="00562F4F">
        <w:rPr>
          <w:rFonts w:ascii="Arial" w:hAnsi="Arial" w:cs="Arial"/>
          <w:sz w:val="22"/>
          <w:szCs w:val="22"/>
        </w:rPr>
        <w:t>Almost all (96.5%) females killed within an intimate partner relationship had a previous history of being a victim of intimate partner violence.</w:t>
      </w:r>
    </w:p>
    <w:p w:rsidR="00562F4F" w:rsidRPr="00562F4F" w:rsidRDefault="00562F4F" w:rsidP="002D4C87">
      <w:pPr>
        <w:numPr>
          <w:ilvl w:val="0"/>
          <w:numId w:val="13"/>
        </w:numPr>
        <w:spacing w:after="120"/>
        <w:rPr>
          <w:rFonts w:ascii="Arial" w:hAnsi="Arial" w:cs="Arial"/>
          <w:sz w:val="22"/>
          <w:szCs w:val="22"/>
        </w:rPr>
      </w:pPr>
      <w:r w:rsidRPr="00562F4F">
        <w:rPr>
          <w:rFonts w:ascii="Arial" w:hAnsi="Arial" w:cs="Arial"/>
          <w:sz w:val="22"/>
          <w:szCs w:val="22"/>
        </w:rPr>
        <w:t>Of individual perpetrators responsible for domestic and family violence homicides, where gender was known, 83.8% were male.</w:t>
      </w:r>
    </w:p>
    <w:p w:rsidR="00562F4F" w:rsidRDefault="00562F4F" w:rsidP="002D4C87">
      <w:pPr>
        <w:numPr>
          <w:ilvl w:val="0"/>
          <w:numId w:val="13"/>
        </w:numPr>
        <w:spacing w:after="120"/>
        <w:ind w:left="357" w:hanging="357"/>
        <w:rPr>
          <w:rFonts w:ascii="Arial" w:hAnsi="Arial" w:cs="Arial"/>
          <w:sz w:val="22"/>
          <w:szCs w:val="22"/>
        </w:rPr>
      </w:pPr>
      <w:r w:rsidRPr="00562F4F">
        <w:rPr>
          <w:rFonts w:ascii="Arial" w:hAnsi="Arial" w:cs="Arial"/>
          <w:sz w:val="22"/>
          <w:szCs w:val="22"/>
        </w:rPr>
        <w:t>17.7% of victims of domestic and family violence homicides were recorded to be Aboriginal and Torres Strait Islander.</w:t>
      </w:r>
    </w:p>
    <w:p w:rsidR="003138C7" w:rsidRDefault="003138C7" w:rsidP="002D4C87">
      <w:pPr>
        <w:spacing w:after="120"/>
        <w:rPr>
          <w:rFonts w:ascii="Arial" w:hAnsi="Arial" w:cs="Arial"/>
          <w:sz w:val="22"/>
          <w:szCs w:val="22"/>
        </w:rPr>
      </w:pPr>
      <w:r>
        <w:rPr>
          <w:noProof/>
          <w:lang w:val="en-AU" w:eastAsia="en-AU"/>
        </w:rPr>
        <mc:AlternateContent>
          <mc:Choice Requires="wps">
            <w:drawing>
              <wp:anchor distT="0" distB="0" distL="114300" distR="114300" simplePos="0" relativeHeight="251676672" behindDoc="1" locked="0" layoutInCell="1" allowOverlap="1" wp14:anchorId="18FAFBA3" wp14:editId="6F946A36">
                <wp:simplePos x="0" y="0"/>
                <wp:positionH relativeFrom="column">
                  <wp:align>right</wp:align>
                </wp:positionH>
                <wp:positionV relativeFrom="paragraph">
                  <wp:posOffset>95664</wp:posOffset>
                </wp:positionV>
                <wp:extent cx="1383527" cy="1880006"/>
                <wp:effectExtent l="0" t="0" r="7620" b="6350"/>
                <wp:wrapNone/>
                <wp:docPr id="40" name="Text Box 40"/>
                <wp:cNvGraphicFramePr/>
                <a:graphic xmlns:a="http://schemas.openxmlformats.org/drawingml/2006/main">
                  <a:graphicData uri="http://schemas.microsoft.com/office/word/2010/wordprocessingShape">
                    <wps:wsp>
                      <wps:cNvSpPr txBox="1"/>
                      <wps:spPr>
                        <a:xfrm>
                          <a:off x="0" y="0"/>
                          <a:ext cx="1383527" cy="1880006"/>
                        </a:xfrm>
                        <a:prstGeom prst="rect">
                          <a:avLst/>
                        </a:prstGeom>
                        <a:solidFill>
                          <a:sysClr val="window" lastClr="FFFFFF"/>
                        </a:solidFill>
                        <a:ln w="6350">
                          <a:noFill/>
                        </a:ln>
                        <a:effectLst/>
                      </wps:spPr>
                      <wps:txbx>
                        <w:txbxContent>
                          <w:p w:rsidR="003138C7" w:rsidRDefault="003138C7" w:rsidP="003138C7">
                            <w:pPr>
                              <w:rPr>
                                <w:rFonts w:ascii="Arial" w:hAnsi="Arial" w:cs="Arial"/>
                                <w:color w:val="EDA78F"/>
                              </w:rPr>
                            </w:pPr>
                            <w:r>
                              <w:rPr>
                                <w:rFonts w:ascii="Arial" w:hAnsi="Arial" w:cs="Arial"/>
                                <w:color w:val="EDA78F"/>
                              </w:rPr>
                              <w:t xml:space="preserve">Females were </w:t>
                            </w:r>
                          </w:p>
                          <w:p w:rsidR="003138C7" w:rsidRDefault="003138C7" w:rsidP="003138C7">
                            <w:pPr>
                              <w:rPr>
                                <w:rFonts w:ascii="Arial" w:hAnsi="Arial" w:cs="Arial"/>
                                <w:b/>
                                <w:color w:val="DF571D"/>
                                <w:sz w:val="144"/>
                              </w:rPr>
                            </w:pPr>
                            <w:r w:rsidRPr="003138C7">
                              <w:rPr>
                                <w:rFonts w:ascii="Arial" w:hAnsi="Arial" w:cs="Arial"/>
                                <w:b/>
                                <w:color w:val="DF571D"/>
                                <w:sz w:val="144"/>
                              </w:rPr>
                              <w:t>4x</w:t>
                            </w:r>
                          </w:p>
                          <w:p w:rsidR="003138C7" w:rsidRPr="003138C7" w:rsidRDefault="00477491" w:rsidP="003138C7">
                            <w:pPr>
                              <w:rPr>
                                <w:rFonts w:ascii="Arial" w:hAnsi="Arial" w:cs="Arial"/>
                                <w:color w:val="EDA78F"/>
                              </w:rPr>
                            </w:pPr>
                            <w:r>
                              <w:rPr>
                                <w:rFonts w:ascii="Arial" w:hAnsi="Arial" w:cs="Arial"/>
                                <w:color w:val="EDA78F"/>
                              </w:rPr>
                              <w:t>more likely than males to be killed by a partner</w:t>
                            </w:r>
                            <w:r w:rsidR="00E0092C">
                              <w:rPr>
                                <w:rFonts w:ascii="Arial" w:hAnsi="Arial" w:cs="Arial"/>
                                <w:color w:val="EDA78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FBA3" id="Text Box 40" o:spid="_x0000_s1028" type="#_x0000_t202" style="position:absolute;margin-left:57.75pt;margin-top:7.55pt;width:108.95pt;height:148.05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" fillcolor="window" stroked="f" strokeweight=".5pt">
                <v:textbox>
                  <w:txbxContent>
                    <w:p w:rsidR="003138C7" w:rsidRDefault="003138C7" w:rsidP="003138C7">
                      <w:pPr>
                        <w:rPr>
                          <w:rFonts w:ascii="Arial" w:hAnsi="Arial" w:cs="Arial"/>
                          <w:color w:val="EDA78F"/>
                        </w:rPr>
                      </w:pPr>
                      <w:r>
                        <w:rPr>
                          <w:rFonts w:ascii="Arial" w:hAnsi="Arial" w:cs="Arial"/>
                          <w:color w:val="EDA78F"/>
                        </w:rPr>
                        <w:t xml:space="preserve">Females were </w:t>
                      </w:r>
                    </w:p>
                    <w:p w:rsidR="003138C7" w:rsidRDefault="003138C7" w:rsidP="003138C7">
                      <w:pPr>
                        <w:rPr>
                          <w:rFonts w:ascii="Arial" w:hAnsi="Arial" w:cs="Arial"/>
                          <w:b/>
                          <w:color w:val="DF571D"/>
                          <w:sz w:val="144"/>
                        </w:rPr>
                      </w:pPr>
                      <w:r w:rsidRPr="003138C7">
                        <w:rPr>
                          <w:rFonts w:ascii="Arial" w:hAnsi="Arial" w:cs="Arial"/>
                          <w:b/>
                          <w:color w:val="DF571D"/>
                          <w:sz w:val="144"/>
                        </w:rPr>
                        <w:t>4x</w:t>
                      </w:r>
                    </w:p>
                    <w:p w:rsidR="003138C7" w:rsidRPr="003138C7" w:rsidRDefault="00477491" w:rsidP="003138C7">
                      <w:pPr>
                        <w:rPr>
                          <w:rFonts w:ascii="Arial" w:hAnsi="Arial" w:cs="Arial"/>
                          <w:color w:val="EDA78F"/>
                        </w:rPr>
                      </w:pPr>
                      <w:proofErr w:type="gramStart"/>
                      <w:r>
                        <w:rPr>
                          <w:rFonts w:ascii="Arial" w:hAnsi="Arial" w:cs="Arial"/>
                          <w:color w:val="EDA78F"/>
                        </w:rPr>
                        <w:t>more</w:t>
                      </w:r>
                      <w:proofErr w:type="gramEnd"/>
                      <w:r>
                        <w:rPr>
                          <w:rFonts w:ascii="Arial" w:hAnsi="Arial" w:cs="Arial"/>
                          <w:color w:val="EDA78F"/>
                        </w:rPr>
                        <w:t xml:space="preserve"> likely than males to be killed by a partner</w:t>
                      </w:r>
                      <w:r w:rsidR="00E0092C">
                        <w:rPr>
                          <w:rFonts w:ascii="Arial" w:hAnsi="Arial" w:cs="Arial"/>
                          <w:color w:val="EDA78F"/>
                        </w:rPr>
                        <w:t>.</w:t>
                      </w:r>
                    </w:p>
                  </w:txbxContent>
                </v:textbox>
              </v:shape>
            </w:pict>
          </mc:Fallback>
        </mc:AlternateContent>
      </w:r>
      <w:r w:rsidR="00C56E7A">
        <w:rPr>
          <w:noProof/>
          <w:lang w:val="en-AU" w:eastAsia="en-AU"/>
        </w:rPr>
        <w:drawing>
          <wp:inline distT="0" distB="0" distL="0" distR="0" wp14:anchorId="6CDDF4A0" wp14:editId="29C0B45D">
            <wp:extent cx="1409719" cy="209119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5716" cy="2114925"/>
                    </a:xfrm>
                    <a:prstGeom prst="rect">
                      <a:avLst/>
                    </a:prstGeom>
                  </pic:spPr>
                </pic:pic>
              </a:graphicData>
            </a:graphic>
          </wp:inline>
        </w:drawing>
      </w:r>
    </w:p>
    <w:p w:rsidR="00562F4F" w:rsidRPr="003138C7" w:rsidRDefault="00562F4F" w:rsidP="002D4C87">
      <w:pPr>
        <w:spacing w:after="120"/>
        <w:rPr>
          <w:rFonts w:ascii="Arial" w:hAnsi="Arial" w:cs="Arial"/>
          <w:sz w:val="22"/>
          <w:szCs w:val="22"/>
          <w:shd w:val="clear" w:color="auto" w:fill="92D050"/>
        </w:rPr>
      </w:pPr>
      <w:r w:rsidRPr="00562F4F">
        <w:rPr>
          <w:rFonts w:ascii="Arial" w:hAnsi="Arial" w:cs="Arial"/>
          <w:sz w:val="22"/>
          <w:szCs w:val="22"/>
        </w:rPr>
        <w:t>Female victims of domestic and family violence (DFV)-related homicide and related offences accounted for 45.5% of all female homicide victims recorded during 2016. By contrast, male victims of DFV-related homicides accounted for 14.8% of all male homicide victims – nationally 57.3% and 28.8%.</w:t>
      </w:r>
      <w:r w:rsidRPr="00562F4F">
        <w:rPr>
          <w:rFonts w:ascii="Arial" w:hAnsi="Arial" w:cs="Arial"/>
          <w:sz w:val="22"/>
          <w:szCs w:val="22"/>
          <w:vertAlign w:val="superscript"/>
        </w:rPr>
        <w:endnoteReference w:id="23"/>
      </w:r>
      <w:r w:rsidRPr="00562F4F">
        <w:rPr>
          <w:rFonts w:ascii="Arial" w:hAnsi="Arial" w:cs="Arial"/>
          <w:sz w:val="22"/>
          <w:szCs w:val="22"/>
        </w:rPr>
        <w:t xml:space="preserve"> Comparable statistics available for </w:t>
      </w:r>
      <w:r w:rsidRPr="00562F4F">
        <w:rPr>
          <w:rFonts w:ascii="Arial" w:hAnsi="Arial" w:cs="Arial"/>
          <w:sz w:val="22"/>
          <w:szCs w:val="22"/>
        </w:rPr>
        <w:t xml:space="preserve">other states and territories </w:t>
      </w:r>
      <w:r w:rsidR="002D4C87">
        <w:rPr>
          <w:rFonts w:ascii="Arial" w:hAnsi="Arial" w:cs="Arial"/>
          <w:sz w:val="22"/>
          <w:szCs w:val="22"/>
        </w:rPr>
        <w:t>were</w:t>
      </w:r>
      <w:r w:rsidRPr="00562F4F">
        <w:rPr>
          <w:rFonts w:ascii="Arial" w:hAnsi="Arial" w:cs="Arial"/>
          <w:sz w:val="22"/>
          <w:szCs w:val="22"/>
        </w:rPr>
        <w:t xml:space="preserve"> 68.8% and 30.3% in New South Wales, 54.3% and 23.4% in Victoria, 61.5% and 45.8% in South Australia, and 71.4% and 46.5% in Western Australia.</w:t>
      </w:r>
      <w:r w:rsidRPr="00562F4F">
        <w:rPr>
          <w:rFonts w:ascii="Arial" w:hAnsi="Arial" w:cs="Arial"/>
          <w:sz w:val="22"/>
          <w:szCs w:val="22"/>
          <w:vertAlign w:val="superscript"/>
        </w:rPr>
        <w:endnoteReference w:id="24"/>
      </w:r>
      <w:r w:rsidRPr="00562F4F">
        <w:rPr>
          <w:rFonts w:ascii="Arial" w:hAnsi="Arial" w:cs="Arial"/>
          <w:sz w:val="22"/>
          <w:szCs w:val="22"/>
        </w:rPr>
        <w:t xml:space="preserve"> </w:t>
      </w:r>
    </w:p>
    <w:p w:rsidR="00562F4F" w:rsidRPr="00562F4F" w:rsidRDefault="00562F4F" w:rsidP="002D4C87">
      <w:pPr>
        <w:spacing w:after="120"/>
        <w:rPr>
          <w:rFonts w:ascii="Arial" w:hAnsi="Arial" w:cs="Arial"/>
          <w:sz w:val="22"/>
          <w:szCs w:val="22"/>
        </w:rPr>
      </w:pPr>
      <w:r w:rsidRPr="00562F4F">
        <w:rPr>
          <w:rFonts w:ascii="Arial" w:hAnsi="Arial" w:cs="Arial"/>
          <w:sz w:val="22"/>
          <w:szCs w:val="22"/>
          <w:lang w:eastAsia="ko-KR"/>
        </w:rPr>
        <w:t>Females were less likely than males to breach domestic violence protection orders, with males accounting for 85.9% of offenders for breach of domestic violence protection order offence in 2015-16</w:t>
      </w:r>
      <w:r w:rsidRPr="00562F4F">
        <w:rPr>
          <w:rFonts w:ascii="Arial" w:hAnsi="Arial" w:cs="Arial"/>
          <w:sz w:val="22"/>
          <w:szCs w:val="22"/>
          <w:vertAlign w:val="superscript"/>
          <w:lang w:eastAsia="ko-KR"/>
        </w:rPr>
        <w:endnoteReference w:id="25"/>
      </w:r>
      <w:r w:rsidRPr="00562F4F">
        <w:rPr>
          <w:rFonts w:ascii="Arial" w:hAnsi="Arial" w:cs="Arial"/>
          <w:sz w:val="22"/>
          <w:szCs w:val="22"/>
          <w:lang w:eastAsia="ko-KR"/>
        </w:rPr>
        <w:t>:</w:t>
      </w:r>
    </w:p>
    <w:p w:rsidR="00562F4F" w:rsidRPr="00562F4F" w:rsidRDefault="00562F4F" w:rsidP="002D4C87">
      <w:pPr>
        <w:numPr>
          <w:ilvl w:val="0"/>
          <w:numId w:val="14"/>
        </w:numPr>
        <w:spacing w:after="120"/>
        <w:contextualSpacing/>
        <w:rPr>
          <w:rFonts w:ascii="Arial" w:hAnsi="Arial" w:cs="Arial"/>
          <w:sz w:val="22"/>
          <w:szCs w:val="22"/>
        </w:rPr>
      </w:pPr>
      <w:r w:rsidRPr="00562F4F">
        <w:rPr>
          <w:rFonts w:ascii="Arial" w:hAnsi="Arial" w:cs="Arial"/>
          <w:sz w:val="22"/>
          <w:szCs w:val="22"/>
        </w:rPr>
        <w:t>Total 22,853 offences were reported to police, equating to a rate of 472 offences per 1000,000 persons — 39% increase in the number of breach of domestic violence protection order offences from 16,388 offences in 2014-15.</w:t>
      </w:r>
    </w:p>
    <w:p w:rsidR="00562F4F" w:rsidRPr="003138C7" w:rsidRDefault="00562F4F" w:rsidP="002D4C87">
      <w:pPr>
        <w:numPr>
          <w:ilvl w:val="0"/>
          <w:numId w:val="14"/>
        </w:numPr>
        <w:spacing w:after="120"/>
        <w:ind w:left="357" w:hanging="357"/>
        <w:rPr>
          <w:rFonts w:ascii="Arial" w:hAnsi="Arial" w:cs="Arial"/>
          <w:sz w:val="22"/>
          <w:szCs w:val="22"/>
        </w:rPr>
      </w:pPr>
      <w:r w:rsidRPr="00562F4F">
        <w:rPr>
          <w:rFonts w:ascii="Arial" w:hAnsi="Arial" w:cs="Arial"/>
          <w:sz w:val="22"/>
          <w:szCs w:val="22"/>
          <w:lang w:eastAsia="ko-KR"/>
        </w:rPr>
        <w:t>More than two thirds (68.2%) of male offenders were aged 20-39 years.</w:t>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Females comprised 73.0% of all Queensland clients seeking government-funded specialist homelessness services due to domestic and family violence as a main reason in 2015-16</w:t>
      </w:r>
      <w:r w:rsidRPr="00562F4F">
        <w:rPr>
          <w:rFonts w:ascii="Arial" w:hAnsi="Arial" w:cs="Arial"/>
          <w:sz w:val="22"/>
          <w:szCs w:val="22"/>
          <w:vertAlign w:val="superscript"/>
        </w:rPr>
        <w:endnoteReference w:id="26"/>
      </w:r>
      <w:r w:rsidRPr="00562F4F">
        <w:rPr>
          <w:rFonts w:ascii="Arial" w:hAnsi="Arial" w:cs="Arial"/>
          <w:sz w:val="22"/>
          <w:szCs w:val="22"/>
        </w:rPr>
        <w:t xml:space="preserve"> – nationally 80.3%</w:t>
      </w:r>
      <w:r w:rsidRPr="00562F4F">
        <w:rPr>
          <w:rFonts w:ascii="Arial" w:hAnsi="Arial" w:cs="Arial"/>
          <w:sz w:val="22"/>
          <w:szCs w:val="22"/>
          <w:vertAlign w:val="superscript"/>
        </w:rPr>
        <w:endnoteReference w:id="27"/>
      </w:r>
      <w:r w:rsidR="002D4C87">
        <w:rPr>
          <w:rFonts w:ascii="Arial" w:hAnsi="Arial" w:cs="Arial"/>
          <w:sz w:val="22"/>
          <w:szCs w:val="22"/>
        </w:rPr>
        <w:t>.</w:t>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Females accounted for 68% of all alleged victims of elder abuse reported to the Elder Abuse Helpline in 2015-16.</w:t>
      </w:r>
      <w:r w:rsidRPr="00562F4F">
        <w:rPr>
          <w:rFonts w:ascii="Arial" w:hAnsi="Arial" w:cs="Arial"/>
          <w:sz w:val="22"/>
          <w:szCs w:val="22"/>
          <w:vertAlign w:val="superscript"/>
        </w:rPr>
        <w:endnoteReference w:id="28"/>
      </w:r>
    </w:p>
    <w:p w:rsidR="00562F4F" w:rsidRPr="00562F4F" w:rsidRDefault="00562F4F" w:rsidP="002D4C87">
      <w:pPr>
        <w:spacing w:before="240" w:after="120"/>
        <w:rPr>
          <w:rFonts w:ascii="Arial" w:hAnsi="Arial" w:cs="Arial"/>
          <w:sz w:val="22"/>
          <w:szCs w:val="22"/>
        </w:rPr>
      </w:pPr>
      <w:r w:rsidRPr="00562F4F">
        <w:rPr>
          <w:rFonts w:ascii="Arial" w:hAnsi="Arial" w:cs="Arial"/>
          <w:b/>
          <w:sz w:val="22"/>
          <w:szCs w:val="22"/>
        </w:rPr>
        <w:t>Discrimination and other forms of violence</w:t>
      </w:r>
    </w:p>
    <w:p w:rsidR="00562F4F" w:rsidRPr="00562F4F" w:rsidRDefault="00562F4F" w:rsidP="002D4C87">
      <w:pPr>
        <w:spacing w:after="120"/>
        <w:rPr>
          <w:rFonts w:ascii="Arial" w:hAnsi="Arial" w:cs="Arial"/>
          <w:sz w:val="22"/>
          <w:szCs w:val="22"/>
        </w:rPr>
      </w:pPr>
      <w:r w:rsidRPr="00562F4F">
        <w:rPr>
          <w:rFonts w:ascii="Arial" w:hAnsi="Arial" w:cs="Arial"/>
          <w:sz w:val="22"/>
          <w:szCs w:val="22"/>
        </w:rPr>
        <w:t>Of 508 complaints accepted and dealt with by the Queensland Anti-Discrimination Commission</w:t>
      </w:r>
      <w:r w:rsidR="000C77F8">
        <w:rPr>
          <w:rFonts w:ascii="Arial" w:hAnsi="Arial" w:cs="Arial"/>
          <w:sz w:val="22"/>
          <w:szCs w:val="22"/>
        </w:rPr>
        <w:t xml:space="preserve"> in 2015-16</w:t>
      </w:r>
      <w:r w:rsidRPr="00562F4F">
        <w:rPr>
          <w:rFonts w:ascii="Arial" w:hAnsi="Arial" w:cs="Arial"/>
          <w:sz w:val="22"/>
          <w:szCs w:val="22"/>
        </w:rPr>
        <w:t>, illegal discrimination on the basis of pregnancy accounted for 21 (or 4.1%) complaints.</w:t>
      </w:r>
      <w:r w:rsidRPr="00562F4F">
        <w:rPr>
          <w:rFonts w:ascii="Arial" w:hAnsi="Arial" w:cs="Arial"/>
          <w:sz w:val="22"/>
          <w:szCs w:val="22"/>
          <w:vertAlign w:val="superscript"/>
        </w:rPr>
        <w:endnoteReference w:id="29"/>
      </w:r>
      <w:r w:rsidRPr="00562F4F">
        <w:rPr>
          <w:rFonts w:ascii="Arial" w:hAnsi="Arial" w:cs="Arial"/>
          <w:sz w:val="22"/>
          <w:szCs w:val="22"/>
        </w:rPr>
        <w:t xml:space="preserve">  </w:t>
      </w:r>
    </w:p>
    <w:p w:rsidR="000C77F8" w:rsidRDefault="00562F4F" w:rsidP="000C77F8">
      <w:pPr>
        <w:spacing w:after="120"/>
        <w:rPr>
          <w:rFonts w:ascii="Arial" w:hAnsi="Arial" w:cs="Arial"/>
          <w:sz w:val="22"/>
          <w:szCs w:val="22"/>
        </w:rPr>
      </w:pPr>
      <w:r w:rsidRPr="00562F4F">
        <w:rPr>
          <w:rFonts w:ascii="Arial" w:hAnsi="Arial" w:cs="Arial"/>
          <w:sz w:val="22"/>
          <w:szCs w:val="22"/>
        </w:rPr>
        <w:t>Most trafficked people</w:t>
      </w:r>
      <w:r w:rsidRPr="00562F4F">
        <w:rPr>
          <w:rFonts w:ascii="Arial" w:hAnsi="Arial" w:cs="Arial"/>
          <w:sz w:val="22"/>
          <w:szCs w:val="22"/>
          <w:vertAlign w:val="superscript"/>
        </w:rPr>
        <w:endnoteReference w:id="30"/>
      </w:r>
      <w:r w:rsidRPr="00562F4F">
        <w:rPr>
          <w:rFonts w:ascii="Arial" w:hAnsi="Arial" w:cs="Arial"/>
          <w:sz w:val="22"/>
          <w:szCs w:val="22"/>
        </w:rPr>
        <w:t xml:space="preserve"> identified in Australia have been women working in the sex industry, although recently an increasing number of men and women is trafficked into, or exploited within, other industries, or exploited within intimate relationships.</w:t>
      </w:r>
      <w:r w:rsidRPr="00562F4F">
        <w:rPr>
          <w:rFonts w:ascii="Arial" w:hAnsi="Arial" w:cs="Arial"/>
          <w:sz w:val="22"/>
          <w:szCs w:val="22"/>
          <w:vertAlign w:val="superscript"/>
        </w:rPr>
        <w:endnoteReference w:id="31"/>
      </w:r>
      <w:r w:rsidRPr="00562F4F">
        <w:rPr>
          <w:rFonts w:ascii="Arial" w:hAnsi="Arial" w:cs="Arial"/>
          <w:sz w:val="22"/>
          <w:szCs w:val="22"/>
        </w:rPr>
        <w:t xml:space="preserve"> </w:t>
      </w:r>
    </w:p>
    <w:p w:rsidR="00562F4F" w:rsidRPr="00562F4F" w:rsidRDefault="00562F4F" w:rsidP="000C77F8">
      <w:pPr>
        <w:spacing w:after="120"/>
        <w:rPr>
          <w:rFonts w:ascii="Arial" w:hAnsi="Arial" w:cs="Arial"/>
          <w:sz w:val="22"/>
          <w:szCs w:val="22"/>
        </w:rPr>
      </w:pPr>
      <w:r w:rsidRPr="00562F4F">
        <w:rPr>
          <w:rFonts w:ascii="Arial" w:hAnsi="Arial" w:cs="Arial"/>
          <w:sz w:val="22"/>
          <w:szCs w:val="22"/>
        </w:rPr>
        <w:t>Australia provides support services for trafficked people through the Support Program. Females comprised</w:t>
      </w:r>
      <w:r w:rsidR="000C77F8">
        <w:rPr>
          <w:rStyle w:val="EndnoteReference"/>
          <w:rFonts w:ascii="Arial" w:hAnsi="Arial" w:cs="Arial"/>
          <w:sz w:val="22"/>
          <w:szCs w:val="22"/>
        </w:rPr>
        <w:endnoteReference w:id="32"/>
      </w:r>
      <w:r w:rsidRPr="00562F4F">
        <w:rPr>
          <w:rFonts w:ascii="Arial" w:hAnsi="Arial" w:cs="Arial"/>
          <w:sz w:val="22"/>
          <w:szCs w:val="22"/>
        </w:rPr>
        <w:t>:</w:t>
      </w:r>
    </w:p>
    <w:p w:rsidR="00562F4F" w:rsidRPr="00562F4F" w:rsidRDefault="00562F4F" w:rsidP="000C77F8">
      <w:pPr>
        <w:numPr>
          <w:ilvl w:val="0"/>
          <w:numId w:val="15"/>
        </w:numPr>
        <w:spacing w:after="120"/>
        <w:contextualSpacing/>
        <w:rPr>
          <w:rFonts w:ascii="Arial" w:hAnsi="Arial" w:cs="Arial"/>
          <w:sz w:val="22"/>
          <w:szCs w:val="22"/>
          <w:lang w:eastAsia="ko-KR"/>
        </w:rPr>
      </w:pPr>
      <w:r w:rsidRPr="00562F4F">
        <w:rPr>
          <w:rFonts w:ascii="Arial" w:hAnsi="Arial" w:cs="Arial"/>
          <w:sz w:val="22"/>
          <w:szCs w:val="22"/>
          <w:lang w:eastAsia="ko-KR"/>
        </w:rPr>
        <w:t>76.3% of total 80 clients who were on the Support Program in 2015-16</w:t>
      </w:r>
    </w:p>
    <w:p w:rsidR="00562F4F" w:rsidRPr="00562F4F" w:rsidRDefault="00562F4F" w:rsidP="000C77F8">
      <w:pPr>
        <w:numPr>
          <w:ilvl w:val="0"/>
          <w:numId w:val="15"/>
        </w:numPr>
        <w:spacing w:after="120"/>
        <w:contextualSpacing/>
        <w:rPr>
          <w:rFonts w:ascii="Arial" w:hAnsi="Arial" w:cs="Arial"/>
          <w:sz w:val="22"/>
          <w:szCs w:val="22"/>
          <w:lang w:eastAsia="ko-KR"/>
        </w:rPr>
        <w:sectPr w:rsidR="00562F4F" w:rsidRPr="00562F4F" w:rsidSect="00212CE5">
          <w:endnotePr>
            <w:numFmt w:val="decimal"/>
          </w:endnotePr>
          <w:type w:val="continuous"/>
          <w:pgSz w:w="11900" w:h="16840"/>
          <w:pgMar w:top="1843" w:right="1127" w:bottom="1440" w:left="1276" w:header="708" w:footer="708" w:gutter="0"/>
          <w:cols w:num="2" w:space="708"/>
          <w:titlePg/>
          <w:docGrid w:linePitch="360"/>
        </w:sectPr>
      </w:pPr>
      <w:r w:rsidRPr="00562F4F">
        <w:rPr>
          <w:rFonts w:ascii="Arial" w:hAnsi="Arial" w:cs="Arial"/>
          <w:sz w:val="22"/>
          <w:szCs w:val="22"/>
          <w:lang w:eastAsia="ko-KR"/>
        </w:rPr>
        <w:t>all clients supported through the Support Program due to exploitation in sex industry (in 2015-16) and forced marriage (in 2014-15)</w:t>
      </w:r>
      <w:r w:rsidR="00061070">
        <w:rPr>
          <w:rFonts w:ascii="Arial" w:hAnsi="Arial" w:cs="Arial"/>
          <w:sz w:val="22"/>
          <w:szCs w:val="22"/>
          <w:lang w:eastAsia="ko-KR"/>
        </w:rPr>
        <w:t>.</w:t>
      </w:r>
    </w:p>
    <w:p w:rsidR="00456A95" w:rsidRPr="00457AE0" w:rsidRDefault="00456A95" w:rsidP="00E57119">
      <w:pPr>
        <w:rPr>
          <w:rFonts w:ascii="Arial" w:hAnsi="Arial"/>
          <w:sz w:val="22"/>
          <w:szCs w:val="22"/>
        </w:rPr>
      </w:pPr>
    </w:p>
    <w:sectPr w:rsidR="00456A95" w:rsidRPr="00457AE0" w:rsidSect="00987FB2">
      <w:headerReference w:type="default" r:id="rId16"/>
      <w:headerReference w:type="first" r:id="rId17"/>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3A" w:rsidRDefault="0043643A" w:rsidP="00456A95">
      <w:r>
        <w:separator/>
      </w:r>
    </w:p>
  </w:endnote>
  <w:endnote w:type="continuationSeparator" w:id="0">
    <w:p w:rsidR="0043643A" w:rsidRDefault="0043643A" w:rsidP="00456A95">
      <w:r>
        <w:continuationSeparator/>
      </w:r>
    </w:p>
  </w:endnote>
  <w:endnote w:id="1">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Includes being pushed, grabbed, shoved, slapped, kicked, bitten, choked, shot, burnt; being hit with something such as a bat; and being dragged or hit deliberately by a vehicle, assault which happens in the line of work. Excludes incidents that occurred during the course of play on a sporting field or organised sport; verbal abuse; incidents where the person did not encounter the offender face-to-face; incidents of sexual assault or threatened sexual assault which also involved physical assault.</w:t>
      </w:r>
    </w:p>
  </w:endnote>
  <w:endnote w:id="2">
    <w:p w:rsidR="00562F4F" w:rsidRPr="00D03CBF" w:rsidRDefault="00562F4F" w:rsidP="00D03CBF">
      <w:pPr>
        <w:pStyle w:val="EndnoteText"/>
        <w:ind w:left="227" w:hanging="227"/>
        <w:rPr>
          <w:rFonts w:ascii="Arial" w:hAnsi="Arial" w:cs="Arial"/>
          <w:sz w:val="16"/>
          <w:szCs w:val="16"/>
        </w:rPr>
      </w:pPr>
      <w:r w:rsidRPr="00D03CBF">
        <w:rPr>
          <w:rStyle w:val="EndnoteReference"/>
          <w:rFonts w:ascii="Arial" w:hAnsi="Arial" w:cs="Arial"/>
          <w:sz w:val="16"/>
          <w:szCs w:val="16"/>
        </w:rPr>
        <w:endnoteRef/>
      </w:r>
      <w:r w:rsidRPr="00D03CBF">
        <w:rPr>
          <w:rFonts w:ascii="Arial" w:hAnsi="Arial" w:cs="Arial"/>
          <w:sz w:val="16"/>
          <w:szCs w:val="16"/>
        </w:rPr>
        <w:t xml:space="preserve"> A verbal, written and/or physical threat to inflict physical harm where the person being threatened believed the threat was likely and able to be carried out. Threatened assault may occur face-to-face or via non 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3">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4">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5">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Bureau of Statistics, </w:t>
      </w:r>
      <w:r w:rsidRPr="00D03CBF">
        <w:rPr>
          <w:rFonts w:ascii="Arial" w:hAnsi="Arial" w:cs="Arial"/>
          <w:i/>
          <w:sz w:val="16"/>
          <w:szCs w:val="16"/>
          <w:lang w:eastAsia="ko-KR"/>
        </w:rPr>
        <w:t>Crime victimisation, Australia, 2015-16</w:t>
      </w:r>
      <w:r w:rsidRPr="00D03CBF">
        <w:rPr>
          <w:rFonts w:ascii="Arial" w:hAnsi="Arial" w:cs="Arial"/>
          <w:sz w:val="16"/>
          <w:szCs w:val="16"/>
          <w:lang w:eastAsia="ko-KR"/>
        </w:rPr>
        <w:t>, 2017, ‘Populations, Table 26 Populations, by states and territories’, cat. no. 4530.0.</w:t>
      </w:r>
    </w:p>
  </w:endnote>
  <w:endnote w:id="6">
    <w:p w:rsidR="00562F4F" w:rsidRPr="00D03CBF" w:rsidRDefault="00562F4F" w:rsidP="00D03CBF">
      <w:pPr>
        <w:pStyle w:val="EndnoteText"/>
        <w:ind w:left="227" w:hanging="227"/>
        <w:rPr>
          <w:rFonts w:ascii="Arial" w:hAnsi="Arial" w:cs="Arial"/>
          <w:sz w:val="16"/>
          <w:szCs w:val="16"/>
        </w:rPr>
      </w:pPr>
      <w:r w:rsidRPr="00D03CBF">
        <w:rPr>
          <w:rStyle w:val="EndnoteReference"/>
          <w:rFonts w:ascii="Arial" w:hAnsi="Arial" w:cs="Arial"/>
          <w:sz w:val="16"/>
          <w:szCs w:val="16"/>
        </w:rPr>
        <w:endnoteRef/>
      </w:r>
      <w:r w:rsidRPr="00D03CBF">
        <w:rPr>
          <w:rFonts w:ascii="Arial" w:hAnsi="Arial" w:cs="Arial"/>
          <w:sz w:val="16"/>
          <w:szCs w:val="16"/>
        </w:rPr>
        <w:t xml:space="preserve"> Australian Bureau of Statistics, 2017, </w:t>
      </w:r>
      <w:r w:rsidRPr="00D03CBF">
        <w:rPr>
          <w:rFonts w:ascii="Arial" w:hAnsi="Arial" w:cs="Arial"/>
          <w:i/>
          <w:sz w:val="16"/>
          <w:szCs w:val="16"/>
        </w:rPr>
        <w:t>General social survey, summary results, Australia, 2014</w:t>
      </w:r>
      <w:r w:rsidRPr="00D03CBF">
        <w:rPr>
          <w:rFonts w:ascii="Arial" w:hAnsi="Arial" w:cs="Arial"/>
          <w:sz w:val="16"/>
          <w:szCs w:val="16"/>
        </w:rPr>
        <w:t xml:space="preserve">, ‘Table 3.3 All persons, selected personal characteristics – by state and territory’, customised data. </w:t>
      </w:r>
    </w:p>
  </w:endnote>
  <w:endnote w:id="7">
    <w:p w:rsidR="00562F4F" w:rsidRPr="00D03CBF" w:rsidRDefault="00562F4F" w:rsidP="00D03CBF">
      <w:pPr>
        <w:pStyle w:val="EndnoteText"/>
        <w:ind w:left="227" w:hanging="227"/>
        <w:rPr>
          <w:rFonts w:ascii="Arial" w:hAnsi="Arial" w:cs="Arial"/>
          <w:sz w:val="16"/>
          <w:szCs w:val="16"/>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i/>
          <w:sz w:val="16"/>
          <w:szCs w:val="16"/>
        </w:rPr>
        <w:t>ibid</w:t>
      </w:r>
      <w:r w:rsidRPr="00D03CBF">
        <w:rPr>
          <w:rFonts w:ascii="Arial" w:hAnsi="Arial" w:cs="Arial"/>
          <w:sz w:val="16"/>
          <w:szCs w:val="16"/>
        </w:rPr>
        <w:t xml:space="preserve">. </w:t>
      </w:r>
    </w:p>
  </w:endnote>
  <w:endnote w:id="8">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The Queensland Police Service broadly categorises the following offences as ‘Offences Against the Person’: homicide, assault, sexual offences, robbery, kidnapping and abduction, extortion, stalking and life endangering acts.</w:t>
      </w:r>
    </w:p>
  </w:endnote>
  <w:endnote w:id="9">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Police Service, 2016, </w:t>
      </w:r>
      <w:r w:rsidRPr="00D03CBF">
        <w:rPr>
          <w:rFonts w:ascii="Arial" w:hAnsi="Arial" w:cs="Arial"/>
          <w:i/>
          <w:sz w:val="16"/>
          <w:szCs w:val="16"/>
          <w:lang w:eastAsia="ko-KR"/>
        </w:rPr>
        <w:t>Annual statistical review 2015-16</w:t>
      </w:r>
      <w:r w:rsidRPr="00D03CBF">
        <w:rPr>
          <w:rFonts w:ascii="Arial" w:hAnsi="Arial" w:cs="Arial"/>
          <w:sz w:val="16"/>
          <w:szCs w:val="16"/>
          <w:lang w:eastAsia="ko-KR"/>
        </w:rPr>
        <w:t>.</w:t>
      </w:r>
    </w:p>
  </w:endnote>
  <w:endnote w:id="10">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i/>
          <w:sz w:val="16"/>
          <w:szCs w:val="16"/>
          <w:lang w:eastAsia="ko-KR"/>
        </w:rPr>
        <w:t>ibid</w:t>
      </w:r>
      <w:r w:rsidRPr="00D03CBF">
        <w:rPr>
          <w:rFonts w:ascii="Arial" w:hAnsi="Arial" w:cs="Arial"/>
          <w:sz w:val="16"/>
          <w:szCs w:val="16"/>
          <w:lang w:eastAsia="ko-KR"/>
        </w:rPr>
        <w:t>.</w:t>
      </w:r>
    </w:p>
  </w:endnote>
  <w:endnote w:id="11">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An offence of a sexual nature including a prescribed sexual offence. Includes rape, attempted rape and other sexual offences.</w:t>
      </w:r>
    </w:p>
  </w:endnote>
  <w:endnote w:id="12">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Police Service, 2016, </w:t>
      </w:r>
      <w:r w:rsidRPr="00D03CBF">
        <w:rPr>
          <w:rFonts w:ascii="Arial" w:hAnsi="Arial" w:cs="Arial"/>
          <w:i/>
          <w:sz w:val="16"/>
          <w:szCs w:val="16"/>
          <w:lang w:eastAsia="ko-KR"/>
        </w:rPr>
        <w:t>Annual statistical review 2015-16</w:t>
      </w:r>
      <w:r w:rsidRPr="00D03CBF">
        <w:rPr>
          <w:rFonts w:ascii="Arial" w:hAnsi="Arial" w:cs="Arial"/>
          <w:sz w:val="16"/>
          <w:szCs w:val="16"/>
          <w:lang w:eastAsia="ko-KR"/>
        </w:rPr>
        <w:t>.</w:t>
      </w:r>
    </w:p>
  </w:endnote>
  <w:endnote w:id="13">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Bureau of Statistics, 2016, </w:t>
      </w:r>
      <w:r w:rsidRPr="00D03CBF">
        <w:rPr>
          <w:rFonts w:ascii="Arial" w:hAnsi="Arial" w:cs="Arial"/>
          <w:i/>
          <w:sz w:val="16"/>
          <w:szCs w:val="16"/>
          <w:lang w:eastAsia="ko-KR"/>
        </w:rPr>
        <w:t>Recorded crime – victims, Australia, 2015</w:t>
      </w:r>
      <w:r w:rsidRPr="00D03CBF">
        <w:rPr>
          <w:rFonts w:ascii="Arial" w:hAnsi="Arial" w:cs="Arial"/>
          <w:sz w:val="16"/>
          <w:szCs w:val="16"/>
          <w:lang w:eastAsia="ko-KR"/>
        </w:rPr>
        <w:t>, ‘Victims of crime, Indigenous status, selected states and territories, Table 17 Victims of sexual assault, sex and relationship of offender to victim by Indigenous status, selected states and territories, 2015’, cat. no. 4510.0.</w:t>
      </w:r>
    </w:p>
  </w:endnote>
  <w:endnote w:id="14">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Includes physical contact, or intent of contact, of a sexual nature directed toward another person where that person does not give consent, gives consent as a result of intimidation or deception, or consent is proscribed (i.e. the person is legally deemed incapable of giving consent because of youth, temporary/permanent (mental) incapacity or there is a familial relationship).</w:t>
      </w:r>
    </w:p>
  </w:endnote>
  <w:endnote w:id="15">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Bureau of Statistics, 2016, </w:t>
      </w:r>
      <w:r w:rsidRPr="00D03CBF">
        <w:rPr>
          <w:rFonts w:ascii="Arial" w:hAnsi="Arial" w:cs="Arial"/>
          <w:i/>
          <w:sz w:val="16"/>
          <w:szCs w:val="16"/>
          <w:lang w:eastAsia="ko-KR"/>
        </w:rPr>
        <w:t>Recorded crime – victims, Australia, 2015</w:t>
      </w:r>
      <w:r w:rsidRPr="00D03CBF">
        <w:rPr>
          <w:rFonts w:ascii="Arial" w:hAnsi="Arial" w:cs="Arial"/>
          <w:sz w:val="16"/>
          <w:szCs w:val="16"/>
          <w:lang w:eastAsia="ko-KR"/>
        </w:rPr>
        <w:t>, ‘Victims of crime, Australia, Table 2 Victims, sex and age by selected offences, 2010-2015’, cat. no. 4510.0.</w:t>
      </w:r>
    </w:p>
  </w:endnote>
  <w:endnote w:id="16">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Police Service, 2016, </w:t>
      </w:r>
      <w:r w:rsidRPr="00D03CBF">
        <w:rPr>
          <w:rFonts w:ascii="Arial" w:hAnsi="Arial" w:cs="Arial"/>
          <w:i/>
          <w:sz w:val="16"/>
          <w:szCs w:val="16"/>
          <w:lang w:eastAsia="ko-KR"/>
        </w:rPr>
        <w:t>Annual statistical review 2015-16</w:t>
      </w:r>
      <w:r w:rsidRPr="00D03CBF">
        <w:rPr>
          <w:rFonts w:ascii="Arial" w:hAnsi="Arial" w:cs="Arial"/>
          <w:sz w:val="16"/>
          <w:szCs w:val="16"/>
          <w:lang w:eastAsia="ko-KR"/>
        </w:rPr>
        <w:t>.</w:t>
      </w:r>
    </w:p>
  </w:endnote>
  <w:endnote w:id="17">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i/>
          <w:sz w:val="16"/>
          <w:szCs w:val="16"/>
          <w:lang w:eastAsia="ko-KR"/>
        </w:rPr>
        <w:t>ibid</w:t>
      </w:r>
      <w:r w:rsidRPr="00D03CBF">
        <w:rPr>
          <w:rFonts w:ascii="Arial" w:hAnsi="Arial" w:cs="Arial"/>
          <w:sz w:val="16"/>
          <w:szCs w:val="16"/>
          <w:lang w:eastAsia="ko-KR"/>
        </w:rPr>
        <w:t>.</w:t>
      </w:r>
    </w:p>
  </w:endnote>
  <w:endnote w:id="18">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i/>
          <w:sz w:val="16"/>
          <w:szCs w:val="16"/>
          <w:lang w:eastAsia="ko-KR"/>
        </w:rPr>
        <w:t>ibid</w:t>
      </w:r>
      <w:r w:rsidRPr="00D03CBF">
        <w:rPr>
          <w:rFonts w:ascii="Arial" w:hAnsi="Arial" w:cs="Arial"/>
          <w:sz w:val="16"/>
          <w:szCs w:val="16"/>
          <w:lang w:eastAsia="ko-KR"/>
        </w:rPr>
        <w:t>.</w:t>
      </w:r>
    </w:p>
  </w:endnote>
  <w:endnote w:id="19">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Bureau of Statistics, 2016, </w:t>
      </w:r>
      <w:r w:rsidRPr="00D03CBF">
        <w:rPr>
          <w:rFonts w:ascii="Arial" w:hAnsi="Arial" w:cs="Arial"/>
          <w:i/>
          <w:sz w:val="16"/>
          <w:szCs w:val="16"/>
          <w:lang w:eastAsia="ko-KR"/>
        </w:rPr>
        <w:t>Recorded crime – victims, Australia, 2015</w:t>
      </w:r>
      <w:r w:rsidRPr="00D03CBF">
        <w:rPr>
          <w:rFonts w:ascii="Arial" w:hAnsi="Arial" w:cs="Arial"/>
          <w:sz w:val="16"/>
          <w:szCs w:val="16"/>
          <w:lang w:eastAsia="ko-KR"/>
        </w:rPr>
        <w:t>, ‘Victims of crime, Indigenous status, selected states and territories, ‘Table 17 Victims of sexual assault, sex and relationship of offender to victim by Indigenous status, selected states and territories, 2015’, cat. no. 4510.0.</w:t>
      </w:r>
    </w:p>
  </w:endnote>
  <w:endnote w:id="20">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i/>
          <w:sz w:val="16"/>
          <w:szCs w:val="16"/>
          <w:lang w:eastAsia="ko-KR"/>
        </w:rPr>
        <w:t>ibid</w:t>
      </w:r>
      <w:r w:rsidRPr="00D03CBF">
        <w:rPr>
          <w:rFonts w:ascii="Arial" w:hAnsi="Arial" w:cs="Arial"/>
          <w:sz w:val="16"/>
          <w:szCs w:val="16"/>
          <w:lang w:eastAsia="ko-KR"/>
        </w:rPr>
        <w:t>.</w:t>
      </w:r>
    </w:p>
  </w:endnote>
  <w:endnote w:id="21">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Police Service, 2016, </w:t>
      </w:r>
      <w:r w:rsidRPr="00D03CBF">
        <w:rPr>
          <w:rFonts w:ascii="Arial" w:hAnsi="Arial" w:cs="Arial"/>
          <w:i/>
          <w:sz w:val="16"/>
          <w:szCs w:val="16"/>
          <w:lang w:eastAsia="ko-KR"/>
        </w:rPr>
        <w:t>Annual statistical review 2015-16</w:t>
      </w:r>
      <w:r w:rsidRPr="00D03CBF">
        <w:rPr>
          <w:rFonts w:ascii="Arial" w:hAnsi="Arial" w:cs="Arial"/>
          <w:sz w:val="16"/>
          <w:szCs w:val="16"/>
          <w:lang w:eastAsia="ko-KR"/>
        </w:rPr>
        <w:t>.</w:t>
      </w:r>
    </w:p>
  </w:endnote>
  <w:endnote w:id="22">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Courts, 2017, </w:t>
      </w:r>
      <w:r w:rsidRPr="00D03CBF">
        <w:rPr>
          <w:rFonts w:ascii="Arial" w:hAnsi="Arial" w:cs="Arial"/>
          <w:i/>
          <w:sz w:val="16"/>
          <w:szCs w:val="16"/>
          <w:lang w:eastAsia="ko-KR"/>
        </w:rPr>
        <w:t>Queensland domestic and family homicide statistical overview</w:t>
      </w:r>
      <w:r w:rsidRPr="00D03CBF">
        <w:rPr>
          <w:rFonts w:ascii="Arial" w:hAnsi="Arial" w:cs="Arial"/>
          <w:sz w:val="16"/>
          <w:szCs w:val="16"/>
          <w:lang w:eastAsia="ko-KR"/>
        </w:rPr>
        <w:t>.</w:t>
      </w:r>
    </w:p>
  </w:endnote>
  <w:endnote w:id="23">
    <w:p w:rsidR="00562F4F" w:rsidRPr="00D03CBF" w:rsidRDefault="00562F4F" w:rsidP="00D03CBF">
      <w:pPr>
        <w:pStyle w:val="EndnoteText"/>
        <w:ind w:left="227" w:hanging="227"/>
        <w:rPr>
          <w:rFonts w:ascii="Arial" w:hAnsi="Arial" w:cs="Arial"/>
          <w:sz w:val="16"/>
          <w:szCs w:val="16"/>
        </w:rPr>
      </w:pPr>
      <w:r w:rsidRPr="00D03CBF">
        <w:rPr>
          <w:rStyle w:val="EndnoteReference"/>
          <w:rFonts w:ascii="Arial" w:hAnsi="Arial" w:cs="Arial"/>
          <w:sz w:val="16"/>
          <w:szCs w:val="16"/>
        </w:rPr>
        <w:endnoteRef/>
      </w:r>
      <w:r w:rsidRPr="00D03CBF">
        <w:rPr>
          <w:rFonts w:ascii="Arial" w:hAnsi="Arial" w:cs="Arial"/>
          <w:sz w:val="16"/>
          <w:szCs w:val="16"/>
        </w:rPr>
        <w:t xml:space="preserve"> Australian Bureau of Statistics, 2017, </w:t>
      </w:r>
      <w:r w:rsidRPr="00D03CBF">
        <w:rPr>
          <w:rFonts w:ascii="Arial" w:hAnsi="Arial" w:cs="Arial"/>
          <w:i/>
          <w:sz w:val="16"/>
          <w:szCs w:val="16"/>
        </w:rPr>
        <w:t>Recorded crime – victims, Australia, 2016</w:t>
      </w:r>
      <w:r w:rsidRPr="00D03CBF">
        <w:rPr>
          <w:rFonts w:ascii="Arial" w:hAnsi="Arial" w:cs="Arial"/>
          <w:sz w:val="16"/>
          <w:szCs w:val="16"/>
        </w:rPr>
        <w:t>, ‘Table 22 Victims of family and domestic violence-related offences by sex, states and territories, 2014–2016’, cat. no. 4510.0.</w:t>
      </w:r>
    </w:p>
  </w:endnote>
  <w:endnote w:id="24">
    <w:p w:rsidR="00562F4F" w:rsidRPr="00D03CBF" w:rsidRDefault="00562F4F" w:rsidP="00D03CBF">
      <w:pPr>
        <w:pStyle w:val="EndnoteText"/>
        <w:ind w:left="227" w:hanging="227"/>
        <w:rPr>
          <w:rFonts w:ascii="Arial" w:hAnsi="Arial" w:cs="Arial"/>
          <w:sz w:val="16"/>
          <w:szCs w:val="16"/>
        </w:rPr>
      </w:pPr>
      <w:r w:rsidRPr="00D03CBF">
        <w:rPr>
          <w:rStyle w:val="EndnoteReference"/>
          <w:rFonts w:ascii="Arial" w:hAnsi="Arial" w:cs="Arial"/>
          <w:sz w:val="16"/>
          <w:szCs w:val="16"/>
        </w:rPr>
        <w:endnoteRef/>
      </w:r>
      <w:r w:rsidRPr="00D03CBF">
        <w:rPr>
          <w:rFonts w:ascii="Arial" w:hAnsi="Arial" w:cs="Arial"/>
          <w:sz w:val="16"/>
          <w:szCs w:val="16"/>
        </w:rPr>
        <w:t xml:space="preserve"> Users should be aware that data about victims of domestic and family violence-related offences may be reflective of changes in reporting behaviour or police detection. As a result, caution should be exercised when interpreting these results, or making comparisons across the states and territories.</w:t>
      </w:r>
    </w:p>
  </w:endnote>
  <w:endnote w:id="25">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Queensland Police Service, 2016, </w:t>
      </w:r>
      <w:r w:rsidRPr="00D03CBF">
        <w:rPr>
          <w:rFonts w:ascii="Arial" w:hAnsi="Arial" w:cs="Arial"/>
          <w:i/>
          <w:sz w:val="16"/>
          <w:szCs w:val="16"/>
          <w:lang w:eastAsia="ko-KR"/>
        </w:rPr>
        <w:t>Annual statistical review 2015-16</w:t>
      </w:r>
      <w:r w:rsidRPr="00D03CBF">
        <w:rPr>
          <w:rFonts w:ascii="Arial" w:hAnsi="Arial" w:cs="Arial"/>
          <w:sz w:val="16"/>
          <w:szCs w:val="16"/>
          <w:lang w:eastAsia="ko-KR"/>
        </w:rPr>
        <w:t>.</w:t>
      </w:r>
    </w:p>
  </w:endnote>
  <w:endnote w:id="26">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Institute of Health and Welfare, 2017, </w:t>
      </w:r>
      <w:r w:rsidRPr="00D03CBF">
        <w:rPr>
          <w:rFonts w:ascii="Arial" w:hAnsi="Arial" w:cs="Arial"/>
          <w:i/>
          <w:iCs/>
          <w:sz w:val="16"/>
          <w:szCs w:val="16"/>
          <w:lang w:eastAsia="ko-KR"/>
        </w:rPr>
        <w:t>Specialist homelessness services 2015-16, Supplementary tables - Queensland</w:t>
      </w:r>
      <w:r w:rsidRPr="00D03CBF">
        <w:rPr>
          <w:rFonts w:ascii="Arial" w:hAnsi="Arial" w:cs="Arial"/>
          <w:sz w:val="16"/>
          <w:szCs w:val="16"/>
          <w:lang w:eastAsia="ko-KR"/>
        </w:rPr>
        <w:t>, ‘Table QLD Clients.14: Clients by main reasons for seeking assistance, 2015-16, adjusted for non-response’, cat. no. HOU 283.</w:t>
      </w:r>
    </w:p>
  </w:endnote>
  <w:endnote w:id="27">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Australian Institute of Health and Welfare, 2017, </w:t>
      </w:r>
      <w:r w:rsidRPr="00D03CBF">
        <w:rPr>
          <w:rFonts w:ascii="Arial" w:hAnsi="Arial" w:cs="Arial"/>
          <w:i/>
          <w:iCs/>
          <w:sz w:val="16"/>
          <w:szCs w:val="16"/>
          <w:lang w:eastAsia="ko-KR"/>
        </w:rPr>
        <w:t>Specialist homelessness services 2015-16, Supplementary tables - National</w:t>
      </w:r>
      <w:r w:rsidRPr="00D03CBF">
        <w:rPr>
          <w:rFonts w:ascii="Arial" w:hAnsi="Arial" w:cs="Arial"/>
          <w:sz w:val="16"/>
          <w:szCs w:val="16"/>
          <w:lang w:eastAsia="ko-KR"/>
        </w:rPr>
        <w:t>, ‘Table Clients.14: Clients by main reasons for seeking assistance, 2015-16, adjusted for non-response’, cat. no. HOU 283.</w:t>
      </w:r>
    </w:p>
  </w:endnote>
  <w:endnote w:id="28">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w:t>
      </w:r>
      <w:r w:rsidRPr="00D03CBF">
        <w:rPr>
          <w:rFonts w:ascii="Arial" w:hAnsi="Arial" w:cs="Arial"/>
          <w:sz w:val="16"/>
          <w:szCs w:val="16"/>
          <w:lang w:eastAsia="ko-KR"/>
        </w:rPr>
        <w:t xml:space="preserve">Elder Abuse Prevention Unit, 2016, </w:t>
      </w:r>
      <w:r w:rsidRPr="00D03CBF">
        <w:rPr>
          <w:rFonts w:ascii="Arial" w:hAnsi="Arial" w:cs="Arial"/>
          <w:i/>
          <w:sz w:val="16"/>
          <w:szCs w:val="16"/>
          <w:lang w:eastAsia="ko-KR"/>
        </w:rPr>
        <w:t>Highlight report: 2015-16 financial year</w:t>
      </w:r>
      <w:r w:rsidRPr="00D03CBF">
        <w:rPr>
          <w:rFonts w:ascii="Arial" w:hAnsi="Arial" w:cs="Arial"/>
          <w:sz w:val="16"/>
          <w:szCs w:val="16"/>
          <w:lang w:eastAsia="ko-KR"/>
        </w:rPr>
        <w:t>.</w:t>
      </w:r>
    </w:p>
  </w:endnote>
  <w:endnote w:id="29">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Anti-Discrimination Commission Queensland, 2016, </w:t>
      </w:r>
      <w:r w:rsidRPr="00D03CBF">
        <w:rPr>
          <w:rFonts w:ascii="Arial" w:hAnsi="Arial" w:cs="Arial"/>
          <w:i/>
          <w:iCs/>
          <w:sz w:val="16"/>
          <w:szCs w:val="16"/>
        </w:rPr>
        <w:t>Annual report 2015-16</w:t>
      </w:r>
      <w:r w:rsidRPr="00D03CBF">
        <w:rPr>
          <w:rFonts w:ascii="Arial" w:hAnsi="Arial" w:cs="Arial"/>
          <w:sz w:val="16"/>
          <w:szCs w:val="16"/>
        </w:rPr>
        <w:t>, pages 23-24.</w:t>
      </w:r>
    </w:p>
  </w:endnote>
  <w:endnote w:id="30">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The term ‘trafficked people’ is used as a general term that encompasses all victims of human trafficking, slavery and slavery-like practices.</w:t>
      </w:r>
    </w:p>
  </w:endnote>
  <w:endnote w:id="31">
    <w:p w:rsidR="00562F4F" w:rsidRPr="00D03CBF" w:rsidRDefault="00562F4F" w:rsidP="00D03CBF">
      <w:pPr>
        <w:pStyle w:val="EndnoteText"/>
        <w:ind w:left="227" w:hanging="227"/>
        <w:rPr>
          <w:rFonts w:ascii="Arial" w:hAnsi="Arial" w:cs="Arial"/>
          <w:sz w:val="16"/>
          <w:szCs w:val="16"/>
          <w:lang w:eastAsia="ko-KR"/>
        </w:rPr>
      </w:pPr>
      <w:r w:rsidRPr="00D03CBF">
        <w:rPr>
          <w:rStyle w:val="EndnoteReference"/>
          <w:rFonts w:ascii="Arial" w:hAnsi="Arial" w:cs="Arial"/>
          <w:sz w:val="16"/>
          <w:szCs w:val="16"/>
        </w:rPr>
        <w:endnoteRef/>
      </w:r>
      <w:r w:rsidRPr="00D03CBF">
        <w:rPr>
          <w:rFonts w:ascii="Arial" w:hAnsi="Arial" w:cs="Arial"/>
          <w:sz w:val="16"/>
          <w:szCs w:val="16"/>
        </w:rPr>
        <w:t xml:space="preserve"> Commonwealth of Australia, 2016, </w:t>
      </w:r>
      <w:r w:rsidRPr="00D03CBF">
        <w:rPr>
          <w:rFonts w:ascii="Arial" w:hAnsi="Arial" w:cs="Arial"/>
          <w:i/>
          <w:sz w:val="16"/>
          <w:szCs w:val="16"/>
        </w:rPr>
        <w:t>Trafficking in persons: the Australian government response 1 July 2015 – 30 June 2016</w:t>
      </w:r>
      <w:r w:rsidRPr="00D03CBF">
        <w:rPr>
          <w:rFonts w:ascii="Arial" w:hAnsi="Arial" w:cs="Arial"/>
          <w:sz w:val="16"/>
          <w:szCs w:val="16"/>
        </w:rPr>
        <w:t>, the eighth report of the interdepartmental committee on human trafficking and slavery.</w:t>
      </w:r>
    </w:p>
  </w:endnote>
  <w:endnote w:id="32">
    <w:p w:rsidR="000C77F8" w:rsidRPr="000C77F8" w:rsidRDefault="000C77F8">
      <w:pPr>
        <w:pStyle w:val="EndnoteText"/>
        <w:rPr>
          <w:rFonts w:eastAsia="Malgun Gothic"/>
          <w:lang w:eastAsia="ko-KR"/>
        </w:rPr>
      </w:pPr>
      <w:r>
        <w:rPr>
          <w:rStyle w:val="EndnoteReference"/>
        </w:rPr>
        <w:endnoteRef/>
      </w:r>
      <w:r>
        <w:t xml:space="preserve"> </w:t>
      </w:r>
      <w:r w:rsidRPr="00D03CBF">
        <w:rPr>
          <w:rFonts w:ascii="Arial" w:hAnsi="Arial" w:cs="Arial"/>
          <w:i/>
          <w:sz w:val="16"/>
          <w:szCs w:val="16"/>
        </w:rPr>
        <w:t>ibid</w:t>
      </w:r>
      <w:r w:rsidRPr="00D03CBF">
        <w:rPr>
          <w:rFonts w:ascii="Arial" w:hAnsi="Arial" w:cs="Arial"/>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CD" w:rsidRDefault="00B55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CD" w:rsidRPr="00B55BCD" w:rsidRDefault="00B55BCD" w:rsidP="00B55BCD">
    <w:pPr>
      <w:tabs>
        <w:tab w:val="center" w:pos="4320"/>
        <w:tab w:val="right" w:pos="8640"/>
      </w:tabs>
      <w:jc w:val="center"/>
      <w:rPr>
        <w:rFonts w:ascii="Arial Narrow" w:hAnsi="Arial Narrow" w:cs="Arial"/>
      </w:rPr>
    </w:pPr>
    <w:r w:rsidRPr="00B55BCD">
      <w:rPr>
        <w:rFonts w:ascii="Arial Narrow" w:hAnsi="Arial Narrow" w:cs="Arial"/>
      </w:rPr>
      <w:t>SEPTEMBER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CD" w:rsidRPr="00CE02F8" w:rsidRDefault="00B55BCD" w:rsidP="00B55BCD">
    <w:pPr>
      <w:pStyle w:val="Footer"/>
      <w:jc w:val="center"/>
      <w:rPr>
        <w:rFonts w:ascii="Arial Narrow" w:hAnsi="Arial Narrow" w:cs="Arial"/>
      </w:rPr>
    </w:pPr>
    <w:r w:rsidRPr="00CE02F8">
      <w:rPr>
        <w:rFonts w:ascii="Arial Narrow" w:hAnsi="Arial Narrow" w:cs="Arial"/>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3A" w:rsidRDefault="0043643A" w:rsidP="00456A95">
      <w:r>
        <w:separator/>
      </w:r>
    </w:p>
  </w:footnote>
  <w:footnote w:type="continuationSeparator" w:id="0">
    <w:p w:rsidR="0043643A" w:rsidRDefault="0043643A" w:rsidP="0045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CD" w:rsidRDefault="00B55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4F" w:rsidRDefault="00562F4F">
    <w:pPr>
      <w:pStyle w:val="Header"/>
    </w:pPr>
    <w:r>
      <w:rPr>
        <w:noProof/>
        <w:lang w:val="en-AU" w:eastAsia="en-AU"/>
      </w:rPr>
      <w:drawing>
        <wp:anchor distT="0" distB="0" distL="114300" distR="114300" simplePos="0" relativeHeight="251670528" behindDoc="1" locked="0" layoutInCell="1" allowOverlap="1" wp14:anchorId="7324E024" wp14:editId="68B7B1B9">
          <wp:simplePos x="0" y="0"/>
          <wp:positionH relativeFrom="column">
            <wp:posOffset>-807720</wp:posOffset>
          </wp:positionH>
          <wp:positionV relativeFrom="paragraph">
            <wp:posOffset>-449580</wp:posOffset>
          </wp:positionV>
          <wp:extent cx="7543800" cy="10669905"/>
          <wp:effectExtent l="0" t="0" r="0" b="0"/>
          <wp:wrapNone/>
          <wp:docPr id="30" name="Picture 30" descr="SCS Job Folders 2:0513 - Office for Women Report cards:Artwork:0513 Report cards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 Job Folders 2:0513 - Office for Women Report cards:Artwork:0513 Report cards3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6990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4F" w:rsidRDefault="00562F4F">
    <w:pPr>
      <w:pStyle w:val="Header"/>
    </w:pPr>
    <w:r>
      <w:rPr>
        <w:noProof/>
        <w:lang w:val="en-AU" w:eastAsia="en-AU"/>
      </w:rPr>
      <w:drawing>
        <wp:anchor distT="0" distB="0" distL="114300" distR="114300" simplePos="0" relativeHeight="251671552" behindDoc="1" locked="0" layoutInCell="1" allowOverlap="1" wp14:anchorId="6A29FC5E" wp14:editId="67C38D25">
          <wp:simplePos x="0" y="0"/>
          <wp:positionH relativeFrom="column">
            <wp:posOffset>-803910</wp:posOffset>
          </wp:positionH>
          <wp:positionV relativeFrom="paragraph">
            <wp:posOffset>-474345</wp:posOffset>
          </wp:positionV>
          <wp:extent cx="7554785" cy="10685568"/>
          <wp:effectExtent l="0" t="0" r="0" b="8255"/>
          <wp:wrapNone/>
          <wp:docPr id="31" name="Picture 31" descr="SCS Job Folders 2:0513 - Office for Women Report cards:Artwork:0513 Report cards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513 - Office for Women Report cards:Artwork:0513 Report cards3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785" cy="10685568"/>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E3" w:rsidRDefault="007769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E3" w:rsidRDefault="007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962"/>
    <w:multiLevelType w:val="hybridMultilevel"/>
    <w:tmpl w:val="3BE0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217F9"/>
    <w:multiLevelType w:val="hybridMultilevel"/>
    <w:tmpl w:val="4FB08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256B80"/>
    <w:multiLevelType w:val="hybridMultilevel"/>
    <w:tmpl w:val="8CA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926CF"/>
    <w:multiLevelType w:val="hybridMultilevel"/>
    <w:tmpl w:val="FE4E9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1270CC"/>
    <w:multiLevelType w:val="hybridMultilevel"/>
    <w:tmpl w:val="0C6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3342AC"/>
    <w:multiLevelType w:val="hybridMultilevel"/>
    <w:tmpl w:val="1CD0D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00EC8"/>
    <w:multiLevelType w:val="hybridMultilevel"/>
    <w:tmpl w:val="3A809F74"/>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9E393D"/>
    <w:multiLevelType w:val="hybridMultilevel"/>
    <w:tmpl w:val="4414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9010B"/>
    <w:multiLevelType w:val="hybridMultilevel"/>
    <w:tmpl w:val="5F18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E25C5"/>
    <w:multiLevelType w:val="hybridMultilevel"/>
    <w:tmpl w:val="2E083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5525D7"/>
    <w:multiLevelType w:val="hybridMultilevel"/>
    <w:tmpl w:val="C76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0B5134"/>
    <w:multiLevelType w:val="hybridMultilevel"/>
    <w:tmpl w:val="EA683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3B8F"/>
    <w:multiLevelType w:val="hybridMultilevel"/>
    <w:tmpl w:val="2598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CC104D"/>
    <w:multiLevelType w:val="hybridMultilevel"/>
    <w:tmpl w:val="149A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F580A"/>
    <w:multiLevelType w:val="hybridMultilevel"/>
    <w:tmpl w:val="5E0C6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D227A1"/>
    <w:multiLevelType w:val="hybridMultilevel"/>
    <w:tmpl w:val="E8B89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71754B"/>
    <w:multiLevelType w:val="hybridMultilevel"/>
    <w:tmpl w:val="FE9C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3863C6"/>
    <w:multiLevelType w:val="hybridMultilevel"/>
    <w:tmpl w:val="D1E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475F5A"/>
    <w:multiLevelType w:val="hybridMultilevel"/>
    <w:tmpl w:val="8F1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0023CF"/>
    <w:multiLevelType w:val="hybridMultilevel"/>
    <w:tmpl w:val="FBA0E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247EF9"/>
    <w:multiLevelType w:val="hybridMultilevel"/>
    <w:tmpl w:val="F7E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3"/>
  </w:num>
  <w:num w:numId="4">
    <w:abstractNumId w:val="8"/>
  </w:num>
  <w:num w:numId="5">
    <w:abstractNumId w:val="18"/>
  </w:num>
  <w:num w:numId="6">
    <w:abstractNumId w:val="17"/>
  </w:num>
  <w:num w:numId="7">
    <w:abstractNumId w:val="1"/>
  </w:num>
  <w:num w:numId="8">
    <w:abstractNumId w:val="15"/>
  </w:num>
  <w:num w:numId="9">
    <w:abstractNumId w:val="16"/>
  </w:num>
  <w:num w:numId="10">
    <w:abstractNumId w:val="10"/>
  </w:num>
  <w:num w:numId="11">
    <w:abstractNumId w:val="20"/>
  </w:num>
  <w:num w:numId="12">
    <w:abstractNumId w:val="9"/>
  </w:num>
  <w:num w:numId="13">
    <w:abstractNumId w:val="5"/>
  </w:num>
  <w:num w:numId="14">
    <w:abstractNumId w:val="12"/>
  </w:num>
  <w:num w:numId="15">
    <w:abstractNumId w:val="19"/>
  </w:num>
  <w:num w:numId="16">
    <w:abstractNumId w:val="6"/>
  </w:num>
  <w:num w:numId="17">
    <w:abstractNumId w:val="11"/>
  </w:num>
  <w:num w:numId="18">
    <w:abstractNumId w:val="14"/>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1008E"/>
    <w:rsid w:val="00015183"/>
    <w:rsid w:val="00053B2B"/>
    <w:rsid w:val="00061070"/>
    <w:rsid w:val="00072A0F"/>
    <w:rsid w:val="000916D7"/>
    <w:rsid w:val="000C77F8"/>
    <w:rsid w:val="000D3994"/>
    <w:rsid w:val="00141117"/>
    <w:rsid w:val="00144906"/>
    <w:rsid w:val="00147FB4"/>
    <w:rsid w:val="00173AF9"/>
    <w:rsid w:val="001A473D"/>
    <w:rsid w:val="001B40D0"/>
    <w:rsid w:val="001F7D5C"/>
    <w:rsid w:val="0020125E"/>
    <w:rsid w:val="00204C17"/>
    <w:rsid w:val="002640F6"/>
    <w:rsid w:val="00265A92"/>
    <w:rsid w:val="00275E32"/>
    <w:rsid w:val="002A7A86"/>
    <w:rsid w:val="002D4C87"/>
    <w:rsid w:val="003138C7"/>
    <w:rsid w:val="00326BA2"/>
    <w:rsid w:val="003443F9"/>
    <w:rsid w:val="00361D12"/>
    <w:rsid w:val="00375F40"/>
    <w:rsid w:val="003B7B35"/>
    <w:rsid w:val="003F5FFD"/>
    <w:rsid w:val="00407D8B"/>
    <w:rsid w:val="0043643A"/>
    <w:rsid w:val="00456A95"/>
    <w:rsid w:val="00457AE0"/>
    <w:rsid w:val="00477491"/>
    <w:rsid w:val="00486BA7"/>
    <w:rsid w:val="004B041B"/>
    <w:rsid w:val="005243E4"/>
    <w:rsid w:val="00562F4F"/>
    <w:rsid w:val="00580913"/>
    <w:rsid w:val="005812FB"/>
    <w:rsid w:val="005875E0"/>
    <w:rsid w:val="005B670E"/>
    <w:rsid w:val="005C057F"/>
    <w:rsid w:val="005C5664"/>
    <w:rsid w:val="005E15C8"/>
    <w:rsid w:val="005E2327"/>
    <w:rsid w:val="006206D0"/>
    <w:rsid w:val="0062155C"/>
    <w:rsid w:val="006449DC"/>
    <w:rsid w:val="00654F1E"/>
    <w:rsid w:val="006628B1"/>
    <w:rsid w:val="00685962"/>
    <w:rsid w:val="006C1037"/>
    <w:rsid w:val="006C42B5"/>
    <w:rsid w:val="0072151F"/>
    <w:rsid w:val="007725C1"/>
    <w:rsid w:val="007769E3"/>
    <w:rsid w:val="00784F83"/>
    <w:rsid w:val="007A0B06"/>
    <w:rsid w:val="007C5589"/>
    <w:rsid w:val="007D272E"/>
    <w:rsid w:val="007E0A35"/>
    <w:rsid w:val="007F729D"/>
    <w:rsid w:val="00874938"/>
    <w:rsid w:val="00880C04"/>
    <w:rsid w:val="008B33C6"/>
    <w:rsid w:val="00930949"/>
    <w:rsid w:val="00940A01"/>
    <w:rsid w:val="00942297"/>
    <w:rsid w:val="00945958"/>
    <w:rsid w:val="00987FB2"/>
    <w:rsid w:val="00994FB7"/>
    <w:rsid w:val="00996315"/>
    <w:rsid w:val="009F5D7E"/>
    <w:rsid w:val="00A27119"/>
    <w:rsid w:val="00A403AA"/>
    <w:rsid w:val="00A71EAF"/>
    <w:rsid w:val="00A762EB"/>
    <w:rsid w:val="00A90013"/>
    <w:rsid w:val="00A94F85"/>
    <w:rsid w:val="00AA26AA"/>
    <w:rsid w:val="00AB754D"/>
    <w:rsid w:val="00AC5D93"/>
    <w:rsid w:val="00B1662E"/>
    <w:rsid w:val="00B16998"/>
    <w:rsid w:val="00B55BCD"/>
    <w:rsid w:val="00B773D7"/>
    <w:rsid w:val="00B910BA"/>
    <w:rsid w:val="00B918BB"/>
    <w:rsid w:val="00BA156B"/>
    <w:rsid w:val="00BD687C"/>
    <w:rsid w:val="00BE5276"/>
    <w:rsid w:val="00C06858"/>
    <w:rsid w:val="00C24938"/>
    <w:rsid w:val="00C24EF3"/>
    <w:rsid w:val="00C45E3A"/>
    <w:rsid w:val="00C52ED0"/>
    <w:rsid w:val="00C5425C"/>
    <w:rsid w:val="00C56E7A"/>
    <w:rsid w:val="00C77C32"/>
    <w:rsid w:val="00C94D40"/>
    <w:rsid w:val="00C94E42"/>
    <w:rsid w:val="00CE02F8"/>
    <w:rsid w:val="00CF6918"/>
    <w:rsid w:val="00D03CBF"/>
    <w:rsid w:val="00D300E4"/>
    <w:rsid w:val="00D303B1"/>
    <w:rsid w:val="00D316C1"/>
    <w:rsid w:val="00D56B07"/>
    <w:rsid w:val="00D57B83"/>
    <w:rsid w:val="00DA274D"/>
    <w:rsid w:val="00DA2D54"/>
    <w:rsid w:val="00DD012B"/>
    <w:rsid w:val="00DE1D2B"/>
    <w:rsid w:val="00E0092C"/>
    <w:rsid w:val="00E14590"/>
    <w:rsid w:val="00E14CC6"/>
    <w:rsid w:val="00E2159E"/>
    <w:rsid w:val="00E25C47"/>
    <w:rsid w:val="00E43EB7"/>
    <w:rsid w:val="00E479A0"/>
    <w:rsid w:val="00E52EB5"/>
    <w:rsid w:val="00E57119"/>
    <w:rsid w:val="00E6682F"/>
    <w:rsid w:val="00EE09A5"/>
    <w:rsid w:val="00F20981"/>
    <w:rsid w:val="00F30B85"/>
    <w:rsid w:val="00F521C0"/>
    <w:rsid w:val="00F65795"/>
    <w:rsid w:val="00F826CF"/>
    <w:rsid w:val="00F87150"/>
    <w:rsid w:val="00F917B7"/>
    <w:rsid w:val="00FB5272"/>
    <w:rsid w:val="00FD0A02"/>
    <w:rsid w:val="00FD3C1D"/>
    <w:rsid w:val="00FD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15:docId w15:val="{6602758D-BF10-4708-953E-BA2C3D9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semiHidden/>
    <w:unhideWhenUsed/>
    <w:rsid w:val="00144906"/>
    <w:rPr>
      <w:sz w:val="20"/>
      <w:szCs w:val="20"/>
    </w:rPr>
  </w:style>
  <w:style w:type="character" w:customStyle="1" w:styleId="EndnoteTextChar">
    <w:name w:val="Endnote Text Char"/>
    <w:basedOn w:val="DefaultParagraphFont"/>
    <w:link w:val="EndnoteText"/>
    <w:uiPriority w:val="99"/>
    <w:semiHidden/>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5210-D160-4F11-BB17-37220BA3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Queensland Women's Strategy report card - priority area 3: Women's safety</vt:lpstr>
    </vt:vector>
  </TitlesOfParts>
  <Manager/>
  <Company>Queensland Government</Company>
  <LinksUpToDate>false</LinksUpToDate>
  <CharactersWithSpaces>5703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report card - priority area 3: Women's safety</dc:title>
  <dc:subject>Queensland Women's Strategy report card - priority area 3: Women's safety</dc:subject>
  <dc:creator>Queensland Government</dc:creator>
  <cp:keywords>Queensland Women's Strategy,report card,priority area,Women's safety</cp:keywords>
  <cp:lastModifiedBy>Amanda Schneider</cp:lastModifiedBy>
  <cp:revision>2</cp:revision>
  <cp:lastPrinted>2017-08-23T05:37:00Z</cp:lastPrinted>
  <dcterms:created xsi:type="dcterms:W3CDTF">2019-01-30T06:59:00Z</dcterms:created>
  <dcterms:modified xsi:type="dcterms:W3CDTF">2019-01-30T06:59:00Z</dcterms:modified>
</cp:coreProperties>
</file>