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9889" w14:textId="7E8BF592" w:rsidR="007E78E2" w:rsidRPr="007E78E2" w:rsidRDefault="007E78E2" w:rsidP="007E78E2">
      <w:pPr>
        <w:pStyle w:val="Heading1"/>
        <w:rPr>
          <w:lang w:val="en-AU"/>
        </w:rPr>
      </w:pPr>
      <w:r w:rsidRPr="007E78E2">
        <w:rPr>
          <w:lang w:val="en-AU"/>
        </w:rPr>
        <w:t xml:space="preserve">Queensland Women’s Strategy 2016–21  </w:t>
      </w:r>
    </w:p>
    <w:p w14:paraId="78E5A140" w14:textId="1FF5BD1F" w:rsidR="007E78E2" w:rsidRPr="007E78E2" w:rsidRDefault="007E78E2" w:rsidP="007E78E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</w:pPr>
      <w:r w:rsidRPr="007E78E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>20</w:t>
      </w:r>
      <w:r w:rsidR="00A03DC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>2</w:t>
      </w:r>
      <w:r w:rsidR="00CD5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>1</w:t>
      </w:r>
      <w:r w:rsidRPr="007E78E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AU"/>
        </w:rPr>
        <w:t xml:space="preserve"> Gender Equality Report Cards</w:t>
      </w:r>
    </w:p>
    <w:p w14:paraId="1C67FA28" w14:textId="77777777" w:rsidR="007E78E2" w:rsidRPr="007E78E2" w:rsidRDefault="007E78E2" w:rsidP="007E78E2">
      <w:pPr>
        <w:rPr>
          <w:lang w:val="en-AU"/>
        </w:rPr>
      </w:pPr>
    </w:p>
    <w:p w14:paraId="5BF48534" w14:textId="77777777" w:rsidR="007E78E2" w:rsidRPr="007E78E2" w:rsidRDefault="007E78E2" w:rsidP="007E78E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AU"/>
        </w:rPr>
      </w:pPr>
      <w:r w:rsidRPr="007E78E2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n-AU"/>
        </w:rPr>
        <w:t>Priority area 2 Women’s economic security</w:t>
      </w:r>
    </w:p>
    <w:p w14:paraId="560AAF3F" w14:textId="4EA71054" w:rsidR="006206D0" w:rsidRPr="00B24270" w:rsidRDefault="006206D0" w:rsidP="000D5495">
      <w:pPr>
        <w:spacing w:after="80"/>
        <w:rPr>
          <w:rFonts w:ascii="Arial" w:hAnsi="Arial"/>
          <w:sz w:val="12"/>
          <w:szCs w:val="22"/>
        </w:rPr>
      </w:pPr>
    </w:p>
    <w:p w14:paraId="72F1F686" w14:textId="77777777" w:rsidR="006206D0" w:rsidRPr="00B24270" w:rsidRDefault="006206D0" w:rsidP="000D5495">
      <w:pPr>
        <w:spacing w:after="80"/>
        <w:rPr>
          <w:b/>
        </w:rPr>
        <w:sectPr w:rsidR="006206D0" w:rsidRPr="00B24270" w:rsidSect="00456A95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14:paraId="478B6F6F" w14:textId="105BCDC4" w:rsidR="006206D0" w:rsidRPr="00E61631" w:rsidRDefault="008D4AB2" w:rsidP="00E61631">
      <w:pPr>
        <w:pStyle w:val="Heading3"/>
        <w:rPr>
          <w:lang w:val="en-AU"/>
        </w:rPr>
      </w:pPr>
      <w:r w:rsidRPr="00E61631">
        <w:rPr>
          <w:lang w:val="en-AU"/>
        </w:rPr>
        <w:t>Education and training</w:t>
      </w:r>
    </w:p>
    <w:p w14:paraId="2CF19259" w14:textId="77777777" w:rsidR="00A62619" w:rsidRPr="00E61631" w:rsidRDefault="00A62619" w:rsidP="00E61631">
      <w:pPr>
        <w:pStyle w:val="Heading3"/>
        <w:rPr>
          <w:lang w:val="en-AU"/>
        </w:rPr>
      </w:pPr>
    </w:p>
    <w:p w14:paraId="33F37530" w14:textId="77777777" w:rsidR="004831FA" w:rsidRPr="00E61631" w:rsidRDefault="004831FA" w:rsidP="00E61631">
      <w:pPr>
        <w:spacing w:after="0"/>
        <w:rPr>
          <w:rFonts w:ascii="Arial" w:hAnsi="Arial" w:cs="Arial"/>
        </w:rPr>
      </w:pPr>
      <w:bookmarkStart w:id="0" w:name="_Hlk517948207"/>
      <w:r w:rsidRPr="00E61631">
        <w:rPr>
          <w:rFonts w:ascii="Arial" w:hAnsi="Arial" w:cs="Arial"/>
        </w:rPr>
        <w:t>Female students are consistently more likely than male students to continue on to Year 12</w:t>
      </w:r>
      <w:bookmarkEnd w:id="0"/>
      <w:r w:rsidRPr="00E61631">
        <w:rPr>
          <w:rFonts w:ascii="Arial" w:hAnsi="Arial" w:cs="Arial"/>
        </w:rPr>
        <w:t>, with higher retention rates for females than for males at 88.9% and 81.9% respectively in 2020.</w:t>
      </w:r>
      <w:r w:rsidRPr="00E61631">
        <w:rPr>
          <w:rFonts w:ascii="Arial" w:hAnsi="Arial" w:cs="Arial"/>
          <w:vertAlign w:val="superscript"/>
        </w:rPr>
        <w:endnoteReference w:id="2"/>
      </w:r>
      <w:r w:rsidRPr="00E61631">
        <w:rPr>
          <w:rFonts w:ascii="Arial" w:hAnsi="Arial" w:cs="Arial"/>
        </w:rPr>
        <w:t xml:space="preserve"> </w:t>
      </w:r>
      <w:r w:rsidRPr="00E61631">
        <w:rPr>
          <w:rFonts w:ascii="Arial" w:hAnsi="Arial" w:cs="Arial"/>
          <w:vertAlign w:val="superscript"/>
        </w:rPr>
        <w:endnoteReference w:id="3"/>
      </w:r>
      <w:r w:rsidRPr="00E61631">
        <w:rPr>
          <w:rFonts w:ascii="Arial" w:hAnsi="Arial" w:cs="Arial"/>
        </w:rPr>
        <w:t xml:space="preserve"> </w:t>
      </w:r>
    </w:p>
    <w:p w14:paraId="6024A233" w14:textId="77777777" w:rsidR="008B7DB5" w:rsidRDefault="008B7DB5" w:rsidP="00E61631">
      <w:pPr>
        <w:spacing w:after="0"/>
        <w:rPr>
          <w:rFonts w:ascii="Arial" w:hAnsi="Arial" w:cs="Arial"/>
        </w:rPr>
      </w:pPr>
    </w:p>
    <w:p w14:paraId="1DE371FB" w14:textId="77777777" w:rsidR="004831FA" w:rsidRPr="00E61631" w:rsidRDefault="004831FA" w:rsidP="00E61631">
      <w:pPr>
        <w:spacing w:after="0"/>
        <w:rPr>
          <w:rFonts w:ascii="Arial" w:hAnsi="Arial" w:cs="Arial"/>
        </w:rPr>
      </w:pPr>
      <w:r w:rsidRPr="00E61631">
        <w:rPr>
          <w:rFonts w:ascii="Arial" w:hAnsi="Arial" w:cs="Arial"/>
        </w:rPr>
        <w:t>Aboriginal and Torres Strait Islander females (72.4%) were more likely than Aboriginal and Torres Strait Islander males (61.0%) to continue on to Year 12 in 2020.</w:t>
      </w:r>
      <w:r w:rsidRPr="00E61631">
        <w:rPr>
          <w:rFonts w:ascii="Arial" w:hAnsi="Arial" w:cs="Arial"/>
          <w:vertAlign w:val="superscript"/>
        </w:rPr>
        <w:endnoteReference w:id="4"/>
      </w:r>
      <w:r w:rsidRPr="00E61631">
        <w:rPr>
          <w:rFonts w:ascii="Arial" w:hAnsi="Arial" w:cs="Arial"/>
        </w:rPr>
        <w:t xml:space="preserve"> </w:t>
      </w:r>
      <w:r w:rsidRPr="00E61631">
        <w:rPr>
          <w:rFonts w:ascii="Arial" w:hAnsi="Arial" w:cs="Arial"/>
          <w:vertAlign w:val="superscript"/>
        </w:rPr>
        <w:endnoteReference w:id="5"/>
      </w:r>
    </w:p>
    <w:p w14:paraId="786F6BD8" w14:textId="77777777" w:rsidR="008B7DB5" w:rsidRDefault="008B7DB5" w:rsidP="00E61631">
      <w:pPr>
        <w:spacing w:after="0"/>
        <w:rPr>
          <w:rFonts w:ascii="Arial" w:hAnsi="Arial" w:cs="Arial"/>
        </w:rPr>
      </w:pPr>
    </w:p>
    <w:p w14:paraId="39985EDC" w14:textId="77777777" w:rsidR="004831FA" w:rsidRPr="00E61631" w:rsidRDefault="004831FA" w:rsidP="00E61631">
      <w:pPr>
        <w:spacing w:after="0"/>
        <w:rPr>
          <w:rFonts w:ascii="Arial" w:hAnsi="Arial" w:cs="Arial"/>
        </w:rPr>
      </w:pPr>
      <w:r w:rsidRPr="00E61631">
        <w:rPr>
          <w:rFonts w:ascii="Arial" w:hAnsi="Arial" w:cs="Arial"/>
        </w:rPr>
        <w:t>As at May 2020, 28.5% of females aged 15-74 years held a bachelor degree or higher, compared with 22.9% for males.</w:t>
      </w:r>
      <w:r w:rsidRPr="00E61631">
        <w:rPr>
          <w:rFonts w:ascii="Arial" w:hAnsi="Arial" w:cs="Arial"/>
          <w:vertAlign w:val="superscript"/>
        </w:rPr>
        <w:endnoteReference w:id="6"/>
      </w:r>
    </w:p>
    <w:p w14:paraId="65893E32" w14:textId="77777777" w:rsidR="008B7DB5" w:rsidRDefault="008B7DB5" w:rsidP="00E61631">
      <w:pPr>
        <w:spacing w:after="0"/>
        <w:rPr>
          <w:rFonts w:ascii="Arial" w:hAnsi="Arial" w:cs="Arial"/>
        </w:rPr>
      </w:pPr>
    </w:p>
    <w:p w14:paraId="257BEC00" w14:textId="77777777" w:rsidR="004831FA" w:rsidRPr="00E61631" w:rsidRDefault="004831FA" w:rsidP="00E61631">
      <w:pPr>
        <w:spacing w:after="0"/>
        <w:rPr>
          <w:rFonts w:ascii="Arial" w:hAnsi="Arial" w:cs="Arial"/>
        </w:rPr>
      </w:pPr>
      <w:r w:rsidRPr="00E61631">
        <w:rPr>
          <w:rFonts w:ascii="Arial" w:hAnsi="Arial" w:cs="Arial"/>
        </w:rPr>
        <w:t>Aboriginal and Torres Strait Islander females were more than twice as likely as Aboriginal and Torres Strait Islander males to hold a bachelor degree in 2016.</w:t>
      </w:r>
      <w:r w:rsidRPr="00E61631">
        <w:rPr>
          <w:rFonts w:ascii="Arial" w:hAnsi="Arial" w:cs="Arial"/>
          <w:vertAlign w:val="superscript"/>
        </w:rPr>
        <w:endnoteReference w:id="7"/>
      </w:r>
      <w:r w:rsidRPr="00E61631">
        <w:rPr>
          <w:rFonts w:ascii="Arial" w:hAnsi="Arial" w:cs="Arial"/>
        </w:rPr>
        <w:t xml:space="preserve"> </w:t>
      </w:r>
    </w:p>
    <w:p w14:paraId="5D23E066" w14:textId="77777777" w:rsidR="008B7DB5" w:rsidRDefault="008B7DB5" w:rsidP="00E61631">
      <w:pPr>
        <w:spacing w:after="0"/>
        <w:rPr>
          <w:rFonts w:ascii="Arial" w:hAnsi="Arial" w:cs="Arial"/>
        </w:rPr>
      </w:pPr>
    </w:p>
    <w:p w14:paraId="1E1979D1" w14:textId="061B31F9" w:rsidR="004831FA" w:rsidRDefault="004831FA" w:rsidP="00E61631">
      <w:pPr>
        <w:spacing w:after="0"/>
        <w:rPr>
          <w:rFonts w:ascii="Arial" w:hAnsi="Arial" w:cs="Arial"/>
        </w:rPr>
      </w:pPr>
      <w:r w:rsidRPr="00E61631">
        <w:rPr>
          <w:rFonts w:ascii="Arial" w:hAnsi="Arial" w:cs="Arial"/>
        </w:rPr>
        <w:t>In 2019, females represented 59.8% of undergraduate and postgraduate student enrolments, but they made up 33.9% of STEM enrolments. Similarly, female students represented 61.3% of undergraduate and postgraduate course completions, but they made up 35.9% of STEM completions.</w:t>
      </w:r>
      <w:r w:rsidRPr="00E61631">
        <w:rPr>
          <w:rFonts w:ascii="Arial" w:hAnsi="Arial" w:cs="Arial"/>
          <w:vertAlign w:val="superscript"/>
        </w:rPr>
        <w:endnoteReference w:id="8"/>
      </w:r>
      <w:r w:rsidRPr="00E61631">
        <w:rPr>
          <w:rFonts w:ascii="Arial" w:hAnsi="Arial" w:cs="Arial"/>
        </w:rPr>
        <w:t xml:space="preserve"> </w:t>
      </w:r>
      <w:r w:rsidRPr="00E61631">
        <w:rPr>
          <w:rFonts w:ascii="Arial" w:hAnsi="Arial" w:cs="Arial"/>
          <w:vertAlign w:val="superscript"/>
        </w:rPr>
        <w:endnoteReference w:id="9"/>
      </w:r>
    </w:p>
    <w:p w14:paraId="5C58D1D5" w14:textId="77777777" w:rsidR="00F61DA2" w:rsidRPr="00E61631" w:rsidRDefault="00F61DA2" w:rsidP="00E61631">
      <w:pPr>
        <w:spacing w:after="0"/>
        <w:rPr>
          <w:rFonts w:ascii="Arial" w:hAnsi="Arial" w:cs="Arial"/>
        </w:rPr>
      </w:pPr>
    </w:p>
    <w:p w14:paraId="52631B25" w14:textId="77777777" w:rsidR="004831FA" w:rsidRPr="008B7DB5" w:rsidRDefault="004831FA" w:rsidP="004821CD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ascii="Arial" w:hAnsi="Arial" w:cs="Arial"/>
        </w:rPr>
      </w:pPr>
      <w:r w:rsidRPr="008B7DB5">
        <w:rPr>
          <w:rFonts w:ascii="Arial" w:hAnsi="Arial" w:cs="Arial"/>
        </w:rPr>
        <w:t xml:space="preserve">While representing around 1 in 3 STEM enrolments, when looking at the distribution across courses among females, only 13.0% overall were enrolled in STEM compared with 37.8% of males. </w:t>
      </w:r>
    </w:p>
    <w:p w14:paraId="3F153A93" w14:textId="77777777" w:rsidR="004831FA" w:rsidRDefault="004831FA" w:rsidP="004821CD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ascii="Arial" w:hAnsi="Arial" w:cs="Arial"/>
        </w:rPr>
      </w:pPr>
      <w:r w:rsidRPr="008B7DB5">
        <w:rPr>
          <w:rFonts w:ascii="Arial" w:hAnsi="Arial" w:cs="Arial"/>
        </w:rPr>
        <w:t>Females were most likely to be enrolled in Health courses (31.9%) followed by Society and culture (26.8%).</w:t>
      </w:r>
    </w:p>
    <w:p w14:paraId="5676B0F1" w14:textId="77777777" w:rsidR="00F61DA2" w:rsidRPr="008B7DB5" w:rsidRDefault="00F61DA2" w:rsidP="00F61DA2">
      <w:pPr>
        <w:pStyle w:val="ListParagraph"/>
        <w:ind w:left="714"/>
        <w:contextualSpacing w:val="0"/>
        <w:rPr>
          <w:rFonts w:ascii="Arial" w:hAnsi="Arial" w:cs="Arial"/>
        </w:rPr>
      </w:pPr>
    </w:p>
    <w:p w14:paraId="2C74F4F7" w14:textId="77777777" w:rsidR="004831FA" w:rsidRDefault="004831FA" w:rsidP="008B7DB5">
      <w:pPr>
        <w:spacing w:after="0"/>
        <w:rPr>
          <w:rFonts w:ascii="Arial" w:hAnsi="Arial" w:cs="Arial"/>
        </w:rPr>
      </w:pPr>
      <w:r w:rsidRPr="00E61631">
        <w:rPr>
          <w:rFonts w:ascii="Arial" w:hAnsi="Arial" w:cs="Arial"/>
        </w:rPr>
        <w:t xml:space="preserve">In December 2020, females were overrepresented in certain apprenticeships or traineeships (in training) in non-trade occupations, such as personal assistants and secretaries (96.3%) and </w:t>
      </w:r>
      <w:proofErr w:type="spellStart"/>
      <w:r w:rsidRPr="00E61631">
        <w:rPr>
          <w:rFonts w:ascii="Arial" w:hAnsi="Arial" w:cs="Arial"/>
        </w:rPr>
        <w:t>carers</w:t>
      </w:r>
      <w:proofErr w:type="spellEnd"/>
      <w:r w:rsidRPr="00E61631">
        <w:rPr>
          <w:rFonts w:ascii="Arial" w:hAnsi="Arial" w:cs="Arial"/>
        </w:rPr>
        <w:t xml:space="preserve"> and aides (93.3%) but were underrepresented in apprenticeships or traineeships (in training) in trade occupations such as construction trades workers (2.6%) and automotive and engineering trades workers (4.7%).</w:t>
      </w:r>
      <w:r w:rsidRPr="00E61631">
        <w:rPr>
          <w:rFonts w:ascii="Arial" w:hAnsi="Arial" w:cs="Arial"/>
          <w:vertAlign w:val="superscript"/>
        </w:rPr>
        <w:endnoteReference w:id="10"/>
      </w:r>
      <w:r w:rsidRPr="00E61631">
        <w:rPr>
          <w:rFonts w:ascii="Arial" w:hAnsi="Arial" w:cs="Arial"/>
        </w:rPr>
        <w:t xml:space="preserve"> </w:t>
      </w:r>
      <w:r w:rsidRPr="00E61631">
        <w:rPr>
          <w:rFonts w:ascii="Arial" w:hAnsi="Arial" w:cs="Arial"/>
          <w:vertAlign w:val="superscript"/>
        </w:rPr>
        <w:endnoteReference w:id="11"/>
      </w:r>
    </w:p>
    <w:p w14:paraId="61DCC32D" w14:textId="77777777" w:rsidR="004821CD" w:rsidRPr="00E61631" w:rsidRDefault="004821CD" w:rsidP="008B7DB5">
      <w:pPr>
        <w:spacing w:after="0"/>
        <w:rPr>
          <w:rFonts w:ascii="Arial" w:hAnsi="Arial" w:cs="Arial"/>
        </w:rPr>
      </w:pPr>
    </w:p>
    <w:p w14:paraId="1DE68039" w14:textId="77777777" w:rsidR="004831FA" w:rsidRDefault="004831FA" w:rsidP="008B7DB5">
      <w:pPr>
        <w:pStyle w:val="Heading3"/>
      </w:pPr>
      <w:r w:rsidRPr="004831FA">
        <w:t>Income</w:t>
      </w:r>
    </w:p>
    <w:p w14:paraId="6D38846D" w14:textId="77777777" w:rsidR="004821CD" w:rsidRPr="004821CD" w:rsidRDefault="004821CD" w:rsidP="004821CD"/>
    <w:p w14:paraId="2ED1D20A" w14:textId="77777777" w:rsidR="004831FA" w:rsidRPr="004821CD" w:rsidRDefault="004831FA" w:rsidP="004821CD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>Females, on average, earned $1,479.20 in a full-time working week in May 2021, compared with $1,756.00 for males, leading to a 15.8% gender pay gap</w:t>
      </w:r>
      <w:r w:rsidRPr="004821CD">
        <w:rPr>
          <w:rFonts w:ascii="Arial" w:hAnsi="Arial" w:cs="Arial"/>
          <w:vertAlign w:val="superscript"/>
        </w:rPr>
        <w:endnoteReference w:id="12"/>
      </w:r>
      <w:r w:rsidRPr="004821CD">
        <w:rPr>
          <w:rFonts w:ascii="Arial" w:hAnsi="Arial" w:cs="Arial"/>
        </w:rPr>
        <w:t xml:space="preserve"> compared with 14.2% nationally (full-time average weekly earnings of $1,575.50 for females and $1,837.00 for males).</w:t>
      </w:r>
      <w:r w:rsidRPr="004821CD">
        <w:rPr>
          <w:rFonts w:ascii="Arial" w:hAnsi="Arial" w:cs="Arial"/>
          <w:vertAlign w:val="superscript"/>
        </w:rPr>
        <w:endnoteReference w:id="13"/>
      </w:r>
    </w:p>
    <w:p w14:paraId="1F477C1F" w14:textId="77777777" w:rsidR="004821CD" w:rsidRDefault="004821CD" w:rsidP="004821CD">
      <w:pPr>
        <w:spacing w:after="0"/>
        <w:rPr>
          <w:rFonts w:ascii="Arial" w:hAnsi="Arial" w:cs="Arial"/>
        </w:rPr>
      </w:pPr>
    </w:p>
    <w:p w14:paraId="7B96B03F" w14:textId="77777777" w:rsidR="004831FA" w:rsidRPr="004821CD" w:rsidRDefault="004831FA" w:rsidP="004821CD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>Across occupations, machinery operators and drivers were likely to have the largest pay gap, in terms of average hourly ordinary time cash earnings, with females earning 21.9% less than males.</w:t>
      </w:r>
      <w:r w:rsidRPr="004821CD">
        <w:rPr>
          <w:rFonts w:ascii="Arial" w:hAnsi="Arial" w:cs="Arial"/>
          <w:vertAlign w:val="superscript"/>
        </w:rPr>
        <w:endnoteReference w:id="14"/>
      </w:r>
      <w:r w:rsidRPr="004821CD">
        <w:rPr>
          <w:rFonts w:ascii="Arial" w:hAnsi="Arial" w:cs="Arial"/>
        </w:rPr>
        <w:t xml:space="preserve"> The lowest gender gap was for </w:t>
      </w:r>
      <w:proofErr w:type="spellStart"/>
      <w:r w:rsidRPr="004821CD">
        <w:rPr>
          <w:rFonts w:ascii="Arial" w:hAnsi="Arial" w:cs="Arial"/>
        </w:rPr>
        <w:t>labourers</w:t>
      </w:r>
      <w:proofErr w:type="spellEnd"/>
      <w:r w:rsidRPr="004821CD">
        <w:rPr>
          <w:rFonts w:ascii="Arial" w:hAnsi="Arial" w:cs="Arial"/>
        </w:rPr>
        <w:t xml:space="preserve"> (12.3%), followed by sales workers (14.7%).</w:t>
      </w:r>
      <w:r w:rsidRPr="004821CD">
        <w:rPr>
          <w:rFonts w:ascii="Arial" w:hAnsi="Arial" w:cs="Arial"/>
          <w:vertAlign w:val="superscript"/>
        </w:rPr>
        <w:endnoteReference w:id="15"/>
      </w:r>
    </w:p>
    <w:p w14:paraId="147183C3" w14:textId="77777777" w:rsidR="004821CD" w:rsidRDefault="004821CD" w:rsidP="004821CD">
      <w:pPr>
        <w:spacing w:after="0"/>
        <w:rPr>
          <w:rFonts w:ascii="Arial" w:hAnsi="Arial" w:cs="Arial"/>
        </w:rPr>
      </w:pPr>
    </w:p>
    <w:p w14:paraId="5EF46CDA" w14:textId="77777777" w:rsidR="004831FA" w:rsidRPr="004821CD" w:rsidRDefault="004831FA" w:rsidP="004821CD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 xml:space="preserve">Across industries, the largest pay gap was in the professional, scientific and </w:t>
      </w:r>
      <w:r w:rsidRPr="004821CD">
        <w:rPr>
          <w:rFonts w:ascii="Arial" w:hAnsi="Arial" w:cs="Arial"/>
        </w:rPr>
        <w:lastRenderedPageBreak/>
        <w:t>technical services industry, with females earning $39.50 per hour — 29.5% less than that of males ($56.00), based on the average hourly ordinary time cash earnings of adult employees working in non-managerial roles, and the lowest gender pay gap was in the accommodation and food services industry with females earning $27.20 — 5.9% less than that of males ($28.90).</w:t>
      </w:r>
      <w:r w:rsidRPr="004821CD">
        <w:rPr>
          <w:rFonts w:ascii="Arial" w:hAnsi="Arial" w:cs="Arial"/>
          <w:vertAlign w:val="superscript"/>
        </w:rPr>
        <w:t xml:space="preserve"> </w:t>
      </w:r>
      <w:r w:rsidRPr="004821CD">
        <w:rPr>
          <w:rFonts w:ascii="Arial" w:hAnsi="Arial" w:cs="Arial"/>
          <w:vertAlign w:val="superscript"/>
        </w:rPr>
        <w:endnoteReference w:id="16"/>
      </w:r>
      <w:r w:rsidRPr="004821CD">
        <w:rPr>
          <w:rFonts w:ascii="Arial" w:hAnsi="Arial" w:cs="Arial"/>
        </w:rPr>
        <w:t xml:space="preserve"> </w:t>
      </w:r>
      <w:r w:rsidRPr="004821CD">
        <w:rPr>
          <w:rFonts w:ascii="Arial" w:hAnsi="Arial" w:cs="Arial"/>
          <w:vertAlign w:val="superscript"/>
        </w:rPr>
        <w:endnoteReference w:id="17"/>
      </w:r>
    </w:p>
    <w:p w14:paraId="0C2D6A14" w14:textId="77777777" w:rsidR="004821CD" w:rsidRDefault="004821CD" w:rsidP="004821CD">
      <w:pPr>
        <w:spacing w:after="0"/>
        <w:rPr>
          <w:rFonts w:ascii="Arial" w:hAnsi="Arial" w:cs="Arial"/>
        </w:rPr>
      </w:pPr>
    </w:p>
    <w:p w14:paraId="6200CCB9" w14:textId="77777777" w:rsidR="004831FA" w:rsidRDefault="004831FA" w:rsidP="004821CD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 xml:space="preserve">In May 2018, based on average weekly total cash earnings, </w:t>
      </w:r>
    </w:p>
    <w:p w14:paraId="226F0237" w14:textId="77777777" w:rsidR="00F61DA2" w:rsidRPr="004821CD" w:rsidRDefault="00F61DA2" w:rsidP="004821CD">
      <w:pPr>
        <w:spacing w:after="0"/>
        <w:rPr>
          <w:rFonts w:ascii="Arial" w:hAnsi="Arial" w:cs="Arial"/>
        </w:rPr>
      </w:pPr>
    </w:p>
    <w:p w14:paraId="53BAB3C4" w14:textId="77777777" w:rsidR="004831FA" w:rsidRPr="004821CD" w:rsidRDefault="004831FA" w:rsidP="004821C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21CD">
        <w:rPr>
          <w:rFonts w:ascii="Arial" w:hAnsi="Arial" w:cs="Arial"/>
        </w:rPr>
        <w:t>females working part-time on a casual basis earnt a total of $519.70 weekly — 25.5% less than that of their male counterparts ($697.70).</w:t>
      </w:r>
      <w:r w:rsidRPr="004821CD">
        <w:rPr>
          <w:vertAlign w:val="superscript"/>
        </w:rPr>
        <w:endnoteReference w:id="18"/>
      </w:r>
    </w:p>
    <w:p w14:paraId="3C8F48E2" w14:textId="77777777" w:rsidR="004831FA" w:rsidRDefault="004831FA" w:rsidP="004821C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21CD">
        <w:rPr>
          <w:rFonts w:ascii="Arial" w:hAnsi="Arial" w:cs="Arial"/>
        </w:rPr>
        <w:t>all female employees (working full-time or part-time) on a casual basis earnt a total of $586.70 weekly — 41.8% less than that of their male counterparts ($1,008.10).</w:t>
      </w:r>
      <w:r w:rsidRPr="004821CD">
        <w:rPr>
          <w:vertAlign w:val="superscript"/>
        </w:rPr>
        <w:endnoteReference w:id="19"/>
      </w:r>
    </w:p>
    <w:p w14:paraId="6C1B29A5" w14:textId="77777777" w:rsidR="00E53DA0" w:rsidRPr="004821CD" w:rsidRDefault="00E53DA0" w:rsidP="00E53DA0">
      <w:pPr>
        <w:pStyle w:val="ListParagraph"/>
        <w:rPr>
          <w:rFonts w:ascii="Arial" w:hAnsi="Arial" w:cs="Arial"/>
        </w:rPr>
      </w:pPr>
    </w:p>
    <w:p w14:paraId="5FEBE868" w14:textId="77777777" w:rsidR="004831FA" w:rsidRDefault="004831FA" w:rsidP="004821CD">
      <w:pPr>
        <w:pStyle w:val="Heading3"/>
      </w:pPr>
      <w:r w:rsidRPr="004831FA">
        <w:t>Income support</w:t>
      </w:r>
    </w:p>
    <w:p w14:paraId="454B3797" w14:textId="77777777" w:rsidR="004821CD" w:rsidRPr="004821CD" w:rsidRDefault="004821CD" w:rsidP="004821CD"/>
    <w:p w14:paraId="783FC39B" w14:textId="77777777" w:rsidR="004831FA" w:rsidRPr="004821CD" w:rsidRDefault="004831FA" w:rsidP="00E53DA0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 xml:space="preserve">For people aged 65 years and over who were not in the </w:t>
      </w:r>
      <w:proofErr w:type="spellStart"/>
      <w:r w:rsidRPr="004821CD">
        <w:rPr>
          <w:rFonts w:ascii="Arial" w:hAnsi="Arial" w:cs="Arial"/>
        </w:rPr>
        <w:t>labour</w:t>
      </w:r>
      <w:proofErr w:type="spellEnd"/>
      <w:r w:rsidRPr="004821CD">
        <w:rPr>
          <w:rFonts w:ascii="Arial" w:hAnsi="Arial" w:cs="Arial"/>
        </w:rPr>
        <w:t xml:space="preserve"> force, government pensions and allowances were the main source of income for 78.0% of females and 65.0% of males in 2017–18</w:t>
      </w:r>
      <w:r w:rsidRPr="004821CD">
        <w:rPr>
          <w:rFonts w:ascii="Arial" w:hAnsi="Arial" w:cs="Arial"/>
          <w:vertAlign w:val="superscript"/>
        </w:rPr>
        <w:endnoteReference w:id="20"/>
      </w:r>
      <w:r w:rsidRPr="004821CD">
        <w:rPr>
          <w:rFonts w:ascii="Arial" w:hAnsi="Arial" w:cs="Arial"/>
        </w:rPr>
        <w:t xml:space="preserve"> — nationally</w:t>
      </w:r>
      <w:r w:rsidRPr="004821CD">
        <w:rPr>
          <w:rFonts w:ascii="Arial" w:hAnsi="Arial" w:cs="Arial"/>
          <w:shd w:val="clear" w:color="auto" w:fill="FFFFFF" w:themeFill="background1"/>
        </w:rPr>
        <w:t xml:space="preserve"> 69.4% of females and 63.0% of males.</w:t>
      </w:r>
      <w:r w:rsidRPr="004821CD">
        <w:rPr>
          <w:rFonts w:ascii="Arial" w:hAnsi="Arial" w:cs="Arial"/>
          <w:shd w:val="clear" w:color="auto" w:fill="FFFFFF" w:themeFill="background1"/>
          <w:vertAlign w:val="superscript"/>
        </w:rPr>
        <w:endnoteReference w:id="21"/>
      </w:r>
      <w:r w:rsidRPr="004821CD">
        <w:rPr>
          <w:rFonts w:ascii="Arial" w:hAnsi="Arial" w:cs="Arial"/>
        </w:rPr>
        <w:t xml:space="preserve"> </w:t>
      </w:r>
    </w:p>
    <w:p w14:paraId="71E5C2CE" w14:textId="77777777" w:rsidR="00E53DA0" w:rsidRDefault="00E53DA0" w:rsidP="00E53DA0">
      <w:pPr>
        <w:spacing w:after="0"/>
        <w:rPr>
          <w:rFonts w:ascii="Arial" w:hAnsi="Arial" w:cs="Arial"/>
        </w:rPr>
      </w:pPr>
    </w:p>
    <w:p w14:paraId="41400BBE" w14:textId="77777777" w:rsidR="004831FA" w:rsidRDefault="004831FA" w:rsidP="00E53DA0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>Females comprised 94.6% of single parents who received Parenting Payment, having principal care of a child or children under the age of eight years</w:t>
      </w:r>
      <w:r w:rsidRPr="004821CD">
        <w:rPr>
          <w:rFonts w:ascii="Arial" w:hAnsi="Arial" w:cs="Arial"/>
          <w:vertAlign w:val="superscript"/>
        </w:rPr>
        <w:endnoteReference w:id="22"/>
      </w:r>
      <w:r w:rsidRPr="004821CD">
        <w:rPr>
          <w:rFonts w:ascii="Arial" w:hAnsi="Arial" w:cs="Arial"/>
        </w:rPr>
        <w:t xml:space="preserve">, and 71.3% of people receiving </w:t>
      </w:r>
      <w:proofErr w:type="spellStart"/>
      <w:r w:rsidRPr="004821CD">
        <w:rPr>
          <w:rFonts w:ascii="Arial" w:hAnsi="Arial" w:cs="Arial"/>
        </w:rPr>
        <w:t>Carer</w:t>
      </w:r>
      <w:proofErr w:type="spellEnd"/>
      <w:r w:rsidRPr="004821CD">
        <w:rPr>
          <w:rFonts w:ascii="Arial" w:hAnsi="Arial" w:cs="Arial"/>
        </w:rPr>
        <w:t xml:space="preserve"> Payment in Queensland in June quarter 2021.</w:t>
      </w:r>
      <w:r w:rsidRPr="004821CD">
        <w:rPr>
          <w:rFonts w:ascii="Arial" w:hAnsi="Arial" w:cs="Arial"/>
          <w:vertAlign w:val="superscript"/>
        </w:rPr>
        <w:endnoteReference w:id="23"/>
      </w:r>
    </w:p>
    <w:p w14:paraId="17B4CAB4" w14:textId="77777777" w:rsidR="00F61DA2" w:rsidRDefault="00F61DA2" w:rsidP="00E53DA0">
      <w:pPr>
        <w:spacing w:after="0"/>
        <w:rPr>
          <w:rFonts w:ascii="Arial" w:hAnsi="Arial" w:cs="Arial"/>
        </w:rPr>
      </w:pPr>
    </w:p>
    <w:p w14:paraId="0DD12340" w14:textId="77777777" w:rsidR="00F61DA2" w:rsidRDefault="00F61DA2" w:rsidP="00E53DA0">
      <w:pPr>
        <w:spacing w:after="0"/>
        <w:rPr>
          <w:rFonts w:ascii="Arial" w:hAnsi="Arial" w:cs="Arial"/>
        </w:rPr>
      </w:pPr>
    </w:p>
    <w:p w14:paraId="2B420925" w14:textId="77777777" w:rsidR="00F61DA2" w:rsidRDefault="00F61DA2" w:rsidP="00E53DA0">
      <w:pPr>
        <w:spacing w:after="0"/>
        <w:rPr>
          <w:rFonts w:ascii="Arial" w:hAnsi="Arial" w:cs="Arial"/>
        </w:rPr>
      </w:pPr>
    </w:p>
    <w:p w14:paraId="682EB90B" w14:textId="77777777" w:rsidR="00887302" w:rsidRPr="004821CD" w:rsidRDefault="00887302" w:rsidP="00E53DA0">
      <w:pPr>
        <w:spacing w:after="0"/>
        <w:rPr>
          <w:rFonts w:ascii="Arial" w:hAnsi="Arial" w:cs="Arial"/>
        </w:rPr>
      </w:pPr>
    </w:p>
    <w:p w14:paraId="510F4A5E" w14:textId="77777777" w:rsidR="004831FA" w:rsidRDefault="004831FA" w:rsidP="00887302">
      <w:pPr>
        <w:pStyle w:val="Heading3"/>
      </w:pPr>
      <w:r w:rsidRPr="004821CD">
        <w:t>Retirement and superannuation</w:t>
      </w:r>
    </w:p>
    <w:p w14:paraId="637DBD3A" w14:textId="77777777" w:rsidR="00887302" w:rsidRPr="00887302" w:rsidRDefault="00887302" w:rsidP="00887302"/>
    <w:p w14:paraId="52A4E9E4" w14:textId="77777777" w:rsidR="004831FA" w:rsidRPr="004821CD" w:rsidRDefault="004831FA" w:rsidP="00887302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  <w:shd w:val="clear" w:color="auto" w:fill="FFFFFF" w:themeFill="background1"/>
        </w:rPr>
        <w:t>The average superannuation balance was $111,275 for females and $164,031 for males in 2017–18</w:t>
      </w:r>
      <w:r w:rsidRPr="004821CD">
        <w:rPr>
          <w:rFonts w:ascii="Arial" w:hAnsi="Arial" w:cs="Arial"/>
          <w:shd w:val="clear" w:color="auto" w:fill="FFFFFF" w:themeFill="background1"/>
          <w:vertAlign w:val="superscript"/>
        </w:rPr>
        <w:endnoteReference w:id="24"/>
      </w:r>
      <w:r w:rsidRPr="004821CD">
        <w:rPr>
          <w:rFonts w:ascii="Arial" w:hAnsi="Arial" w:cs="Arial"/>
          <w:shd w:val="clear" w:color="auto" w:fill="FFFFFF" w:themeFill="background1"/>
        </w:rPr>
        <w:t>, that is, about 32.2% less than men’s — nationally $121,322 for females and $168,474 for males.</w:t>
      </w:r>
      <w:r w:rsidRPr="004821CD">
        <w:rPr>
          <w:rFonts w:ascii="Arial" w:hAnsi="Arial" w:cs="Arial"/>
          <w:shd w:val="clear" w:color="auto" w:fill="FFFFFF" w:themeFill="background1"/>
          <w:vertAlign w:val="superscript"/>
        </w:rPr>
        <w:endnoteReference w:id="25"/>
      </w:r>
      <w:r w:rsidRPr="004821CD">
        <w:rPr>
          <w:rFonts w:ascii="Arial" w:hAnsi="Arial" w:cs="Arial"/>
          <w:shd w:val="clear" w:color="auto" w:fill="FFFFFF" w:themeFill="background1"/>
        </w:rPr>
        <w:t xml:space="preserve"> </w:t>
      </w:r>
    </w:p>
    <w:p w14:paraId="35BACCA5" w14:textId="77777777" w:rsidR="00887302" w:rsidRDefault="00887302" w:rsidP="00887302">
      <w:pPr>
        <w:spacing w:after="0"/>
        <w:rPr>
          <w:rFonts w:ascii="Arial" w:hAnsi="Arial" w:cs="Arial"/>
        </w:rPr>
      </w:pPr>
    </w:p>
    <w:p w14:paraId="1BAD9F54" w14:textId="77777777" w:rsidR="004831FA" w:rsidRPr="004821CD" w:rsidRDefault="004831FA" w:rsidP="00887302">
      <w:pPr>
        <w:spacing w:after="0"/>
        <w:rPr>
          <w:rFonts w:ascii="Arial" w:hAnsi="Arial" w:cs="Arial"/>
          <w:shd w:val="clear" w:color="auto" w:fill="FFFFFF" w:themeFill="background1"/>
        </w:rPr>
      </w:pPr>
      <w:r w:rsidRPr="004821CD">
        <w:rPr>
          <w:rFonts w:ascii="Arial" w:hAnsi="Arial" w:cs="Arial"/>
        </w:rPr>
        <w:t>In every age group, on average, females had lower superannuation balances than males. Those aged 70 years and over showed the largest gap, with $279,463 for females and $404,490 for males in 2017–</w:t>
      </w:r>
      <w:r w:rsidRPr="004821CD">
        <w:rPr>
          <w:rFonts w:ascii="Arial" w:hAnsi="Arial" w:cs="Arial"/>
          <w:shd w:val="clear" w:color="auto" w:fill="FFFFFF" w:themeFill="background1"/>
        </w:rPr>
        <w:t>18.</w:t>
      </w:r>
      <w:r w:rsidRPr="004821CD">
        <w:rPr>
          <w:rFonts w:ascii="Arial" w:hAnsi="Arial" w:cs="Arial"/>
          <w:shd w:val="clear" w:color="auto" w:fill="FFFFFF" w:themeFill="background1"/>
          <w:vertAlign w:val="superscript"/>
        </w:rPr>
        <w:endnoteReference w:id="26"/>
      </w:r>
    </w:p>
    <w:p w14:paraId="5A49B972" w14:textId="77777777" w:rsidR="00887302" w:rsidRDefault="00887302" w:rsidP="00887302">
      <w:pPr>
        <w:spacing w:after="0"/>
        <w:rPr>
          <w:rFonts w:ascii="Arial" w:hAnsi="Arial" w:cs="Arial"/>
        </w:rPr>
      </w:pPr>
    </w:p>
    <w:p w14:paraId="21ECE809" w14:textId="77777777" w:rsidR="004831FA" w:rsidRPr="004821CD" w:rsidRDefault="004831FA" w:rsidP="00887302">
      <w:pPr>
        <w:spacing w:after="0"/>
        <w:rPr>
          <w:rFonts w:ascii="Arial" w:hAnsi="Arial" w:cs="Arial"/>
          <w:color w:val="FF0000"/>
        </w:rPr>
      </w:pPr>
      <w:r w:rsidRPr="004821CD">
        <w:rPr>
          <w:rFonts w:ascii="Arial" w:hAnsi="Arial" w:cs="Arial"/>
        </w:rPr>
        <w:t xml:space="preserve">The average balance of superannuation accounts for people aged 65 years and over who were not in the </w:t>
      </w:r>
      <w:proofErr w:type="spellStart"/>
      <w:r w:rsidRPr="004821CD">
        <w:rPr>
          <w:rFonts w:ascii="Arial" w:hAnsi="Arial" w:cs="Arial"/>
        </w:rPr>
        <w:t>labour</w:t>
      </w:r>
      <w:proofErr w:type="spellEnd"/>
      <w:r w:rsidRPr="004821CD">
        <w:rPr>
          <w:rFonts w:ascii="Arial" w:hAnsi="Arial" w:cs="Arial"/>
        </w:rPr>
        <w:t xml:space="preserve"> force was $76,429 for females, compared with $153,699 for males — nationally $106,392 for females and $155,453 for males. </w:t>
      </w:r>
    </w:p>
    <w:p w14:paraId="595C2CA5" w14:textId="77777777" w:rsidR="00887302" w:rsidRDefault="00887302" w:rsidP="00887302">
      <w:pPr>
        <w:spacing w:after="0"/>
        <w:rPr>
          <w:rFonts w:ascii="Arial" w:hAnsi="Arial" w:cs="Arial"/>
        </w:rPr>
      </w:pPr>
    </w:p>
    <w:p w14:paraId="188E6741" w14:textId="77777777" w:rsidR="004831FA" w:rsidRPr="004821CD" w:rsidRDefault="004831FA" w:rsidP="00887302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>Of people aged 15–64 years, females were more likely than males to have no superannuation coverage.</w:t>
      </w:r>
      <w:r w:rsidRPr="004821CD">
        <w:rPr>
          <w:rFonts w:ascii="Arial" w:hAnsi="Arial" w:cs="Arial"/>
          <w:vertAlign w:val="superscript"/>
        </w:rPr>
        <w:endnoteReference w:id="27"/>
      </w:r>
      <w:r w:rsidRPr="004821CD">
        <w:rPr>
          <w:rFonts w:ascii="Arial" w:hAnsi="Arial" w:cs="Arial"/>
        </w:rPr>
        <w:t xml:space="preserve"> Those aged </w:t>
      </w:r>
      <w:r w:rsidRPr="004821CD">
        <w:rPr>
          <w:rFonts w:ascii="Arial" w:hAnsi="Arial" w:cs="Arial"/>
        </w:rPr>
        <w:br/>
        <w:t>55–64 years showed the greatest gender gap, with 20.9% of females, compared with 13.6% of males, in this age group having no superannuation coverage in 2017–18</w:t>
      </w:r>
      <w:r w:rsidRPr="004821CD">
        <w:rPr>
          <w:rFonts w:ascii="Arial" w:hAnsi="Arial" w:cs="Arial"/>
          <w:vertAlign w:val="superscript"/>
        </w:rPr>
        <w:endnoteReference w:id="28"/>
      </w:r>
      <w:r w:rsidRPr="004821CD">
        <w:rPr>
          <w:rFonts w:ascii="Arial" w:hAnsi="Arial" w:cs="Arial"/>
          <w:vertAlign w:val="superscript"/>
        </w:rPr>
        <w:t xml:space="preserve"> </w:t>
      </w:r>
      <w:r w:rsidRPr="004821CD">
        <w:rPr>
          <w:rFonts w:ascii="Arial" w:hAnsi="Arial" w:cs="Arial"/>
        </w:rPr>
        <w:t>— nationally 22.4% and 16.3% respectively.</w:t>
      </w:r>
      <w:r w:rsidRPr="004821CD">
        <w:rPr>
          <w:rFonts w:ascii="Arial" w:hAnsi="Arial" w:cs="Arial"/>
          <w:vertAlign w:val="superscript"/>
        </w:rPr>
        <w:endnoteReference w:id="29"/>
      </w:r>
    </w:p>
    <w:p w14:paraId="402994CD" w14:textId="77777777" w:rsidR="00887302" w:rsidRDefault="00887302" w:rsidP="00887302">
      <w:pPr>
        <w:spacing w:after="0"/>
        <w:rPr>
          <w:rFonts w:ascii="Arial" w:hAnsi="Arial" w:cs="Arial"/>
        </w:rPr>
      </w:pPr>
    </w:p>
    <w:p w14:paraId="2A1BF51E" w14:textId="77777777" w:rsidR="004831FA" w:rsidRDefault="004831FA" w:rsidP="00887302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>35.9% of females aged 15–64 years with a disability and 26.8% of females aged 15–64 years who were born overseas had no superannuation coverage in 2017–18.</w:t>
      </w:r>
      <w:r w:rsidRPr="004821CD">
        <w:rPr>
          <w:rFonts w:ascii="Arial" w:hAnsi="Arial" w:cs="Arial"/>
          <w:vertAlign w:val="superscript"/>
        </w:rPr>
        <w:endnoteReference w:id="30"/>
      </w:r>
    </w:p>
    <w:p w14:paraId="163E54AB" w14:textId="77777777" w:rsidR="00887302" w:rsidRPr="004821CD" w:rsidRDefault="00887302" w:rsidP="00887302">
      <w:pPr>
        <w:spacing w:after="0"/>
        <w:rPr>
          <w:b/>
        </w:rPr>
      </w:pPr>
    </w:p>
    <w:p w14:paraId="0D9744D6" w14:textId="77777777" w:rsidR="004831FA" w:rsidRDefault="004831FA" w:rsidP="00887302">
      <w:pPr>
        <w:pStyle w:val="Heading3"/>
      </w:pPr>
      <w:r w:rsidRPr="004821CD">
        <w:t>Housing and homelessness</w:t>
      </w:r>
    </w:p>
    <w:p w14:paraId="7042CF94" w14:textId="77777777" w:rsidR="00887302" w:rsidRPr="00887302" w:rsidRDefault="00887302" w:rsidP="00887302"/>
    <w:p w14:paraId="7F387D69" w14:textId="77777777" w:rsidR="004831FA" w:rsidRPr="004821CD" w:rsidRDefault="004831FA" w:rsidP="004831FA">
      <w:pPr>
        <w:rPr>
          <w:rFonts w:ascii="Arial" w:hAnsi="Arial" w:cs="Arial"/>
        </w:rPr>
      </w:pPr>
      <w:r w:rsidRPr="004821CD">
        <w:rPr>
          <w:rFonts w:ascii="Arial" w:hAnsi="Arial" w:cs="Arial"/>
        </w:rPr>
        <w:t>As at 31 August 2021, females comprised 56.4% (or 55,956) of all public rental housing tenants and 56.7% (or 5,544) of all state-owned and managed Aboriginal and Torres Strait Islander housing tenants.</w:t>
      </w:r>
      <w:r w:rsidRPr="004821CD">
        <w:rPr>
          <w:rFonts w:ascii="Arial" w:hAnsi="Arial" w:cs="Arial"/>
          <w:vertAlign w:val="superscript"/>
        </w:rPr>
        <w:endnoteReference w:id="31"/>
      </w:r>
    </w:p>
    <w:p w14:paraId="353023C6" w14:textId="77777777" w:rsidR="004831FA" w:rsidRPr="00887302" w:rsidRDefault="004831FA" w:rsidP="00F61DA2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887302">
        <w:rPr>
          <w:rFonts w:ascii="Arial" w:hAnsi="Arial" w:cs="Arial"/>
          <w:lang w:val="en-AU"/>
        </w:rPr>
        <w:t xml:space="preserve">Single females aged over 55 years (22.6%) and single mothers with children, who had at least one child under 18 years of age </w:t>
      </w:r>
      <w:r w:rsidRPr="00887302">
        <w:rPr>
          <w:rFonts w:ascii="Arial" w:hAnsi="Arial" w:cs="Arial"/>
          <w:lang w:val="en-AU"/>
        </w:rPr>
        <w:lastRenderedPageBreak/>
        <w:t>(20.1%), together made up 42.7% (or 21,910) of all public rental housing tenants.</w:t>
      </w:r>
    </w:p>
    <w:p w14:paraId="12D93BDF" w14:textId="77777777" w:rsidR="004831FA" w:rsidRDefault="004831FA" w:rsidP="00F61DA2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Arial" w:hAnsi="Arial" w:cs="Arial"/>
          <w:lang w:val="en-AU"/>
        </w:rPr>
      </w:pPr>
      <w:r w:rsidRPr="00887302">
        <w:rPr>
          <w:rFonts w:ascii="Arial" w:hAnsi="Arial" w:cs="Arial"/>
          <w:lang w:val="en-AU"/>
        </w:rPr>
        <w:t>Single females aged over 55 years (9.8%) and single mothers with children, who had at least one child under 18 years of age (36.1%), together made up 45.9% (or 1,457) of all state-owned and managed Aboriginal and Torres Strait Islander housing tenants.</w:t>
      </w:r>
    </w:p>
    <w:p w14:paraId="6ADEB450" w14:textId="77777777" w:rsidR="00F61DA2" w:rsidRPr="00887302" w:rsidRDefault="00F61DA2" w:rsidP="00F61DA2">
      <w:pPr>
        <w:pStyle w:val="ListParagraph"/>
        <w:ind w:left="714"/>
        <w:contextualSpacing w:val="0"/>
        <w:rPr>
          <w:rFonts w:ascii="Arial" w:hAnsi="Arial" w:cs="Arial"/>
          <w:lang w:val="en-AU"/>
        </w:rPr>
      </w:pPr>
    </w:p>
    <w:p w14:paraId="32DAA4CB" w14:textId="77777777" w:rsidR="004831FA" w:rsidRPr="004821CD" w:rsidRDefault="004831FA" w:rsidP="00887302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>Females accounted for 41.6% of all persons who were estimated to be homeless on Census night in 2016 in Queensland.</w:t>
      </w:r>
      <w:r w:rsidRPr="004821CD">
        <w:rPr>
          <w:rFonts w:ascii="Arial" w:hAnsi="Arial" w:cs="Arial"/>
          <w:vertAlign w:val="superscript"/>
        </w:rPr>
        <w:endnoteReference w:id="32"/>
      </w:r>
      <w:r w:rsidRPr="004821CD">
        <w:rPr>
          <w:rFonts w:ascii="Arial" w:hAnsi="Arial" w:cs="Arial"/>
          <w:vertAlign w:val="superscript"/>
        </w:rPr>
        <w:t xml:space="preserve"> </w:t>
      </w:r>
      <w:r w:rsidRPr="004821CD">
        <w:rPr>
          <w:rFonts w:ascii="Arial" w:hAnsi="Arial" w:cs="Arial"/>
          <w:vertAlign w:val="superscript"/>
        </w:rPr>
        <w:endnoteReference w:id="33"/>
      </w:r>
    </w:p>
    <w:p w14:paraId="730C0AB2" w14:textId="77777777" w:rsidR="00887302" w:rsidRDefault="00887302" w:rsidP="00887302">
      <w:pPr>
        <w:spacing w:after="0"/>
        <w:rPr>
          <w:rFonts w:ascii="Arial" w:hAnsi="Arial" w:cs="Arial"/>
        </w:rPr>
      </w:pPr>
    </w:p>
    <w:p w14:paraId="08F0BDDE" w14:textId="77777777" w:rsidR="004831FA" w:rsidRPr="004821CD" w:rsidRDefault="004831FA" w:rsidP="00887302">
      <w:pPr>
        <w:spacing w:after="0"/>
        <w:rPr>
          <w:rFonts w:ascii="Arial" w:hAnsi="Arial" w:cs="Arial"/>
        </w:rPr>
      </w:pPr>
      <w:r w:rsidRPr="004821CD">
        <w:rPr>
          <w:rFonts w:ascii="Arial" w:hAnsi="Arial" w:cs="Arial"/>
        </w:rPr>
        <w:t xml:space="preserve">Females accounted for 59.6% of people accessing government-funded specialist homelessness services in 2019–20, with females aged 18–44 years comprising </w:t>
      </w:r>
      <w:bookmarkStart w:id="1" w:name="_GoBack"/>
      <w:bookmarkEnd w:id="1"/>
      <w:r w:rsidRPr="004821CD">
        <w:rPr>
          <w:rFonts w:ascii="Arial" w:hAnsi="Arial" w:cs="Arial"/>
        </w:rPr>
        <w:t>more than half (51.9%) of female clients and just under a third</w:t>
      </w:r>
      <w:r w:rsidRPr="004821CD">
        <w:rPr>
          <w:rFonts w:ascii="Arial" w:hAnsi="Arial" w:cs="Arial"/>
          <w:color w:val="FF0000"/>
        </w:rPr>
        <w:t xml:space="preserve"> </w:t>
      </w:r>
      <w:r w:rsidRPr="004821CD">
        <w:rPr>
          <w:rFonts w:ascii="Arial" w:hAnsi="Arial" w:cs="Arial"/>
        </w:rPr>
        <w:t>(30.9%) of all clients.</w:t>
      </w:r>
      <w:r w:rsidRPr="004821CD">
        <w:rPr>
          <w:rFonts w:ascii="Arial" w:hAnsi="Arial" w:cs="Arial"/>
          <w:vertAlign w:val="superscript"/>
        </w:rPr>
        <w:endnoteReference w:id="34"/>
      </w:r>
    </w:p>
    <w:p w14:paraId="300340B5" w14:textId="77777777" w:rsidR="00887302" w:rsidRDefault="00887302" w:rsidP="00887302">
      <w:pPr>
        <w:spacing w:after="0"/>
        <w:rPr>
          <w:rFonts w:ascii="Arial" w:hAnsi="Arial" w:cs="Arial"/>
        </w:rPr>
      </w:pPr>
    </w:p>
    <w:p w14:paraId="2CB8435A" w14:textId="16B09104" w:rsidR="006206D0" w:rsidRPr="004821CD" w:rsidRDefault="004831FA" w:rsidP="00887302">
      <w:pPr>
        <w:spacing w:after="0"/>
        <w:rPr>
          <w:rFonts w:ascii="Arial" w:hAnsi="Arial" w:cs="Arial"/>
          <w:lang w:val="en-AU"/>
        </w:rPr>
      </w:pPr>
      <w:r w:rsidRPr="004821CD">
        <w:rPr>
          <w:rFonts w:ascii="Arial" w:hAnsi="Arial" w:cs="Arial"/>
        </w:rPr>
        <w:t>One-parent families with dependent children under 15 years of age spent 25.4% of their average gross income on housing costs in 2017–18, compared with 15.1% for couple families with dependent children.</w:t>
      </w:r>
      <w:r w:rsidRPr="004821CD">
        <w:rPr>
          <w:rFonts w:ascii="Arial" w:hAnsi="Arial" w:cs="Arial"/>
          <w:vertAlign w:val="superscript"/>
        </w:rPr>
        <w:endnoteReference w:id="35"/>
      </w:r>
      <w:r w:rsidRPr="004821CD">
        <w:rPr>
          <w:rFonts w:ascii="Arial" w:hAnsi="Arial" w:cs="Arial"/>
        </w:rPr>
        <w:t xml:space="preserve"> Females headed 85.0% of one-parent families with children under 15 years in 2016.</w:t>
      </w:r>
      <w:r w:rsidRPr="004821CD">
        <w:rPr>
          <w:rFonts w:ascii="Arial" w:hAnsi="Arial" w:cs="Arial"/>
          <w:vertAlign w:val="superscript"/>
        </w:rPr>
        <w:endnoteReference w:id="36"/>
      </w:r>
    </w:p>
    <w:p w14:paraId="33FCB135" w14:textId="77777777" w:rsidR="00562F4F" w:rsidRPr="004821CD" w:rsidRDefault="00562F4F" w:rsidP="004570A1">
      <w:pPr>
        <w:spacing w:after="0"/>
        <w:ind w:left="360"/>
        <w:rPr>
          <w:rFonts w:ascii="Arial" w:hAnsi="Arial" w:cs="Arial"/>
        </w:rPr>
        <w:sectPr w:rsidR="00562F4F" w:rsidRPr="004821CD" w:rsidSect="00C56E7A">
          <w:endnotePr>
            <w:numFmt w:val="decimal"/>
          </w:endnotePr>
          <w:type w:val="continuous"/>
          <w:pgSz w:w="11900" w:h="16840"/>
          <w:pgMar w:top="1843" w:right="1127" w:bottom="709" w:left="1276" w:header="708" w:footer="708" w:gutter="0"/>
          <w:cols w:num="2" w:space="708"/>
          <w:titlePg/>
          <w:docGrid w:linePitch="360"/>
        </w:sectPr>
      </w:pPr>
    </w:p>
    <w:p w14:paraId="3337745F" w14:textId="77777777" w:rsidR="00456A95" w:rsidRPr="00033664" w:rsidRDefault="00456A95" w:rsidP="004570A1">
      <w:pPr>
        <w:pStyle w:val="Heading1"/>
        <w:rPr>
          <w:rFonts w:ascii="Arial" w:hAnsi="Arial" w:cs="Arial"/>
        </w:rPr>
      </w:pPr>
    </w:p>
    <w:sectPr w:rsidR="00456A95" w:rsidRPr="00033664" w:rsidSect="00987FB2">
      <w:headerReference w:type="even" r:id="rId15"/>
      <w:headerReference w:type="default" r:id="rId16"/>
      <w:headerReference w:type="first" r:id="rId17"/>
      <w:pgSz w:w="11900" w:h="16840"/>
      <w:pgMar w:top="1843" w:right="1127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63880" w14:textId="77777777" w:rsidR="004831FA" w:rsidRDefault="004831FA" w:rsidP="00456A95">
      <w:r>
        <w:separator/>
      </w:r>
    </w:p>
  </w:endnote>
  <w:endnote w:type="continuationSeparator" w:id="0">
    <w:p w14:paraId="70228760" w14:textId="77777777" w:rsidR="004831FA" w:rsidRDefault="004831FA" w:rsidP="00456A95">
      <w:r>
        <w:continuationSeparator/>
      </w:r>
    </w:p>
  </w:endnote>
  <w:endnote w:type="continuationNotice" w:id="1">
    <w:p w14:paraId="444B4028" w14:textId="77777777" w:rsidR="004831FA" w:rsidRDefault="004831FA">
      <w:pPr>
        <w:spacing w:after="0"/>
      </w:pPr>
    </w:p>
  </w:endnote>
  <w:endnote w:id="2">
    <w:p w14:paraId="2A77D2BA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Style w:val="EndnoteReference"/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</w:rPr>
        <w:t>Based on apparent retention rates from Year 7/8 to Year 12.</w:t>
      </w:r>
    </w:p>
  </w:endnote>
  <w:endnote w:id="3">
    <w:p w14:paraId="51DBE630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</w:t>
      </w:r>
      <w:r>
        <w:rPr>
          <w:rFonts w:cs="Arial"/>
          <w:sz w:val="18"/>
          <w:szCs w:val="18"/>
        </w:rPr>
        <w:t>2021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iCs/>
          <w:sz w:val="18"/>
          <w:szCs w:val="18"/>
        </w:rPr>
        <w:t>Schools, Australia 201</w:t>
      </w:r>
      <w:r>
        <w:rPr>
          <w:rFonts w:cs="Arial"/>
          <w:i/>
          <w:iCs/>
          <w:sz w:val="18"/>
          <w:szCs w:val="18"/>
        </w:rPr>
        <w:t>9</w:t>
      </w:r>
      <w:r w:rsidRPr="006B634E">
        <w:rPr>
          <w:rFonts w:cs="Arial"/>
          <w:sz w:val="18"/>
          <w:szCs w:val="18"/>
        </w:rPr>
        <w:t>, ‘Table 64a Capped Apparent Retention Rates, 201</w:t>
      </w:r>
      <w:r>
        <w:rPr>
          <w:rFonts w:cs="Arial"/>
          <w:sz w:val="18"/>
          <w:szCs w:val="18"/>
        </w:rPr>
        <w:t>1</w:t>
      </w:r>
      <w:r w:rsidRPr="006B634E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>2020</w:t>
      </w:r>
      <w:r w:rsidRPr="006B634E">
        <w:rPr>
          <w:rFonts w:cs="Arial"/>
          <w:sz w:val="18"/>
          <w:szCs w:val="18"/>
        </w:rPr>
        <w:t>’, cat. no. 4221.0.</w:t>
      </w:r>
    </w:p>
  </w:endnote>
  <w:endnote w:id="4">
    <w:p w14:paraId="7C1A9740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</w:rPr>
        <w:t>ibid</w:t>
      </w:r>
      <w:r w:rsidRPr="006B634E">
        <w:rPr>
          <w:rFonts w:cs="Arial"/>
          <w:sz w:val="18"/>
          <w:szCs w:val="18"/>
        </w:rPr>
        <w:t>.</w:t>
      </w:r>
    </w:p>
  </w:endnote>
  <w:endnote w:id="5">
    <w:p w14:paraId="23296DF5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val="en-AU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Style w:val="EndnoteReference"/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</w:rPr>
        <w:t>Based on apparent retention rates from Year 7/8 to Year 12.</w:t>
      </w:r>
    </w:p>
  </w:endnote>
  <w:endnote w:id="6">
    <w:p w14:paraId="076C25A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20</w:t>
      </w:r>
      <w:r>
        <w:rPr>
          <w:rFonts w:cs="Arial"/>
          <w:sz w:val="18"/>
          <w:szCs w:val="18"/>
        </w:rPr>
        <w:t>21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sz w:val="18"/>
          <w:szCs w:val="18"/>
        </w:rPr>
        <w:t>Education and work, Australia, May 20</w:t>
      </w:r>
      <w:r>
        <w:rPr>
          <w:rFonts w:cs="Arial"/>
          <w:i/>
          <w:sz w:val="18"/>
          <w:szCs w:val="18"/>
        </w:rPr>
        <w:t>20</w:t>
      </w:r>
      <w:r w:rsidRPr="006B634E">
        <w:rPr>
          <w:rFonts w:cs="Arial"/>
          <w:sz w:val="18"/>
          <w:szCs w:val="18"/>
        </w:rPr>
        <w:t xml:space="preserve">, ‘Table 9 Highest educational attainment: Level – </w:t>
      </w:r>
      <w:r>
        <w:rPr>
          <w:rFonts w:cs="Arial"/>
          <w:sz w:val="18"/>
          <w:szCs w:val="18"/>
        </w:rPr>
        <w:t>b</w:t>
      </w:r>
      <w:r w:rsidRPr="006B634E">
        <w:rPr>
          <w:rFonts w:cs="Arial"/>
          <w:sz w:val="18"/>
          <w:szCs w:val="18"/>
        </w:rPr>
        <w:t xml:space="preserve">y state or territory of usual residence and sex, </w:t>
      </w:r>
      <w:r>
        <w:rPr>
          <w:rFonts w:cs="Arial"/>
          <w:sz w:val="18"/>
          <w:szCs w:val="18"/>
        </w:rPr>
        <w:t>p</w:t>
      </w:r>
      <w:r w:rsidRPr="006B634E">
        <w:rPr>
          <w:rFonts w:cs="Arial"/>
          <w:sz w:val="18"/>
          <w:szCs w:val="18"/>
        </w:rPr>
        <w:t>ersons aged 15-74 years’, cat. no. 6227.0.</w:t>
      </w:r>
    </w:p>
  </w:endnote>
  <w:endnote w:id="7">
    <w:p w14:paraId="5AED1C62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Australian Bureau of Statistics, 2017, </w:t>
      </w:r>
      <w:r w:rsidRPr="006B634E">
        <w:rPr>
          <w:rFonts w:cs="Arial"/>
          <w:i/>
          <w:iCs/>
          <w:sz w:val="18"/>
          <w:szCs w:val="18"/>
          <w:lang w:eastAsia="ko-KR"/>
        </w:rPr>
        <w:t>2016 Census of Population and Housing</w:t>
      </w:r>
      <w:r w:rsidRPr="006B634E">
        <w:rPr>
          <w:rFonts w:cs="Arial"/>
          <w:sz w:val="18"/>
          <w:szCs w:val="18"/>
          <w:lang w:eastAsia="ko-KR"/>
        </w:rPr>
        <w:t>, ‘Queensland (State/Territory), Aboriginal and Torres Strait Islander Peoples Profile, Table I15 Non-school qualification: level of education by Indigenous status by age by sex’, cat. no. 2002.0.</w:t>
      </w:r>
    </w:p>
  </w:endnote>
  <w:endnote w:id="8">
    <w:p w14:paraId="5566B59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Government Department of Education and Training, Higher Edu</w:t>
      </w:r>
      <w:r>
        <w:rPr>
          <w:rFonts w:cs="Arial"/>
          <w:sz w:val="18"/>
          <w:szCs w:val="18"/>
        </w:rPr>
        <w:t xml:space="preserve">cation Data Collections, </w:t>
      </w:r>
      <w:proofErr w:type="spellStart"/>
      <w:r>
        <w:rPr>
          <w:rFonts w:cs="Arial"/>
          <w:sz w:val="18"/>
          <w:szCs w:val="18"/>
        </w:rPr>
        <w:t>uCube</w:t>
      </w:r>
      <w:proofErr w:type="spellEnd"/>
      <w:r>
        <w:rPr>
          <w:rFonts w:cs="Arial"/>
          <w:sz w:val="18"/>
          <w:szCs w:val="18"/>
        </w:rPr>
        <w:t xml:space="preserve">, extracted 25 October </w:t>
      </w:r>
      <w:r w:rsidRPr="006257E6">
        <w:rPr>
          <w:rFonts w:cs="Arial"/>
          <w:sz w:val="18"/>
          <w:szCs w:val="18"/>
        </w:rPr>
        <w:t>20</w:t>
      </w:r>
      <w:r>
        <w:rPr>
          <w:rFonts w:cs="Arial"/>
          <w:sz w:val="18"/>
          <w:szCs w:val="18"/>
        </w:rPr>
        <w:t>21</w:t>
      </w:r>
      <w:r w:rsidRPr="006257E6">
        <w:rPr>
          <w:rFonts w:cs="Arial"/>
          <w:sz w:val="18"/>
          <w:szCs w:val="18"/>
        </w:rPr>
        <w:t>.</w:t>
      </w:r>
    </w:p>
  </w:endnote>
  <w:endnote w:id="9">
    <w:p w14:paraId="60514176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Includes domestic students only. Excludes students who commenced and completed enabling programs or non-award units of study, which do not lead to a higher education award.  </w:t>
      </w:r>
    </w:p>
  </w:endnote>
  <w:endnote w:id="10">
    <w:p w14:paraId="28494361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7F522A">
        <w:rPr>
          <w:rStyle w:val="EndnoteReference"/>
          <w:rFonts w:cs="Arial"/>
          <w:sz w:val="18"/>
          <w:szCs w:val="18"/>
        </w:rPr>
        <w:endnoteRef/>
      </w:r>
      <w:r w:rsidRPr="007F522A">
        <w:rPr>
          <w:rFonts w:cs="Arial"/>
          <w:sz w:val="18"/>
          <w:szCs w:val="18"/>
        </w:rPr>
        <w:t xml:space="preserve"> National Centre for Vocational Education Research, </w:t>
      </w:r>
      <w:r>
        <w:rPr>
          <w:rFonts w:cs="Arial"/>
          <w:sz w:val="18"/>
          <w:szCs w:val="18"/>
        </w:rPr>
        <w:t>2021</w:t>
      </w:r>
      <w:r w:rsidRPr="007F522A">
        <w:rPr>
          <w:rFonts w:cs="Arial"/>
          <w:sz w:val="18"/>
          <w:szCs w:val="18"/>
        </w:rPr>
        <w:t>, VOCSTATS, ‘Apprentices and trainees - December 20</w:t>
      </w:r>
      <w:r>
        <w:rPr>
          <w:rFonts w:cs="Arial"/>
          <w:sz w:val="18"/>
          <w:szCs w:val="18"/>
        </w:rPr>
        <w:t>20</w:t>
      </w:r>
      <w:r w:rsidRPr="007F522A">
        <w:rPr>
          <w:rFonts w:cs="Arial"/>
          <w:sz w:val="18"/>
          <w:szCs w:val="18"/>
        </w:rPr>
        <w:t xml:space="preserve">’, extracted </w:t>
      </w:r>
      <w:r>
        <w:rPr>
          <w:rFonts w:cs="Arial"/>
          <w:sz w:val="18"/>
          <w:szCs w:val="18"/>
        </w:rPr>
        <w:t>22</w:t>
      </w:r>
      <w:r w:rsidRPr="007F522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September</w:t>
      </w:r>
      <w:r w:rsidRPr="007F522A">
        <w:rPr>
          <w:rFonts w:cs="Arial"/>
          <w:sz w:val="18"/>
          <w:szCs w:val="18"/>
        </w:rPr>
        <w:t xml:space="preserve"> 20</w:t>
      </w:r>
      <w:r>
        <w:rPr>
          <w:rFonts w:cs="Arial"/>
          <w:sz w:val="18"/>
          <w:szCs w:val="18"/>
        </w:rPr>
        <w:t>21</w:t>
      </w:r>
      <w:r w:rsidRPr="007F522A">
        <w:rPr>
          <w:rFonts w:cs="Arial"/>
          <w:sz w:val="18"/>
          <w:szCs w:val="18"/>
        </w:rPr>
        <w:t>.</w:t>
      </w:r>
    </w:p>
  </w:endnote>
  <w:endnote w:id="11">
    <w:p w14:paraId="1DAAAF3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val="en-AU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Trade occupations are classified as occupations within Australian and New Zealand Standard Classification of Occupations (ANZSCO) major group 3 whereas non-trade occupations are classified as ANZSCO major groups 1-2 and 4-8.</w:t>
      </w:r>
    </w:p>
  </w:endnote>
  <w:endnote w:id="12">
    <w:p w14:paraId="381095B1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</w:t>
      </w:r>
      <w:r>
        <w:rPr>
          <w:rFonts w:cs="Arial"/>
          <w:sz w:val="18"/>
          <w:szCs w:val="18"/>
        </w:rPr>
        <w:t>2021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iCs/>
          <w:sz w:val="18"/>
          <w:szCs w:val="18"/>
        </w:rPr>
        <w:t xml:space="preserve">Average weekly earnings, Australia, </w:t>
      </w:r>
      <w:r>
        <w:rPr>
          <w:rFonts w:cs="Arial"/>
          <w:i/>
          <w:iCs/>
          <w:sz w:val="18"/>
          <w:szCs w:val="18"/>
        </w:rPr>
        <w:t>May</w:t>
      </w:r>
      <w:r w:rsidRPr="006B634E">
        <w:rPr>
          <w:rFonts w:cs="Arial"/>
          <w:i/>
          <w:iCs/>
          <w:sz w:val="18"/>
          <w:szCs w:val="18"/>
        </w:rPr>
        <w:t xml:space="preserve"> 20</w:t>
      </w:r>
      <w:r>
        <w:rPr>
          <w:rFonts w:cs="Arial"/>
          <w:i/>
          <w:iCs/>
          <w:sz w:val="18"/>
          <w:szCs w:val="18"/>
        </w:rPr>
        <w:t>21</w:t>
      </w:r>
      <w:r w:rsidRPr="006B634E">
        <w:rPr>
          <w:rFonts w:cs="Arial"/>
          <w:sz w:val="18"/>
          <w:szCs w:val="18"/>
        </w:rPr>
        <w:t>, ‘Table 1</w:t>
      </w:r>
      <w:r>
        <w:rPr>
          <w:rFonts w:cs="Arial"/>
          <w:sz w:val="18"/>
          <w:szCs w:val="18"/>
        </w:rPr>
        <w:t>2</w:t>
      </w:r>
      <w:r w:rsidRPr="006B634E">
        <w:rPr>
          <w:rFonts w:cs="Arial"/>
          <w:sz w:val="18"/>
          <w:szCs w:val="18"/>
        </w:rPr>
        <w:t xml:space="preserve">C. Average weekly earnings, Queensland (dollars) – </w:t>
      </w:r>
      <w:r w:rsidRPr="0060291A">
        <w:rPr>
          <w:rFonts w:cs="Arial"/>
          <w:sz w:val="18"/>
          <w:szCs w:val="18"/>
        </w:rPr>
        <w:t>Seasonally Adjusted</w:t>
      </w:r>
      <w:r w:rsidRPr="006B634E">
        <w:rPr>
          <w:rFonts w:cs="Arial"/>
          <w:sz w:val="18"/>
          <w:szCs w:val="18"/>
        </w:rPr>
        <w:t xml:space="preserve">’, cat. no. 6302.0. </w:t>
      </w:r>
    </w:p>
  </w:endnote>
  <w:endnote w:id="13">
    <w:p w14:paraId="6F4B706E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highlight w:val="yellow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Australian Bureau of Statistics, </w:t>
      </w:r>
      <w:r>
        <w:rPr>
          <w:rFonts w:cs="Arial"/>
          <w:sz w:val="18"/>
          <w:szCs w:val="18"/>
        </w:rPr>
        <w:t>2021</w:t>
      </w:r>
      <w:r w:rsidRPr="006B634E">
        <w:rPr>
          <w:rFonts w:cs="Arial"/>
          <w:sz w:val="18"/>
          <w:szCs w:val="18"/>
        </w:rPr>
        <w:t xml:space="preserve">, </w:t>
      </w:r>
      <w:r w:rsidRPr="006B634E">
        <w:rPr>
          <w:rFonts w:cs="Arial"/>
          <w:i/>
          <w:iCs/>
          <w:sz w:val="18"/>
          <w:szCs w:val="18"/>
        </w:rPr>
        <w:t xml:space="preserve">Average weekly earnings, Australia, </w:t>
      </w:r>
      <w:r>
        <w:rPr>
          <w:rFonts w:cs="Arial"/>
          <w:i/>
          <w:iCs/>
          <w:sz w:val="18"/>
          <w:szCs w:val="18"/>
        </w:rPr>
        <w:t>May</w:t>
      </w:r>
      <w:r w:rsidRPr="006B634E">
        <w:rPr>
          <w:rFonts w:cs="Arial"/>
          <w:i/>
          <w:iCs/>
          <w:sz w:val="18"/>
          <w:szCs w:val="18"/>
        </w:rPr>
        <w:t xml:space="preserve"> 20</w:t>
      </w:r>
      <w:r>
        <w:rPr>
          <w:rFonts w:cs="Arial"/>
          <w:i/>
          <w:iCs/>
          <w:sz w:val="18"/>
          <w:szCs w:val="18"/>
        </w:rPr>
        <w:t>21</w:t>
      </w:r>
      <w:r w:rsidRPr="006B634E">
        <w:rPr>
          <w:rFonts w:cs="Arial"/>
          <w:sz w:val="18"/>
          <w:szCs w:val="18"/>
        </w:rPr>
        <w:t xml:space="preserve">, ‘Table </w:t>
      </w:r>
      <w:r>
        <w:rPr>
          <w:rFonts w:cs="Arial"/>
          <w:sz w:val="18"/>
          <w:szCs w:val="18"/>
        </w:rPr>
        <w:t>2</w:t>
      </w:r>
      <w:r w:rsidRPr="006B634E">
        <w:rPr>
          <w:rFonts w:cs="Arial"/>
          <w:sz w:val="18"/>
          <w:szCs w:val="18"/>
        </w:rPr>
        <w:t>. Average weekly earnings, Australia (dollars) –</w:t>
      </w:r>
      <w:r w:rsidRPr="00F81B9C">
        <w:rPr>
          <w:rFonts w:cs="Arial"/>
          <w:sz w:val="18"/>
          <w:szCs w:val="18"/>
        </w:rPr>
        <w:t xml:space="preserve"> </w:t>
      </w:r>
      <w:r w:rsidRPr="0060291A">
        <w:rPr>
          <w:rFonts w:cs="Arial"/>
          <w:sz w:val="18"/>
          <w:szCs w:val="18"/>
        </w:rPr>
        <w:t>Seasonally Adjusted</w:t>
      </w:r>
      <w:r w:rsidRPr="006B634E">
        <w:rPr>
          <w:rFonts w:cs="Arial"/>
          <w:sz w:val="18"/>
          <w:szCs w:val="18"/>
        </w:rPr>
        <w:t xml:space="preserve">’, cat. no. 6302.0. </w:t>
      </w:r>
    </w:p>
  </w:endnote>
  <w:endnote w:id="14">
    <w:p w14:paraId="3C251097" w14:textId="77777777" w:rsidR="004831FA" w:rsidRPr="009D7247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D7247">
        <w:rPr>
          <w:rStyle w:val="EndnoteReference"/>
          <w:rFonts w:cs="Arial"/>
          <w:sz w:val="18"/>
          <w:szCs w:val="18"/>
        </w:rPr>
        <w:endnoteRef/>
      </w:r>
      <w:r w:rsidRPr="009D7247">
        <w:rPr>
          <w:rFonts w:cs="Arial"/>
          <w:sz w:val="18"/>
          <w:szCs w:val="18"/>
        </w:rPr>
        <w:t xml:space="preserve"> Australian Bureau of Statistics, 201</w:t>
      </w:r>
      <w:r>
        <w:rPr>
          <w:rFonts w:cs="Arial"/>
          <w:sz w:val="18"/>
          <w:szCs w:val="18"/>
        </w:rPr>
        <w:t>9</w:t>
      </w:r>
      <w:r w:rsidRPr="009D7247">
        <w:rPr>
          <w:rFonts w:cs="Arial"/>
          <w:sz w:val="18"/>
          <w:szCs w:val="18"/>
        </w:rPr>
        <w:t xml:space="preserve">, </w:t>
      </w:r>
      <w:r w:rsidRPr="009D7247">
        <w:rPr>
          <w:rFonts w:cs="Arial"/>
          <w:i/>
          <w:sz w:val="18"/>
          <w:szCs w:val="18"/>
        </w:rPr>
        <w:t>Employee earnings and hours, Australia, May 2018</w:t>
      </w:r>
      <w:r w:rsidRPr="009D7247">
        <w:rPr>
          <w:rFonts w:cs="Arial"/>
          <w:sz w:val="18"/>
          <w:szCs w:val="18"/>
        </w:rPr>
        <w:t>, ‘Table: All employees paid at the adult rate</w:t>
      </w:r>
      <w:r>
        <w:rPr>
          <w:rFonts w:cs="Arial"/>
          <w:sz w:val="18"/>
          <w:szCs w:val="18"/>
        </w:rPr>
        <w:t xml:space="preserve"> in </w:t>
      </w:r>
      <w:r w:rsidRPr="009D7247">
        <w:rPr>
          <w:rFonts w:cs="Arial"/>
          <w:sz w:val="18"/>
          <w:szCs w:val="18"/>
        </w:rPr>
        <w:t xml:space="preserve">Queensland, average hourly ordinary time cash earnings – occupation by sex’, cat. no. 6306.0, </w:t>
      </w:r>
      <w:proofErr w:type="spellStart"/>
      <w:r w:rsidRPr="009D7247">
        <w:rPr>
          <w:rFonts w:cs="Arial"/>
          <w:sz w:val="18"/>
          <w:szCs w:val="18"/>
        </w:rPr>
        <w:t>customised</w:t>
      </w:r>
      <w:proofErr w:type="spellEnd"/>
      <w:r w:rsidRPr="009D7247">
        <w:rPr>
          <w:rFonts w:cs="Arial"/>
          <w:sz w:val="18"/>
          <w:szCs w:val="18"/>
        </w:rPr>
        <w:t xml:space="preserve"> data.</w:t>
      </w:r>
    </w:p>
  </w:endnote>
  <w:endnote w:id="15">
    <w:p w14:paraId="74FA4898" w14:textId="77777777" w:rsidR="004831FA" w:rsidRPr="009D7247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D7247">
        <w:rPr>
          <w:rStyle w:val="EndnoteReference"/>
          <w:rFonts w:cs="Arial"/>
          <w:sz w:val="18"/>
          <w:szCs w:val="18"/>
        </w:rPr>
        <w:endnoteRef/>
      </w:r>
      <w:r w:rsidRPr="009D7247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16">
    <w:p w14:paraId="40BFE3F5" w14:textId="77777777" w:rsidR="004831FA" w:rsidRPr="00191CBB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val="en-AU"/>
        </w:rPr>
      </w:pPr>
      <w:r w:rsidRPr="009D7247">
        <w:rPr>
          <w:rStyle w:val="EndnoteReference"/>
          <w:rFonts w:cs="Arial"/>
          <w:sz w:val="18"/>
          <w:szCs w:val="18"/>
        </w:rPr>
        <w:endnoteRef/>
      </w:r>
      <w:r w:rsidRPr="009D7247">
        <w:rPr>
          <w:rFonts w:cs="Arial"/>
          <w:sz w:val="18"/>
          <w:szCs w:val="18"/>
        </w:rPr>
        <w:t xml:space="preserve"> Australian Bureau of Statistics, 201</w:t>
      </w:r>
      <w:r>
        <w:rPr>
          <w:rFonts w:cs="Arial"/>
          <w:sz w:val="18"/>
          <w:szCs w:val="18"/>
        </w:rPr>
        <w:t>9</w:t>
      </w:r>
      <w:r w:rsidRPr="009D7247">
        <w:rPr>
          <w:rFonts w:cs="Arial"/>
          <w:sz w:val="18"/>
          <w:szCs w:val="18"/>
        </w:rPr>
        <w:t xml:space="preserve">, </w:t>
      </w:r>
      <w:r w:rsidRPr="009D7247">
        <w:rPr>
          <w:rFonts w:cs="Arial"/>
          <w:i/>
          <w:sz w:val="18"/>
          <w:szCs w:val="18"/>
        </w:rPr>
        <w:t>Employee earnings and hours, Australia, May 2018</w:t>
      </w:r>
      <w:r w:rsidRPr="009D7247">
        <w:rPr>
          <w:rFonts w:cs="Arial"/>
          <w:sz w:val="18"/>
          <w:szCs w:val="18"/>
        </w:rPr>
        <w:t xml:space="preserve">, ‘Table: All </w:t>
      </w:r>
      <w:r>
        <w:rPr>
          <w:rFonts w:cs="Arial"/>
          <w:sz w:val="18"/>
          <w:szCs w:val="18"/>
        </w:rPr>
        <w:t xml:space="preserve">non-managerial </w:t>
      </w:r>
      <w:r w:rsidRPr="009D7247">
        <w:rPr>
          <w:rFonts w:cs="Arial"/>
          <w:sz w:val="18"/>
          <w:szCs w:val="18"/>
        </w:rPr>
        <w:t>employees paid at the adult rate</w:t>
      </w:r>
      <w:r>
        <w:rPr>
          <w:rFonts w:cs="Arial"/>
          <w:sz w:val="18"/>
          <w:szCs w:val="18"/>
        </w:rPr>
        <w:t xml:space="preserve"> in Queensland</w:t>
      </w:r>
      <w:r w:rsidRPr="009D7247">
        <w:rPr>
          <w:rFonts w:cs="Arial"/>
          <w:sz w:val="18"/>
          <w:szCs w:val="18"/>
        </w:rPr>
        <w:t>, average hourly ordinary</w:t>
      </w:r>
      <w:r>
        <w:rPr>
          <w:rFonts w:cs="Arial"/>
          <w:sz w:val="18"/>
          <w:szCs w:val="18"/>
        </w:rPr>
        <w:t xml:space="preserve"> time cash earnings – industry </w:t>
      </w:r>
      <w:r w:rsidRPr="009D7247">
        <w:rPr>
          <w:rFonts w:cs="Arial"/>
          <w:sz w:val="18"/>
          <w:szCs w:val="18"/>
        </w:rPr>
        <w:t xml:space="preserve">by sex’, cat. no. 6306.0, </w:t>
      </w:r>
      <w:proofErr w:type="spellStart"/>
      <w:r w:rsidRPr="009D7247">
        <w:rPr>
          <w:rFonts w:cs="Arial"/>
          <w:sz w:val="18"/>
          <w:szCs w:val="18"/>
        </w:rPr>
        <w:t>customised</w:t>
      </w:r>
      <w:proofErr w:type="spellEnd"/>
      <w:r w:rsidRPr="009D7247">
        <w:rPr>
          <w:rFonts w:cs="Arial"/>
          <w:sz w:val="18"/>
          <w:szCs w:val="18"/>
        </w:rPr>
        <w:t xml:space="preserve"> data.</w:t>
      </w:r>
    </w:p>
  </w:endnote>
  <w:endnote w:id="17">
    <w:p w14:paraId="1C9907D8" w14:textId="77777777" w:rsidR="004831FA" w:rsidRPr="009D7247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D7247">
        <w:rPr>
          <w:rStyle w:val="EndnoteReference"/>
          <w:rFonts w:cs="Arial"/>
          <w:sz w:val="18"/>
          <w:szCs w:val="18"/>
        </w:rPr>
        <w:endnoteRef/>
      </w:r>
      <w:r w:rsidRPr="009D7247">
        <w:rPr>
          <w:rFonts w:cs="Arial"/>
          <w:sz w:val="18"/>
          <w:szCs w:val="18"/>
        </w:rPr>
        <w:t xml:space="preserve"> Due to data unavailability, average hourly ordinary time cash earnings for non-managerial employees in Mining, Public administration and safety, Arts and recreation services industries are not included.</w:t>
      </w:r>
    </w:p>
  </w:endnote>
  <w:endnote w:id="18">
    <w:p w14:paraId="35CEBB24" w14:textId="77777777" w:rsidR="004831FA" w:rsidRPr="009D7247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D7247">
        <w:rPr>
          <w:rStyle w:val="EndnoteReference"/>
          <w:rFonts w:cs="Arial"/>
          <w:sz w:val="18"/>
          <w:szCs w:val="18"/>
        </w:rPr>
        <w:endnoteRef/>
      </w:r>
      <w:r w:rsidRPr="009D7247">
        <w:rPr>
          <w:rFonts w:cs="Arial"/>
          <w:sz w:val="18"/>
          <w:szCs w:val="18"/>
        </w:rPr>
        <w:t xml:space="preserve"> Australian Bureau of Statistics, 201</w:t>
      </w:r>
      <w:r>
        <w:rPr>
          <w:rFonts w:cs="Arial"/>
          <w:sz w:val="18"/>
          <w:szCs w:val="18"/>
        </w:rPr>
        <w:t>9</w:t>
      </w:r>
      <w:r w:rsidRPr="009D7247">
        <w:rPr>
          <w:rFonts w:cs="Arial"/>
          <w:sz w:val="18"/>
          <w:szCs w:val="18"/>
        </w:rPr>
        <w:t xml:space="preserve">, </w:t>
      </w:r>
      <w:r w:rsidRPr="009D7247">
        <w:rPr>
          <w:rFonts w:cs="Arial"/>
          <w:i/>
          <w:sz w:val="18"/>
          <w:szCs w:val="18"/>
        </w:rPr>
        <w:t>Employee earnings and hours, Australia, May 2018</w:t>
      </w:r>
      <w:r w:rsidRPr="009D7247">
        <w:rPr>
          <w:rFonts w:cs="Arial"/>
          <w:sz w:val="18"/>
          <w:szCs w:val="18"/>
        </w:rPr>
        <w:t>, ‘Table: All employees paid at the adult rate</w:t>
      </w:r>
      <w:r>
        <w:rPr>
          <w:rFonts w:cs="Arial"/>
          <w:sz w:val="18"/>
          <w:szCs w:val="18"/>
        </w:rPr>
        <w:t xml:space="preserve"> in </w:t>
      </w:r>
      <w:r w:rsidRPr="009D7247">
        <w:rPr>
          <w:rFonts w:cs="Arial"/>
          <w:sz w:val="18"/>
          <w:szCs w:val="18"/>
        </w:rPr>
        <w:t>Queensland, average weekly total cash earnings</w:t>
      </w:r>
      <w:r>
        <w:rPr>
          <w:rFonts w:cs="Arial"/>
          <w:sz w:val="18"/>
          <w:szCs w:val="18"/>
        </w:rPr>
        <w:t xml:space="preserve"> </w:t>
      </w:r>
      <w:r w:rsidRPr="009D7247">
        <w:rPr>
          <w:rFonts w:cs="Arial"/>
          <w:sz w:val="18"/>
          <w:szCs w:val="18"/>
        </w:rPr>
        <w:t xml:space="preserve">– type of employee, employment status by sex’, cat. no. 6306.0, </w:t>
      </w:r>
      <w:proofErr w:type="spellStart"/>
      <w:r w:rsidRPr="009D7247">
        <w:rPr>
          <w:rFonts w:cs="Arial"/>
          <w:sz w:val="18"/>
          <w:szCs w:val="18"/>
        </w:rPr>
        <w:t>customised</w:t>
      </w:r>
      <w:proofErr w:type="spellEnd"/>
      <w:r w:rsidRPr="009D7247">
        <w:rPr>
          <w:rFonts w:cs="Arial"/>
          <w:sz w:val="18"/>
          <w:szCs w:val="18"/>
        </w:rPr>
        <w:t xml:space="preserve"> data.</w:t>
      </w:r>
    </w:p>
  </w:endnote>
  <w:endnote w:id="19">
    <w:p w14:paraId="56EE2D77" w14:textId="77777777" w:rsidR="004831FA" w:rsidRPr="009D7247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9D7247">
        <w:rPr>
          <w:rStyle w:val="EndnoteReference"/>
          <w:rFonts w:cs="Arial"/>
          <w:sz w:val="18"/>
          <w:szCs w:val="18"/>
        </w:rPr>
        <w:endnoteRef/>
      </w:r>
      <w:r w:rsidRPr="009D7247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20">
    <w:p w14:paraId="0A5322D3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Australian Bureau of Statistics, 2019, </w:t>
      </w:r>
      <w:r w:rsidRPr="000F7848">
        <w:rPr>
          <w:rFonts w:cs="Arial"/>
          <w:i/>
          <w:sz w:val="18"/>
          <w:szCs w:val="18"/>
        </w:rPr>
        <w:t>Microdata: Income and Housing</w:t>
      </w:r>
      <w:r w:rsidRPr="000F7848">
        <w:rPr>
          <w:rFonts w:cs="Arial"/>
          <w:sz w:val="18"/>
          <w:szCs w:val="18"/>
        </w:rPr>
        <w:t>,</w:t>
      </w:r>
      <w:r w:rsidRPr="000F7848">
        <w:rPr>
          <w:rFonts w:cs="Arial"/>
          <w:i/>
          <w:sz w:val="18"/>
          <w:szCs w:val="18"/>
        </w:rPr>
        <w:t xml:space="preserve"> 2017-18,</w:t>
      </w:r>
      <w:r>
        <w:rPr>
          <w:rFonts w:cs="Arial"/>
          <w:sz w:val="18"/>
          <w:szCs w:val="18"/>
        </w:rPr>
        <w:t xml:space="preserve"> cat. no. 6541.0.30.001, data generated using ABS </w:t>
      </w:r>
      <w:proofErr w:type="spellStart"/>
      <w:r>
        <w:rPr>
          <w:rFonts w:cs="Arial"/>
          <w:sz w:val="18"/>
          <w:szCs w:val="18"/>
        </w:rPr>
        <w:t>TableBuilder</w:t>
      </w:r>
      <w:proofErr w:type="spellEnd"/>
      <w:r>
        <w:rPr>
          <w:rFonts w:cs="Arial"/>
          <w:sz w:val="18"/>
          <w:szCs w:val="18"/>
        </w:rPr>
        <w:t>.</w:t>
      </w:r>
    </w:p>
  </w:endnote>
  <w:endnote w:id="21">
    <w:p w14:paraId="326B9E0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22">
    <w:p w14:paraId="659AD7F9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FE365F">
        <w:rPr>
          <w:rFonts w:cs="Arial"/>
          <w:sz w:val="18"/>
          <w:szCs w:val="18"/>
          <w:lang w:eastAsia="ko-KR"/>
        </w:rPr>
        <w:t>Dep</w:t>
      </w:r>
      <w:r>
        <w:rPr>
          <w:rFonts w:cs="Arial"/>
          <w:sz w:val="18"/>
          <w:szCs w:val="18"/>
          <w:lang w:eastAsia="ko-KR"/>
        </w:rPr>
        <w:t>artment of Social Services, 2021</w:t>
      </w:r>
      <w:r w:rsidRPr="00FE365F">
        <w:rPr>
          <w:rFonts w:cs="Arial"/>
          <w:sz w:val="18"/>
          <w:szCs w:val="18"/>
          <w:lang w:eastAsia="ko-KR"/>
        </w:rPr>
        <w:t xml:space="preserve">, </w:t>
      </w:r>
      <w:r w:rsidRPr="00FE365F">
        <w:rPr>
          <w:rFonts w:cs="Arial"/>
          <w:i/>
          <w:sz w:val="18"/>
          <w:szCs w:val="18"/>
          <w:lang w:eastAsia="ko-KR"/>
        </w:rPr>
        <w:t>DSS Payment Demographic Data</w:t>
      </w:r>
      <w:r>
        <w:rPr>
          <w:rFonts w:cs="Arial"/>
          <w:i/>
          <w:sz w:val="18"/>
          <w:szCs w:val="18"/>
          <w:lang w:eastAsia="ko-KR"/>
        </w:rPr>
        <w:t>, June quarter 2020</w:t>
      </w:r>
      <w:r w:rsidRPr="00FE365F">
        <w:rPr>
          <w:rFonts w:cs="Arial"/>
          <w:sz w:val="18"/>
          <w:szCs w:val="18"/>
          <w:lang w:eastAsia="ko-KR"/>
        </w:rPr>
        <w:t>, ‘</w:t>
      </w:r>
      <w:r>
        <w:rPr>
          <w:rFonts w:cs="Arial"/>
          <w:sz w:val="18"/>
          <w:szCs w:val="18"/>
          <w:lang w:eastAsia="ko-KR"/>
        </w:rPr>
        <w:t xml:space="preserve">Gender: </w:t>
      </w:r>
      <w:r w:rsidRPr="004C7768">
        <w:rPr>
          <w:rFonts w:cs="Arial"/>
          <w:sz w:val="18"/>
          <w:szCs w:val="18"/>
          <w:lang w:eastAsia="ko-KR"/>
        </w:rPr>
        <w:t xml:space="preserve">Payment recipients by payment type by state and territory by gender, </w:t>
      </w:r>
      <w:r>
        <w:rPr>
          <w:rFonts w:cs="Arial"/>
          <w:sz w:val="18"/>
          <w:szCs w:val="18"/>
          <w:lang w:eastAsia="ko-KR"/>
        </w:rPr>
        <w:t>June</w:t>
      </w:r>
      <w:r w:rsidRPr="004C7768">
        <w:rPr>
          <w:rFonts w:cs="Arial"/>
          <w:sz w:val="18"/>
          <w:szCs w:val="18"/>
          <w:lang w:eastAsia="ko-KR"/>
        </w:rPr>
        <w:t xml:space="preserve"> 20</w:t>
      </w:r>
      <w:r>
        <w:rPr>
          <w:rFonts w:cs="Arial"/>
          <w:sz w:val="18"/>
          <w:szCs w:val="18"/>
          <w:lang w:eastAsia="ko-KR"/>
        </w:rPr>
        <w:t>21’</w:t>
      </w:r>
      <w:r w:rsidRPr="00FE365F">
        <w:rPr>
          <w:rFonts w:cs="Arial"/>
          <w:sz w:val="18"/>
          <w:szCs w:val="18"/>
          <w:lang w:eastAsia="ko-KR"/>
        </w:rPr>
        <w:t>.</w:t>
      </w:r>
    </w:p>
  </w:endnote>
  <w:endnote w:id="23">
    <w:p w14:paraId="005C4C58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  <w:lang w:eastAsia="ko-KR"/>
        </w:rPr>
        <w:t>ibid.</w:t>
      </w:r>
    </w:p>
  </w:endnote>
  <w:endnote w:id="24">
    <w:p w14:paraId="6FE97A1F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Australian Bureau of Statistics, 2019, </w:t>
      </w:r>
      <w:r w:rsidRPr="000F7848">
        <w:rPr>
          <w:rFonts w:cs="Arial"/>
          <w:i/>
          <w:sz w:val="18"/>
          <w:szCs w:val="18"/>
        </w:rPr>
        <w:t>Microdata: Income and Housing</w:t>
      </w:r>
      <w:r w:rsidRPr="000F7848">
        <w:rPr>
          <w:rFonts w:cs="Arial"/>
          <w:sz w:val="18"/>
          <w:szCs w:val="18"/>
        </w:rPr>
        <w:t>,</w:t>
      </w:r>
      <w:r w:rsidRPr="000F7848">
        <w:rPr>
          <w:rFonts w:cs="Arial"/>
          <w:i/>
          <w:sz w:val="18"/>
          <w:szCs w:val="18"/>
        </w:rPr>
        <w:t xml:space="preserve"> 2017-18,</w:t>
      </w:r>
      <w:r>
        <w:rPr>
          <w:rFonts w:cs="Arial"/>
          <w:sz w:val="18"/>
          <w:szCs w:val="18"/>
        </w:rPr>
        <w:t xml:space="preserve"> cat. no. 6541.0.30.001, data generated using ABS </w:t>
      </w:r>
      <w:proofErr w:type="spellStart"/>
      <w:r>
        <w:rPr>
          <w:rFonts w:cs="Arial"/>
          <w:sz w:val="18"/>
          <w:szCs w:val="18"/>
        </w:rPr>
        <w:t>TableBuilder</w:t>
      </w:r>
      <w:proofErr w:type="spellEnd"/>
      <w:r>
        <w:rPr>
          <w:rFonts w:cs="Arial"/>
          <w:sz w:val="18"/>
          <w:szCs w:val="18"/>
        </w:rPr>
        <w:t>.</w:t>
      </w:r>
    </w:p>
  </w:endnote>
  <w:endnote w:id="25">
    <w:p w14:paraId="6AFEF344" w14:textId="77777777" w:rsidR="004831FA" w:rsidRPr="000F19D1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26">
    <w:p w14:paraId="51C7779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27">
    <w:p w14:paraId="6C44518B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No superannuation coverage</w:t>
      </w:r>
      <w:r w:rsidRPr="00D07954">
        <w:rPr>
          <w:rFonts w:cs="Arial"/>
          <w:sz w:val="18"/>
          <w:szCs w:val="18"/>
        </w:rPr>
        <w:t xml:space="preserve"> is defined as having a </w:t>
      </w:r>
      <w:r>
        <w:rPr>
          <w:rFonts w:cs="Arial"/>
          <w:sz w:val="18"/>
          <w:szCs w:val="18"/>
        </w:rPr>
        <w:t>zero b</w:t>
      </w:r>
      <w:r w:rsidRPr="00D07954">
        <w:rPr>
          <w:rFonts w:cs="Arial"/>
          <w:sz w:val="18"/>
          <w:szCs w:val="18"/>
        </w:rPr>
        <w:t>alance of total superannuation accounts, not receiving a current weekly income from superannuation/annuity/private pension, and not having received a lump sum superannuation payment in the last two years.</w:t>
      </w:r>
    </w:p>
  </w:endnote>
  <w:endnote w:id="28">
    <w:p w14:paraId="13F93257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Australian Bureau of Statistics, 2019, </w:t>
      </w:r>
      <w:r w:rsidRPr="000F7848">
        <w:rPr>
          <w:rFonts w:cs="Arial"/>
          <w:i/>
          <w:sz w:val="18"/>
          <w:szCs w:val="18"/>
        </w:rPr>
        <w:t>Microdata: Income and Housing, 2017-18</w:t>
      </w:r>
      <w:r>
        <w:rPr>
          <w:rFonts w:cs="Arial"/>
          <w:sz w:val="18"/>
          <w:szCs w:val="18"/>
        </w:rPr>
        <w:t xml:space="preserve">, cat. no. 6541.0.30.001, data generated using ABS </w:t>
      </w:r>
      <w:proofErr w:type="spellStart"/>
      <w:r>
        <w:rPr>
          <w:rFonts w:cs="Arial"/>
          <w:sz w:val="18"/>
          <w:szCs w:val="18"/>
        </w:rPr>
        <w:t>TableBuilder</w:t>
      </w:r>
      <w:proofErr w:type="spellEnd"/>
      <w:r>
        <w:rPr>
          <w:rFonts w:cs="Arial"/>
          <w:sz w:val="18"/>
          <w:szCs w:val="18"/>
        </w:rPr>
        <w:t>.</w:t>
      </w:r>
    </w:p>
  </w:endnote>
  <w:endnote w:id="29">
    <w:p w14:paraId="5A0CFC5C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30">
    <w:p w14:paraId="3F3A3D93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i/>
          <w:sz w:val="18"/>
          <w:szCs w:val="18"/>
          <w:lang w:eastAsia="ko-KR"/>
        </w:rPr>
        <w:t>ibid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31">
    <w:p w14:paraId="3858F650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CE29B5">
        <w:rPr>
          <w:rFonts w:cs="Arial"/>
          <w:sz w:val="18"/>
          <w:szCs w:val="18"/>
          <w:lang w:eastAsia="ko-KR"/>
        </w:rPr>
        <w:t xml:space="preserve">Queensland Department of Housing and Public Works, </w:t>
      </w:r>
      <w:r>
        <w:rPr>
          <w:rFonts w:cs="Arial"/>
          <w:sz w:val="18"/>
          <w:szCs w:val="18"/>
          <w:lang w:eastAsia="ko-KR"/>
        </w:rPr>
        <w:t>RESIDE</w:t>
      </w:r>
      <w:r w:rsidRPr="00CE29B5">
        <w:rPr>
          <w:rFonts w:cs="Arial"/>
          <w:sz w:val="18"/>
          <w:szCs w:val="18"/>
          <w:lang w:eastAsia="ko-KR"/>
        </w:rPr>
        <w:t>@31 August 20</w:t>
      </w:r>
      <w:r>
        <w:rPr>
          <w:rFonts w:cs="Arial"/>
          <w:sz w:val="18"/>
          <w:szCs w:val="18"/>
          <w:lang w:eastAsia="ko-KR"/>
        </w:rPr>
        <w:t>21</w:t>
      </w:r>
      <w:r w:rsidRPr="00CE29B5">
        <w:rPr>
          <w:rFonts w:cs="Arial"/>
          <w:sz w:val="18"/>
          <w:szCs w:val="18"/>
          <w:lang w:eastAsia="ko-KR"/>
        </w:rPr>
        <w:t>, unpublished data.</w:t>
      </w:r>
    </w:p>
  </w:endnote>
  <w:endnote w:id="32">
    <w:p w14:paraId="47EE2099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A02477">
        <w:rPr>
          <w:rFonts w:cs="Arial"/>
          <w:sz w:val="18"/>
          <w:szCs w:val="18"/>
        </w:rPr>
        <w:t>Australian Bureau of Statistics, 2018, Census of Population and Housing: Estimating Homelessness, 2016, Table 2.4 Homeless Operational Groups and Other Marginal Housing, Queensland, cat. no. 2049.0</w:t>
      </w:r>
    </w:p>
  </w:endnote>
  <w:endnote w:id="33">
    <w:p w14:paraId="156556A4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The Australian Bureau of Statistics statistical definition of homelessness is when a person does not have suitable accommodation alternatives they are considered homeless if their current living arrangement: is in a dwelling that is inadequate; or has no tenure, or if their initial tenure is short and not extendable; or does not allow them to have control of, and access to space for social relations</w:t>
      </w:r>
      <w:r w:rsidRPr="006B634E">
        <w:rPr>
          <w:rFonts w:cs="Arial"/>
          <w:sz w:val="18"/>
          <w:szCs w:val="18"/>
        </w:rPr>
        <w:t xml:space="preserve">. </w:t>
      </w:r>
    </w:p>
  </w:endnote>
  <w:endnote w:id="34">
    <w:p w14:paraId="6BB988DF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highlight w:val="yellow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>Australian Institute of Health and Welfare, 20</w:t>
      </w:r>
      <w:r>
        <w:rPr>
          <w:rFonts w:cs="Arial"/>
          <w:sz w:val="18"/>
          <w:szCs w:val="18"/>
          <w:lang w:eastAsia="ko-KR"/>
        </w:rPr>
        <w:t>21</w:t>
      </w:r>
      <w:r w:rsidRPr="006B634E">
        <w:rPr>
          <w:rFonts w:cs="Arial"/>
          <w:sz w:val="18"/>
          <w:szCs w:val="18"/>
          <w:lang w:eastAsia="ko-KR"/>
        </w:rPr>
        <w:t xml:space="preserve">, </w:t>
      </w:r>
      <w:r w:rsidRPr="006B634E">
        <w:rPr>
          <w:rFonts w:cs="Arial"/>
          <w:i/>
          <w:iCs/>
          <w:sz w:val="18"/>
          <w:szCs w:val="18"/>
          <w:lang w:eastAsia="ko-KR"/>
        </w:rPr>
        <w:t>Specialist homelessness services 201</w:t>
      </w:r>
      <w:r>
        <w:rPr>
          <w:rFonts w:cs="Arial"/>
          <w:i/>
          <w:iCs/>
          <w:sz w:val="18"/>
          <w:szCs w:val="18"/>
          <w:lang w:eastAsia="ko-KR"/>
        </w:rPr>
        <w:t>9</w:t>
      </w:r>
      <w:r w:rsidRPr="008E4F7E">
        <w:rPr>
          <w:rFonts w:cs="Arial"/>
          <w:i/>
          <w:iCs/>
          <w:sz w:val="18"/>
          <w:szCs w:val="18"/>
          <w:lang w:eastAsia="ko-KR"/>
        </w:rPr>
        <w:t>–</w:t>
      </w:r>
      <w:r>
        <w:rPr>
          <w:rFonts w:cs="Arial"/>
          <w:i/>
          <w:iCs/>
          <w:sz w:val="18"/>
          <w:szCs w:val="18"/>
          <w:lang w:eastAsia="ko-KR"/>
        </w:rPr>
        <w:t>20</w:t>
      </w:r>
      <w:r w:rsidRPr="006B634E">
        <w:rPr>
          <w:rFonts w:cs="Arial"/>
          <w:i/>
          <w:iCs/>
          <w:sz w:val="18"/>
          <w:szCs w:val="18"/>
          <w:lang w:eastAsia="ko-KR"/>
        </w:rPr>
        <w:t>, Supplementary tables - Queensland</w:t>
      </w:r>
      <w:r w:rsidRPr="006B634E">
        <w:rPr>
          <w:rFonts w:cs="Arial"/>
          <w:sz w:val="18"/>
          <w:szCs w:val="18"/>
          <w:lang w:eastAsia="ko-KR"/>
        </w:rPr>
        <w:t>, ‘Table QLD CLIENTS.1: Clients and support periods, by age and sex, 201</w:t>
      </w:r>
      <w:r>
        <w:rPr>
          <w:rFonts w:cs="Arial"/>
          <w:sz w:val="18"/>
          <w:szCs w:val="18"/>
          <w:lang w:eastAsia="ko-KR"/>
        </w:rPr>
        <w:t>9</w:t>
      </w:r>
      <w:r w:rsidRPr="008E4F7E">
        <w:rPr>
          <w:rFonts w:cs="Arial"/>
          <w:i/>
          <w:iCs/>
          <w:sz w:val="18"/>
          <w:szCs w:val="18"/>
          <w:lang w:eastAsia="ko-KR"/>
        </w:rPr>
        <w:t>–</w:t>
      </w:r>
      <w:r>
        <w:rPr>
          <w:rFonts w:cs="Arial"/>
          <w:sz w:val="18"/>
          <w:szCs w:val="18"/>
          <w:lang w:eastAsia="ko-KR"/>
        </w:rPr>
        <w:t>20</w:t>
      </w:r>
      <w:r w:rsidRPr="00955C0B">
        <w:rPr>
          <w:rFonts w:cs="Arial"/>
          <w:sz w:val="18"/>
          <w:szCs w:val="18"/>
          <w:lang w:eastAsia="ko-KR"/>
        </w:rPr>
        <w:t>’</w:t>
      </w:r>
      <w:r w:rsidRPr="006B634E">
        <w:rPr>
          <w:rFonts w:cs="Arial"/>
          <w:sz w:val="18"/>
          <w:szCs w:val="18"/>
          <w:lang w:eastAsia="ko-KR"/>
        </w:rPr>
        <w:t>.</w:t>
      </w:r>
    </w:p>
  </w:endnote>
  <w:endnote w:id="35">
    <w:p w14:paraId="47C4D529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highlight w:val="yellow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>Australian Bureau of Statistics, 201</w:t>
      </w:r>
      <w:r>
        <w:rPr>
          <w:rFonts w:cs="Arial"/>
          <w:sz w:val="18"/>
          <w:szCs w:val="18"/>
          <w:lang w:eastAsia="ko-KR"/>
        </w:rPr>
        <w:t>9</w:t>
      </w:r>
      <w:r w:rsidRPr="006B634E">
        <w:rPr>
          <w:rFonts w:cs="Arial"/>
          <w:sz w:val="18"/>
          <w:szCs w:val="18"/>
          <w:lang w:eastAsia="ko-KR"/>
        </w:rPr>
        <w:t xml:space="preserve">, </w:t>
      </w:r>
      <w:r w:rsidRPr="006B634E">
        <w:rPr>
          <w:rFonts w:cs="Arial"/>
          <w:i/>
          <w:iCs/>
          <w:sz w:val="18"/>
          <w:szCs w:val="18"/>
          <w:lang w:eastAsia="ko-KR"/>
        </w:rPr>
        <w:t>Housing occupancy and costs, 201</w:t>
      </w:r>
      <w:r>
        <w:rPr>
          <w:rFonts w:cs="Arial"/>
          <w:i/>
          <w:iCs/>
          <w:sz w:val="18"/>
          <w:szCs w:val="18"/>
          <w:lang w:eastAsia="ko-KR"/>
        </w:rPr>
        <w:t>7</w:t>
      </w:r>
      <w:r w:rsidRPr="008E4F7E">
        <w:rPr>
          <w:rFonts w:cs="Arial"/>
          <w:i/>
          <w:iCs/>
          <w:sz w:val="18"/>
          <w:szCs w:val="18"/>
          <w:lang w:eastAsia="ko-KR"/>
        </w:rPr>
        <w:t>–</w:t>
      </w:r>
      <w:r w:rsidRPr="006B634E">
        <w:rPr>
          <w:rFonts w:cs="Arial"/>
          <w:i/>
          <w:iCs/>
          <w:sz w:val="18"/>
          <w:szCs w:val="18"/>
          <w:lang w:eastAsia="ko-KR"/>
        </w:rPr>
        <w:t>1</w:t>
      </w:r>
      <w:r>
        <w:rPr>
          <w:rFonts w:cs="Arial"/>
          <w:i/>
          <w:iCs/>
          <w:sz w:val="18"/>
          <w:szCs w:val="18"/>
          <w:lang w:eastAsia="ko-KR"/>
        </w:rPr>
        <w:t>8</w:t>
      </w:r>
      <w:r w:rsidRPr="006B634E">
        <w:rPr>
          <w:rFonts w:cs="Arial"/>
          <w:sz w:val="18"/>
          <w:szCs w:val="18"/>
          <w:lang w:eastAsia="ko-KR"/>
        </w:rPr>
        <w:t>, ‘1</w:t>
      </w:r>
      <w:r>
        <w:rPr>
          <w:rFonts w:cs="Arial"/>
          <w:sz w:val="18"/>
          <w:szCs w:val="18"/>
          <w:lang w:eastAsia="ko-KR"/>
        </w:rPr>
        <w:t>5</w:t>
      </w:r>
      <w:r w:rsidRPr="006B634E">
        <w:rPr>
          <w:rFonts w:cs="Arial"/>
          <w:sz w:val="18"/>
          <w:szCs w:val="18"/>
          <w:lang w:eastAsia="ko-KR"/>
        </w:rPr>
        <w:t>. Housing Occupancy and Costs, Queensland, 1994–95 to 201</w:t>
      </w:r>
      <w:r>
        <w:rPr>
          <w:rFonts w:cs="Arial"/>
          <w:sz w:val="18"/>
          <w:szCs w:val="18"/>
          <w:lang w:eastAsia="ko-KR"/>
        </w:rPr>
        <w:t>7</w:t>
      </w:r>
      <w:r w:rsidRPr="008E4F7E">
        <w:rPr>
          <w:rFonts w:cs="Arial"/>
          <w:i/>
          <w:iCs/>
          <w:sz w:val="18"/>
          <w:szCs w:val="18"/>
          <w:lang w:eastAsia="ko-KR"/>
        </w:rPr>
        <w:t>–</w:t>
      </w:r>
      <w:r w:rsidRPr="006B634E">
        <w:rPr>
          <w:rFonts w:cs="Arial"/>
          <w:sz w:val="18"/>
          <w:szCs w:val="18"/>
          <w:lang w:eastAsia="ko-KR"/>
        </w:rPr>
        <w:t>1</w:t>
      </w:r>
      <w:r>
        <w:rPr>
          <w:rFonts w:cs="Arial"/>
          <w:sz w:val="18"/>
          <w:szCs w:val="18"/>
          <w:lang w:eastAsia="ko-KR"/>
        </w:rPr>
        <w:t>8</w:t>
      </w:r>
      <w:r w:rsidRPr="006B634E">
        <w:rPr>
          <w:rFonts w:cs="Arial"/>
          <w:sz w:val="18"/>
          <w:szCs w:val="18"/>
          <w:lang w:eastAsia="ko-KR"/>
        </w:rPr>
        <w:t>, Table 1</w:t>
      </w:r>
      <w:r>
        <w:rPr>
          <w:rFonts w:cs="Arial"/>
          <w:sz w:val="18"/>
          <w:szCs w:val="18"/>
          <w:lang w:eastAsia="ko-KR"/>
        </w:rPr>
        <w:t>5</w:t>
      </w:r>
      <w:r w:rsidRPr="006B634E">
        <w:rPr>
          <w:rFonts w:cs="Arial"/>
          <w:sz w:val="18"/>
          <w:szCs w:val="18"/>
          <w:lang w:eastAsia="ko-KR"/>
        </w:rPr>
        <w:t>.2 Housing costs as a proportion of gross household income, selected household characteristics, Queensland, 1994–95 to 201</w:t>
      </w:r>
      <w:r>
        <w:rPr>
          <w:rFonts w:cs="Arial"/>
          <w:sz w:val="18"/>
          <w:szCs w:val="18"/>
          <w:lang w:eastAsia="ko-KR"/>
        </w:rPr>
        <w:t>7</w:t>
      </w:r>
      <w:r w:rsidRPr="006B634E">
        <w:rPr>
          <w:rFonts w:cs="Arial"/>
          <w:sz w:val="18"/>
          <w:szCs w:val="18"/>
          <w:lang w:eastAsia="ko-KR"/>
        </w:rPr>
        <w:t>–1</w:t>
      </w:r>
      <w:r>
        <w:rPr>
          <w:rFonts w:cs="Arial"/>
          <w:sz w:val="18"/>
          <w:szCs w:val="18"/>
          <w:lang w:eastAsia="ko-KR"/>
        </w:rPr>
        <w:t>8</w:t>
      </w:r>
      <w:r w:rsidRPr="006B634E">
        <w:rPr>
          <w:rFonts w:cs="Arial"/>
          <w:sz w:val="18"/>
          <w:szCs w:val="18"/>
          <w:lang w:eastAsia="ko-KR"/>
        </w:rPr>
        <w:t xml:space="preserve">’, cat. no. 4130.0. </w:t>
      </w:r>
    </w:p>
  </w:endnote>
  <w:endnote w:id="36">
    <w:p w14:paraId="6532735D" w14:textId="77777777" w:rsidR="004831FA" w:rsidRPr="006B634E" w:rsidRDefault="004831FA" w:rsidP="004831FA">
      <w:pPr>
        <w:pStyle w:val="EndnoteText"/>
        <w:spacing w:after="40"/>
        <w:ind w:left="227" w:hanging="227"/>
        <w:rPr>
          <w:rFonts w:cs="Arial"/>
          <w:sz w:val="18"/>
          <w:szCs w:val="18"/>
          <w:highlight w:val="yellow"/>
          <w:lang w:eastAsia="ko-KR"/>
        </w:rPr>
      </w:pPr>
      <w:r w:rsidRPr="006B634E">
        <w:rPr>
          <w:rStyle w:val="EndnoteReference"/>
          <w:rFonts w:cs="Arial"/>
          <w:sz w:val="18"/>
          <w:szCs w:val="18"/>
        </w:rPr>
        <w:endnoteRef/>
      </w:r>
      <w:r w:rsidRPr="006B634E">
        <w:rPr>
          <w:rFonts w:cs="Arial"/>
          <w:sz w:val="18"/>
          <w:szCs w:val="18"/>
        </w:rPr>
        <w:t xml:space="preserve"> </w:t>
      </w:r>
      <w:r w:rsidRPr="006B634E">
        <w:rPr>
          <w:rFonts w:cs="Arial"/>
          <w:sz w:val="18"/>
          <w:szCs w:val="18"/>
          <w:lang w:eastAsia="ko-KR"/>
        </w:rPr>
        <w:t xml:space="preserve">Australian Bureau of Statistics, 2017, </w:t>
      </w:r>
      <w:r w:rsidRPr="006B634E">
        <w:rPr>
          <w:rFonts w:cs="Arial"/>
          <w:i/>
          <w:iCs/>
          <w:sz w:val="18"/>
          <w:szCs w:val="18"/>
          <w:lang w:eastAsia="ko-KR"/>
        </w:rPr>
        <w:t>2016 Census of Population and Housing</w:t>
      </w:r>
      <w:r w:rsidRPr="006B634E">
        <w:rPr>
          <w:rFonts w:cs="Arial"/>
          <w:sz w:val="18"/>
          <w:szCs w:val="18"/>
          <w:lang w:eastAsia="ko-KR"/>
        </w:rPr>
        <w:t xml:space="preserve">, data generated using ABS </w:t>
      </w:r>
      <w:proofErr w:type="spellStart"/>
      <w:r w:rsidRPr="006B634E">
        <w:rPr>
          <w:rFonts w:cs="Arial"/>
          <w:sz w:val="18"/>
          <w:szCs w:val="18"/>
          <w:lang w:eastAsia="ko-KR"/>
        </w:rPr>
        <w:t>TableBuilder</w:t>
      </w:r>
      <w:proofErr w:type="spellEnd"/>
      <w:r w:rsidRPr="006B634E">
        <w:rPr>
          <w:rFonts w:cs="Arial"/>
          <w:sz w:val="18"/>
          <w:szCs w:val="18"/>
          <w:lang w:eastAsia="ko-KR"/>
        </w:rPr>
        <w:t xml:space="preserve">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19457" w14:textId="77777777" w:rsidR="004831FA" w:rsidRDefault="004831FA">
      <w:pPr>
        <w:spacing w:after="0"/>
      </w:pPr>
      <w:r>
        <w:separator/>
      </w:r>
    </w:p>
  </w:footnote>
  <w:footnote w:type="continuationSeparator" w:id="0">
    <w:p w14:paraId="6B1DEC27" w14:textId="77777777" w:rsidR="004831FA" w:rsidRDefault="004831FA">
      <w:pPr>
        <w:spacing w:after="0"/>
      </w:pPr>
      <w:r>
        <w:continuationSeparator/>
      </w:r>
    </w:p>
  </w:footnote>
  <w:footnote w:type="continuationNotice" w:id="1">
    <w:p w14:paraId="7E42E5C8" w14:textId="77777777" w:rsidR="004831FA" w:rsidRDefault="004831F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4EAC4" w14:textId="28B553D0" w:rsidR="004831FA" w:rsidRDefault="004831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3A88" w14:textId="7541990D" w:rsidR="004831FA" w:rsidRDefault="004831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3D1CD" w14:textId="7CD43D53" w:rsidR="004831FA" w:rsidRDefault="004831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8FA9" w14:textId="2CB18848" w:rsidR="004831FA" w:rsidRDefault="004831F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E0C17" w14:textId="31C5F6A4" w:rsidR="004831FA" w:rsidRDefault="004831F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AF66A" w14:textId="54ADDAD9" w:rsidR="004831FA" w:rsidRDefault="00483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DB0D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D0962"/>
    <w:multiLevelType w:val="hybridMultilevel"/>
    <w:tmpl w:val="3BE0888E"/>
    <w:lvl w:ilvl="0" w:tplc="F72E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A69F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927A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FE68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4214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6A0B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EEE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2C9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F23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D5E12"/>
    <w:multiLevelType w:val="hybridMultilevel"/>
    <w:tmpl w:val="46D83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0FD"/>
    <w:multiLevelType w:val="hybridMultilevel"/>
    <w:tmpl w:val="0902E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01FE"/>
    <w:multiLevelType w:val="hybridMultilevel"/>
    <w:tmpl w:val="9D462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C93"/>
    <w:multiLevelType w:val="hybridMultilevel"/>
    <w:tmpl w:val="C3C26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1706A"/>
    <w:multiLevelType w:val="hybridMultilevel"/>
    <w:tmpl w:val="532C2510"/>
    <w:lvl w:ilvl="0" w:tplc="9774C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3EE2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4A5D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6AE8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16B1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287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1AC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8B1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3C0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924BB"/>
    <w:multiLevelType w:val="hybridMultilevel"/>
    <w:tmpl w:val="953CC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4BBA"/>
    <w:multiLevelType w:val="hybridMultilevel"/>
    <w:tmpl w:val="C5D65DCC"/>
    <w:lvl w:ilvl="0" w:tplc="0A98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25C5"/>
    <w:multiLevelType w:val="hybridMultilevel"/>
    <w:tmpl w:val="2E08327C"/>
    <w:lvl w:ilvl="0" w:tplc="C7C8F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6C1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D0F5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D855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D83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3EF6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4E7C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76A2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4CE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46270"/>
    <w:multiLevelType w:val="hybridMultilevel"/>
    <w:tmpl w:val="3B5C8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51C01"/>
    <w:multiLevelType w:val="hybridMultilevel"/>
    <w:tmpl w:val="0178C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F26A7"/>
    <w:multiLevelType w:val="hybridMultilevel"/>
    <w:tmpl w:val="2480A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D7"/>
    <w:multiLevelType w:val="hybridMultilevel"/>
    <w:tmpl w:val="5C4E6F98"/>
    <w:lvl w:ilvl="0" w:tplc="A0E4D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4AE9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70A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A03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6AB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BCAD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E6D9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BAA8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1A72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11434"/>
    <w:multiLevelType w:val="hybridMultilevel"/>
    <w:tmpl w:val="7C44D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33B8F"/>
    <w:multiLevelType w:val="hybridMultilevel"/>
    <w:tmpl w:val="25989456"/>
    <w:lvl w:ilvl="0" w:tplc="3BC0A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B0B5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BAE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AAB2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7448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14A6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6ED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4EAC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4ED7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37D7F"/>
    <w:multiLevelType w:val="hybridMultilevel"/>
    <w:tmpl w:val="9884A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11AB0"/>
    <w:multiLevelType w:val="hybridMultilevel"/>
    <w:tmpl w:val="FE9AE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4D57"/>
    <w:multiLevelType w:val="hybridMultilevel"/>
    <w:tmpl w:val="29B45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52A3"/>
    <w:multiLevelType w:val="hybridMultilevel"/>
    <w:tmpl w:val="DE48F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61D6B"/>
    <w:multiLevelType w:val="hybridMultilevel"/>
    <w:tmpl w:val="A8381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31042"/>
    <w:multiLevelType w:val="hybridMultilevel"/>
    <w:tmpl w:val="D84A2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3206"/>
    <w:multiLevelType w:val="hybridMultilevel"/>
    <w:tmpl w:val="9F8C6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3CF"/>
    <w:multiLevelType w:val="hybridMultilevel"/>
    <w:tmpl w:val="FBA0EF1E"/>
    <w:lvl w:ilvl="0" w:tplc="8EEEB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0666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A821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9017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BC3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0886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3ABC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FAC1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DA91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47EF9"/>
    <w:multiLevelType w:val="hybridMultilevel"/>
    <w:tmpl w:val="F7EE230C"/>
    <w:lvl w:ilvl="0" w:tplc="0A98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37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5645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84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0CD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EB0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00A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4413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5E78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2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19"/>
  </w:num>
  <w:num w:numId="12">
    <w:abstractNumId w:val="8"/>
  </w:num>
  <w:num w:numId="13">
    <w:abstractNumId w:val="21"/>
  </w:num>
  <w:num w:numId="14">
    <w:abstractNumId w:val="16"/>
  </w:num>
  <w:num w:numId="15">
    <w:abstractNumId w:val="10"/>
  </w:num>
  <w:num w:numId="16">
    <w:abstractNumId w:val="22"/>
  </w:num>
  <w:num w:numId="17">
    <w:abstractNumId w:val="14"/>
  </w:num>
  <w:num w:numId="18">
    <w:abstractNumId w:val="7"/>
  </w:num>
  <w:num w:numId="19">
    <w:abstractNumId w:val="20"/>
  </w:num>
  <w:num w:numId="20">
    <w:abstractNumId w:val="18"/>
  </w:num>
  <w:num w:numId="21">
    <w:abstractNumId w:val="17"/>
  </w:num>
  <w:num w:numId="22">
    <w:abstractNumId w:val="2"/>
  </w:num>
  <w:num w:numId="23">
    <w:abstractNumId w:val="12"/>
  </w:num>
  <w:num w:numId="24">
    <w:abstractNumId w:val="4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5"/>
    <w:rsid w:val="0000058F"/>
    <w:rsid w:val="00001EBA"/>
    <w:rsid w:val="00006C49"/>
    <w:rsid w:val="00006DFA"/>
    <w:rsid w:val="0001008E"/>
    <w:rsid w:val="000108D9"/>
    <w:rsid w:val="00010ED6"/>
    <w:rsid w:val="00010F52"/>
    <w:rsid w:val="00011AF6"/>
    <w:rsid w:val="000124CF"/>
    <w:rsid w:val="00012C16"/>
    <w:rsid w:val="00012FF1"/>
    <w:rsid w:val="00015183"/>
    <w:rsid w:val="00015CAC"/>
    <w:rsid w:val="00021779"/>
    <w:rsid w:val="0002247F"/>
    <w:rsid w:val="00022E93"/>
    <w:rsid w:val="00023AF5"/>
    <w:rsid w:val="00023E95"/>
    <w:rsid w:val="000242FD"/>
    <w:rsid w:val="00024743"/>
    <w:rsid w:val="00027654"/>
    <w:rsid w:val="0003052E"/>
    <w:rsid w:val="00031B70"/>
    <w:rsid w:val="00033664"/>
    <w:rsid w:val="0003695A"/>
    <w:rsid w:val="00036A06"/>
    <w:rsid w:val="00036F45"/>
    <w:rsid w:val="00037944"/>
    <w:rsid w:val="00040186"/>
    <w:rsid w:val="00040655"/>
    <w:rsid w:val="00041970"/>
    <w:rsid w:val="00041AB3"/>
    <w:rsid w:val="00043388"/>
    <w:rsid w:val="00043B0F"/>
    <w:rsid w:val="000441D4"/>
    <w:rsid w:val="00044F2C"/>
    <w:rsid w:val="000456DF"/>
    <w:rsid w:val="0004670F"/>
    <w:rsid w:val="0005294B"/>
    <w:rsid w:val="00052F24"/>
    <w:rsid w:val="0005312B"/>
    <w:rsid w:val="00053B2B"/>
    <w:rsid w:val="00054D57"/>
    <w:rsid w:val="00055346"/>
    <w:rsid w:val="0005611B"/>
    <w:rsid w:val="00056D98"/>
    <w:rsid w:val="0006069C"/>
    <w:rsid w:val="00061070"/>
    <w:rsid w:val="00062A16"/>
    <w:rsid w:val="00063799"/>
    <w:rsid w:val="0006470D"/>
    <w:rsid w:val="000651FA"/>
    <w:rsid w:val="00065ACA"/>
    <w:rsid w:val="00065EBE"/>
    <w:rsid w:val="00066982"/>
    <w:rsid w:val="00070917"/>
    <w:rsid w:val="000712D3"/>
    <w:rsid w:val="00071CF1"/>
    <w:rsid w:val="00072446"/>
    <w:rsid w:val="00072A0F"/>
    <w:rsid w:val="00075A6B"/>
    <w:rsid w:val="00075CB3"/>
    <w:rsid w:val="00081D2B"/>
    <w:rsid w:val="00082673"/>
    <w:rsid w:val="00082A5E"/>
    <w:rsid w:val="00083FC6"/>
    <w:rsid w:val="00084BC5"/>
    <w:rsid w:val="00085858"/>
    <w:rsid w:val="00087350"/>
    <w:rsid w:val="00087400"/>
    <w:rsid w:val="00087ABE"/>
    <w:rsid w:val="00087B53"/>
    <w:rsid w:val="000916D7"/>
    <w:rsid w:val="00095D2B"/>
    <w:rsid w:val="000965CE"/>
    <w:rsid w:val="000A3712"/>
    <w:rsid w:val="000A4F5E"/>
    <w:rsid w:val="000A520A"/>
    <w:rsid w:val="000B12A2"/>
    <w:rsid w:val="000B1CB0"/>
    <w:rsid w:val="000B2466"/>
    <w:rsid w:val="000B273E"/>
    <w:rsid w:val="000B5DEB"/>
    <w:rsid w:val="000C0807"/>
    <w:rsid w:val="000C1B26"/>
    <w:rsid w:val="000C3CF8"/>
    <w:rsid w:val="000C77F8"/>
    <w:rsid w:val="000D0970"/>
    <w:rsid w:val="000D2F66"/>
    <w:rsid w:val="000D3994"/>
    <w:rsid w:val="000D5495"/>
    <w:rsid w:val="000D7CD8"/>
    <w:rsid w:val="000E14D2"/>
    <w:rsid w:val="000E3AB6"/>
    <w:rsid w:val="000E3BF7"/>
    <w:rsid w:val="000E4646"/>
    <w:rsid w:val="000F19D1"/>
    <w:rsid w:val="000F3F5A"/>
    <w:rsid w:val="000F40D5"/>
    <w:rsid w:val="000F46B5"/>
    <w:rsid w:val="000F49E2"/>
    <w:rsid w:val="000F7848"/>
    <w:rsid w:val="00100260"/>
    <w:rsid w:val="001002DA"/>
    <w:rsid w:val="00100FBC"/>
    <w:rsid w:val="00101F63"/>
    <w:rsid w:val="001037BD"/>
    <w:rsid w:val="00105A55"/>
    <w:rsid w:val="00105BB3"/>
    <w:rsid w:val="00106B91"/>
    <w:rsid w:val="001078B4"/>
    <w:rsid w:val="001133DE"/>
    <w:rsid w:val="001163B6"/>
    <w:rsid w:val="00120A79"/>
    <w:rsid w:val="00121C8E"/>
    <w:rsid w:val="001238B8"/>
    <w:rsid w:val="00123CAD"/>
    <w:rsid w:val="00123E26"/>
    <w:rsid w:val="00126236"/>
    <w:rsid w:val="00127A1A"/>
    <w:rsid w:val="001310FA"/>
    <w:rsid w:val="001313B9"/>
    <w:rsid w:val="001318BE"/>
    <w:rsid w:val="00132378"/>
    <w:rsid w:val="00133B41"/>
    <w:rsid w:val="001347C1"/>
    <w:rsid w:val="00134A94"/>
    <w:rsid w:val="00134F22"/>
    <w:rsid w:val="00135AE1"/>
    <w:rsid w:val="00136688"/>
    <w:rsid w:val="00141117"/>
    <w:rsid w:val="00141914"/>
    <w:rsid w:val="001443EB"/>
    <w:rsid w:val="0014453E"/>
    <w:rsid w:val="00144906"/>
    <w:rsid w:val="001451B7"/>
    <w:rsid w:val="001452DC"/>
    <w:rsid w:val="00147ACC"/>
    <w:rsid w:val="00147FB4"/>
    <w:rsid w:val="00154D78"/>
    <w:rsid w:val="001607E3"/>
    <w:rsid w:val="001610E8"/>
    <w:rsid w:val="00163048"/>
    <w:rsid w:val="00163696"/>
    <w:rsid w:val="001644A4"/>
    <w:rsid w:val="00165BD6"/>
    <w:rsid w:val="00166077"/>
    <w:rsid w:val="00167176"/>
    <w:rsid w:val="00173AF9"/>
    <w:rsid w:val="00173C36"/>
    <w:rsid w:val="001837D8"/>
    <w:rsid w:val="00183F65"/>
    <w:rsid w:val="00185122"/>
    <w:rsid w:val="001871FF"/>
    <w:rsid w:val="00187B56"/>
    <w:rsid w:val="001903B1"/>
    <w:rsid w:val="001918B6"/>
    <w:rsid w:val="00191CBB"/>
    <w:rsid w:val="00192101"/>
    <w:rsid w:val="0019362A"/>
    <w:rsid w:val="00196332"/>
    <w:rsid w:val="001A0B8A"/>
    <w:rsid w:val="001A1E42"/>
    <w:rsid w:val="001A31F6"/>
    <w:rsid w:val="001A473D"/>
    <w:rsid w:val="001A5784"/>
    <w:rsid w:val="001A6048"/>
    <w:rsid w:val="001B024F"/>
    <w:rsid w:val="001B0499"/>
    <w:rsid w:val="001B0769"/>
    <w:rsid w:val="001B07E2"/>
    <w:rsid w:val="001B3CC3"/>
    <w:rsid w:val="001B40D0"/>
    <w:rsid w:val="001B4290"/>
    <w:rsid w:val="001B7876"/>
    <w:rsid w:val="001B7FD8"/>
    <w:rsid w:val="001C0197"/>
    <w:rsid w:val="001C1691"/>
    <w:rsid w:val="001C46B9"/>
    <w:rsid w:val="001C5290"/>
    <w:rsid w:val="001C6633"/>
    <w:rsid w:val="001D086D"/>
    <w:rsid w:val="001D0CE4"/>
    <w:rsid w:val="001D133B"/>
    <w:rsid w:val="001D3F79"/>
    <w:rsid w:val="001D40C3"/>
    <w:rsid w:val="001D6E3A"/>
    <w:rsid w:val="001E26B8"/>
    <w:rsid w:val="001E29D6"/>
    <w:rsid w:val="001E3F41"/>
    <w:rsid w:val="001E657F"/>
    <w:rsid w:val="001E7956"/>
    <w:rsid w:val="001F08A7"/>
    <w:rsid w:val="001F0AA9"/>
    <w:rsid w:val="001F4E04"/>
    <w:rsid w:val="001F4FB6"/>
    <w:rsid w:val="001F632E"/>
    <w:rsid w:val="001F6D19"/>
    <w:rsid w:val="001F7D5C"/>
    <w:rsid w:val="0020125E"/>
    <w:rsid w:val="00204418"/>
    <w:rsid w:val="00204C17"/>
    <w:rsid w:val="00212181"/>
    <w:rsid w:val="0021279D"/>
    <w:rsid w:val="002136F4"/>
    <w:rsid w:val="002147BF"/>
    <w:rsid w:val="00215390"/>
    <w:rsid w:val="00215B4B"/>
    <w:rsid w:val="00216CEB"/>
    <w:rsid w:val="0021750C"/>
    <w:rsid w:val="00220EE2"/>
    <w:rsid w:val="00222135"/>
    <w:rsid w:val="002243E0"/>
    <w:rsid w:val="0022581C"/>
    <w:rsid w:val="00226FB5"/>
    <w:rsid w:val="00227000"/>
    <w:rsid w:val="0023177C"/>
    <w:rsid w:val="002324FE"/>
    <w:rsid w:val="00234DCB"/>
    <w:rsid w:val="00237F12"/>
    <w:rsid w:val="0024031B"/>
    <w:rsid w:val="00245807"/>
    <w:rsid w:val="002479B5"/>
    <w:rsid w:val="00250635"/>
    <w:rsid w:val="00252320"/>
    <w:rsid w:val="0025329F"/>
    <w:rsid w:val="002548E1"/>
    <w:rsid w:val="00256FBE"/>
    <w:rsid w:val="00262815"/>
    <w:rsid w:val="00263113"/>
    <w:rsid w:val="002640F6"/>
    <w:rsid w:val="00265A92"/>
    <w:rsid w:val="00266186"/>
    <w:rsid w:val="002700A0"/>
    <w:rsid w:val="002701E7"/>
    <w:rsid w:val="00270957"/>
    <w:rsid w:val="00271A96"/>
    <w:rsid w:val="0027320E"/>
    <w:rsid w:val="00273D68"/>
    <w:rsid w:val="00274F72"/>
    <w:rsid w:val="00275900"/>
    <w:rsid w:val="00275E32"/>
    <w:rsid w:val="00275ECD"/>
    <w:rsid w:val="00276B0D"/>
    <w:rsid w:val="0028026A"/>
    <w:rsid w:val="00280792"/>
    <w:rsid w:val="0028315A"/>
    <w:rsid w:val="0028355C"/>
    <w:rsid w:val="0028407E"/>
    <w:rsid w:val="002853DB"/>
    <w:rsid w:val="00291502"/>
    <w:rsid w:val="00291552"/>
    <w:rsid w:val="00291637"/>
    <w:rsid w:val="00292BE7"/>
    <w:rsid w:val="00293DDE"/>
    <w:rsid w:val="00294478"/>
    <w:rsid w:val="00295986"/>
    <w:rsid w:val="00295997"/>
    <w:rsid w:val="00296264"/>
    <w:rsid w:val="00296A7B"/>
    <w:rsid w:val="002A11C5"/>
    <w:rsid w:val="002A46FF"/>
    <w:rsid w:val="002A48B1"/>
    <w:rsid w:val="002A5531"/>
    <w:rsid w:val="002A7A86"/>
    <w:rsid w:val="002B29CC"/>
    <w:rsid w:val="002B3A8C"/>
    <w:rsid w:val="002B4A61"/>
    <w:rsid w:val="002C00B0"/>
    <w:rsid w:val="002C0BF6"/>
    <w:rsid w:val="002C17C9"/>
    <w:rsid w:val="002C3F5E"/>
    <w:rsid w:val="002C4A5B"/>
    <w:rsid w:val="002C4FAD"/>
    <w:rsid w:val="002C5A9B"/>
    <w:rsid w:val="002C75C8"/>
    <w:rsid w:val="002D4C87"/>
    <w:rsid w:val="002D4D2E"/>
    <w:rsid w:val="002D4D9E"/>
    <w:rsid w:val="002D7F06"/>
    <w:rsid w:val="002E018D"/>
    <w:rsid w:val="002E02BF"/>
    <w:rsid w:val="002E03BF"/>
    <w:rsid w:val="002E2C0A"/>
    <w:rsid w:val="002E44FC"/>
    <w:rsid w:val="002E54A4"/>
    <w:rsid w:val="002F28EC"/>
    <w:rsid w:val="002F4033"/>
    <w:rsid w:val="002F4AE8"/>
    <w:rsid w:val="002F4E2D"/>
    <w:rsid w:val="002F57CF"/>
    <w:rsid w:val="002F5AF0"/>
    <w:rsid w:val="002F5D86"/>
    <w:rsid w:val="002F6956"/>
    <w:rsid w:val="002F7ADC"/>
    <w:rsid w:val="00300683"/>
    <w:rsid w:val="00303239"/>
    <w:rsid w:val="00305DEA"/>
    <w:rsid w:val="00306A6D"/>
    <w:rsid w:val="00311208"/>
    <w:rsid w:val="003138C7"/>
    <w:rsid w:val="003143EF"/>
    <w:rsid w:val="003163BC"/>
    <w:rsid w:val="003215C2"/>
    <w:rsid w:val="00322028"/>
    <w:rsid w:val="00322981"/>
    <w:rsid w:val="00325251"/>
    <w:rsid w:val="003253D4"/>
    <w:rsid w:val="00326BA2"/>
    <w:rsid w:val="003317BC"/>
    <w:rsid w:val="003328CB"/>
    <w:rsid w:val="00335235"/>
    <w:rsid w:val="00335780"/>
    <w:rsid w:val="003377E1"/>
    <w:rsid w:val="003378D3"/>
    <w:rsid w:val="00341C22"/>
    <w:rsid w:val="00342BDB"/>
    <w:rsid w:val="00342D91"/>
    <w:rsid w:val="003443D6"/>
    <w:rsid w:val="003443F9"/>
    <w:rsid w:val="003454AA"/>
    <w:rsid w:val="00345A29"/>
    <w:rsid w:val="00346008"/>
    <w:rsid w:val="0034604C"/>
    <w:rsid w:val="0034653A"/>
    <w:rsid w:val="00346AD6"/>
    <w:rsid w:val="00351513"/>
    <w:rsid w:val="003519E1"/>
    <w:rsid w:val="0035237B"/>
    <w:rsid w:val="00352A01"/>
    <w:rsid w:val="00354C15"/>
    <w:rsid w:val="003563AC"/>
    <w:rsid w:val="00356D91"/>
    <w:rsid w:val="00360D80"/>
    <w:rsid w:val="00361D12"/>
    <w:rsid w:val="003646BA"/>
    <w:rsid w:val="00365F64"/>
    <w:rsid w:val="00366485"/>
    <w:rsid w:val="00366FFA"/>
    <w:rsid w:val="003670B5"/>
    <w:rsid w:val="00371C7E"/>
    <w:rsid w:val="00374030"/>
    <w:rsid w:val="0037545D"/>
    <w:rsid w:val="00375F40"/>
    <w:rsid w:val="003762DB"/>
    <w:rsid w:val="003767AE"/>
    <w:rsid w:val="00377041"/>
    <w:rsid w:val="0037769B"/>
    <w:rsid w:val="0038018D"/>
    <w:rsid w:val="00383EA2"/>
    <w:rsid w:val="00385F66"/>
    <w:rsid w:val="0038607C"/>
    <w:rsid w:val="00386AB9"/>
    <w:rsid w:val="00387A67"/>
    <w:rsid w:val="00387A9F"/>
    <w:rsid w:val="00387CC5"/>
    <w:rsid w:val="00391577"/>
    <w:rsid w:val="00391584"/>
    <w:rsid w:val="003923EC"/>
    <w:rsid w:val="00392A0B"/>
    <w:rsid w:val="003945FD"/>
    <w:rsid w:val="003952C5"/>
    <w:rsid w:val="00397E35"/>
    <w:rsid w:val="003A15BE"/>
    <w:rsid w:val="003A47DA"/>
    <w:rsid w:val="003A5361"/>
    <w:rsid w:val="003B0E61"/>
    <w:rsid w:val="003B3CBF"/>
    <w:rsid w:val="003B6699"/>
    <w:rsid w:val="003B7B35"/>
    <w:rsid w:val="003C19F2"/>
    <w:rsid w:val="003C1D01"/>
    <w:rsid w:val="003C1FD0"/>
    <w:rsid w:val="003C52E4"/>
    <w:rsid w:val="003C5F3F"/>
    <w:rsid w:val="003C74D0"/>
    <w:rsid w:val="003D08D2"/>
    <w:rsid w:val="003D2B96"/>
    <w:rsid w:val="003D2C59"/>
    <w:rsid w:val="003D3BF3"/>
    <w:rsid w:val="003D50EC"/>
    <w:rsid w:val="003D70D7"/>
    <w:rsid w:val="003E3B44"/>
    <w:rsid w:val="003E3E7C"/>
    <w:rsid w:val="003E5540"/>
    <w:rsid w:val="003E5C73"/>
    <w:rsid w:val="003F4572"/>
    <w:rsid w:val="003F5357"/>
    <w:rsid w:val="003F5FFD"/>
    <w:rsid w:val="003F77D5"/>
    <w:rsid w:val="003F7BC9"/>
    <w:rsid w:val="00401DF2"/>
    <w:rsid w:val="004020AB"/>
    <w:rsid w:val="0040397A"/>
    <w:rsid w:val="00403B61"/>
    <w:rsid w:val="00405050"/>
    <w:rsid w:val="004072B0"/>
    <w:rsid w:val="0040737F"/>
    <w:rsid w:val="00407D2D"/>
    <w:rsid w:val="00407D8B"/>
    <w:rsid w:val="0041049D"/>
    <w:rsid w:val="0041241E"/>
    <w:rsid w:val="004130DD"/>
    <w:rsid w:val="00413DE7"/>
    <w:rsid w:val="00414503"/>
    <w:rsid w:val="004147C8"/>
    <w:rsid w:val="00415A0B"/>
    <w:rsid w:val="004171E3"/>
    <w:rsid w:val="004178CE"/>
    <w:rsid w:val="00420227"/>
    <w:rsid w:val="00420765"/>
    <w:rsid w:val="00424215"/>
    <w:rsid w:val="00427E8D"/>
    <w:rsid w:val="00430739"/>
    <w:rsid w:val="0043374B"/>
    <w:rsid w:val="00435039"/>
    <w:rsid w:val="0043643A"/>
    <w:rsid w:val="00441D99"/>
    <w:rsid w:val="004430FA"/>
    <w:rsid w:val="00446CDA"/>
    <w:rsid w:val="00447BBA"/>
    <w:rsid w:val="00450637"/>
    <w:rsid w:val="00450737"/>
    <w:rsid w:val="00454010"/>
    <w:rsid w:val="00456A95"/>
    <w:rsid w:val="00457045"/>
    <w:rsid w:val="004570A1"/>
    <w:rsid w:val="00457AE0"/>
    <w:rsid w:val="004612F3"/>
    <w:rsid w:val="004633D2"/>
    <w:rsid w:val="00463CBA"/>
    <w:rsid w:val="00464B36"/>
    <w:rsid w:val="0046732E"/>
    <w:rsid w:val="00467A9A"/>
    <w:rsid w:val="004706F9"/>
    <w:rsid w:val="0047071C"/>
    <w:rsid w:val="00472C91"/>
    <w:rsid w:val="00475811"/>
    <w:rsid w:val="00475973"/>
    <w:rsid w:val="004764EA"/>
    <w:rsid w:val="00477491"/>
    <w:rsid w:val="00477F34"/>
    <w:rsid w:val="004821CD"/>
    <w:rsid w:val="00482964"/>
    <w:rsid w:val="004831FA"/>
    <w:rsid w:val="0048490A"/>
    <w:rsid w:val="004850B8"/>
    <w:rsid w:val="00486AA1"/>
    <w:rsid w:val="00486BA7"/>
    <w:rsid w:val="00487175"/>
    <w:rsid w:val="00487E42"/>
    <w:rsid w:val="004927A3"/>
    <w:rsid w:val="00492816"/>
    <w:rsid w:val="00492CD8"/>
    <w:rsid w:val="004932B3"/>
    <w:rsid w:val="004932F6"/>
    <w:rsid w:val="00494280"/>
    <w:rsid w:val="00495E3C"/>
    <w:rsid w:val="004964B3"/>
    <w:rsid w:val="004964D3"/>
    <w:rsid w:val="004A0008"/>
    <w:rsid w:val="004A0564"/>
    <w:rsid w:val="004A1D46"/>
    <w:rsid w:val="004A26E8"/>
    <w:rsid w:val="004A3A2A"/>
    <w:rsid w:val="004A5B23"/>
    <w:rsid w:val="004A5F19"/>
    <w:rsid w:val="004A6A07"/>
    <w:rsid w:val="004B041B"/>
    <w:rsid w:val="004B58C7"/>
    <w:rsid w:val="004B7841"/>
    <w:rsid w:val="004C2A47"/>
    <w:rsid w:val="004C3A90"/>
    <w:rsid w:val="004C4A2E"/>
    <w:rsid w:val="004C4ECE"/>
    <w:rsid w:val="004C51E9"/>
    <w:rsid w:val="004C52BD"/>
    <w:rsid w:val="004C768A"/>
    <w:rsid w:val="004C7768"/>
    <w:rsid w:val="004C7901"/>
    <w:rsid w:val="004D12CD"/>
    <w:rsid w:val="004D4C03"/>
    <w:rsid w:val="004D5DC3"/>
    <w:rsid w:val="004D6E7A"/>
    <w:rsid w:val="004E0A98"/>
    <w:rsid w:val="004E4466"/>
    <w:rsid w:val="004E4F16"/>
    <w:rsid w:val="004E5981"/>
    <w:rsid w:val="004E72C2"/>
    <w:rsid w:val="004E75DF"/>
    <w:rsid w:val="004E78DB"/>
    <w:rsid w:val="004F0190"/>
    <w:rsid w:val="004F2BAF"/>
    <w:rsid w:val="004F3095"/>
    <w:rsid w:val="004F5613"/>
    <w:rsid w:val="004F5C8A"/>
    <w:rsid w:val="004F5ED3"/>
    <w:rsid w:val="004F67A2"/>
    <w:rsid w:val="00504EC2"/>
    <w:rsid w:val="005073F7"/>
    <w:rsid w:val="0051165C"/>
    <w:rsid w:val="00521D88"/>
    <w:rsid w:val="005221FD"/>
    <w:rsid w:val="005243E4"/>
    <w:rsid w:val="005254CA"/>
    <w:rsid w:val="005256CD"/>
    <w:rsid w:val="005258D3"/>
    <w:rsid w:val="0053267A"/>
    <w:rsid w:val="00532C24"/>
    <w:rsid w:val="005347C5"/>
    <w:rsid w:val="00535157"/>
    <w:rsid w:val="00536DF9"/>
    <w:rsid w:val="00541359"/>
    <w:rsid w:val="00541882"/>
    <w:rsid w:val="0054196B"/>
    <w:rsid w:val="0054279F"/>
    <w:rsid w:val="00543F71"/>
    <w:rsid w:val="00544775"/>
    <w:rsid w:val="0054681A"/>
    <w:rsid w:val="00546DE5"/>
    <w:rsid w:val="00550B28"/>
    <w:rsid w:val="005525D1"/>
    <w:rsid w:val="005536AF"/>
    <w:rsid w:val="00553984"/>
    <w:rsid w:val="00554488"/>
    <w:rsid w:val="00554DBB"/>
    <w:rsid w:val="0055543F"/>
    <w:rsid w:val="00557913"/>
    <w:rsid w:val="00561CD2"/>
    <w:rsid w:val="00562F4F"/>
    <w:rsid w:val="0056382A"/>
    <w:rsid w:val="005647E7"/>
    <w:rsid w:val="00565890"/>
    <w:rsid w:val="005674EC"/>
    <w:rsid w:val="0057050A"/>
    <w:rsid w:val="00571319"/>
    <w:rsid w:val="0057263D"/>
    <w:rsid w:val="0057291D"/>
    <w:rsid w:val="00574A66"/>
    <w:rsid w:val="0057597F"/>
    <w:rsid w:val="00580913"/>
    <w:rsid w:val="005812FB"/>
    <w:rsid w:val="00582B0C"/>
    <w:rsid w:val="005875E0"/>
    <w:rsid w:val="00591396"/>
    <w:rsid w:val="00591616"/>
    <w:rsid w:val="00591D23"/>
    <w:rsid w:val="00591F48"/>
    <w:rsid w:val="00592A6F"/>
    <w:rsid w:val="005948C3"/>
    <w:rsid w:val="00596DC2"/>
    <w:rsid w:val="005976A5"/>
    <w:rsid w:val="00597BCB"/>
    <w:rsid w:val="005A20D2"/>
    <w:rsid w:val="005A35A3"/>
    <w:rsid w:val="005A419E"/>
    <w:rsid w:val="005A4617"/>
    <w:rsid w:val="005A5900"/>
    <w:rsid w:val="005A7D1C"/>
    <w:rsid w:val="005B1CB2"/>
    <w:rsid w:val="005B511C"/>
    <w:rsid w:val="005B5316"/>
    <w:rsid w:val="005B5EAD"/>
    <w:rsid w:val="005B5EEA"/>
    <w:rsid w:val="005B670E"/>
    <w:rsid w:val="005B6F80"/>
    <w:rsid w:val="005B77E9"/>
    <w:rsid w:val="005C0459"/>
    <w:rsid w:val="005C057F"/>
    <w:rsid w:val="005C2747"/>
    <w:rsid w:val="005C4914"/>
    <w:rsid w:val="005C5664"/>
    <w:rsid w:val="005C58A5"/>
    <w:rsid w:val="005C5D1A"/>
    <w:rsid w:val="005D299E"/>
    <w:rsid w:val="005D2AC6"/>
    <w:rsid w:val="005D415D"/>
    <w:rsid w:val="005D43F5"/>
    <w:rsid w:val="005D5004"/>
    <w:rsid w:val="005E0346"/>
    <w:rsid w:val="005E1553"/>
    <w:rsid w:val="005E15C8"/>
    <w:rsid w:val="005E2327"/>
    <w:rsid w:val="005E2944"/>
    <w:rsid w:val="005E396C"/>
    <w:rsid w:val="005E4358"/>
    <w:rsid w:val="005E48C0"/>
    <w:rsid w:val="005F3EE0"/>
    <w:rsid w:val="006003A5"/>
    <w:rsid w:val="00601C86"/>
    <w:rsid w:val="0060291A"/>
    <w:rsid w:val="006031B4"/>
    <w:rsid w:val="00603B3D"/>
    <w:rsid w:val="0060458C"/>
    <w:rsid w:val="006055F2"/>
    <w:rsid w:val="006058BB"/>
    <w:rsid w:val="006064AE"/>
    <w:rsid w:val="006108CA"/>
    <w:rsid w:val="0061096D"/>
    <w:rsid w:val="0061111B"/>
    <w:rsid w:val="00612268"/>
    <w:rsid w:val="00612655"/>
    <w:rsid w:val="006141F4"/>
    <w:rsid w:val="0061663B"/>
    <w:rsid w:val="00616E3E"/>
    <w:rsid w:val="006175AF"/>
    <w:rsid w:val="006206D0"/>
    <w:rsid w:val="006207EB"/>
    <w:rsid w:val="0062155C"/>
    <w:rsid w:val="00623225"/>
    <w:rsid w:val="00624DEE"/>
    <w:rsid w:val="0062570C"/>
    <w:rsid w:val="00625789"/>
    <w:rsid w:val="006257E6"/>
    <w:rsid w:val="00626C0F"/>
    <w:rsid w:val="00636A6B"/>
    <w:rsid w:val="00636ACB"/>
    <w:rsid w:val="00636C1A"/>
    <w:rsid w:val="00636C8C"/>
    <w:rsid w:val="00641736"/>
    <w:rsid w:val="00642AA5"/>
    <w:rsid w:val="00644471"/>
    <w:rsid w:val="006447F8"/>
    <w:rsid w:val="006449DC"/>
    <w:rsid w:val="0065001B"/>
    <w:rsid w:val="00650D69"/>
    <w:rsid w:val="006518F2"/>
    <w:rsid w:val="006519DC"/>
    <w:rsid w:val="00654044"/>
    <w:rsid w:val="00654F1E"/>
    <w:rsid w:val="00656168"/>
    <w:rsid w:val="00656308"/>
    <w:rsid w:val="0066077A"/>
    <w:rsid w:val="006620D0"/>
    <w:rsid w:val="006628B1"/>
    <w:rsid w:val="00663933"/>
    <w:rsid w:val="00663B8C"/>
    <w:rsid w:val="00664735"/>
    <w:rsid w:val="006751FF"/>
    <w:rsid w:val="00676E5B"/>
    <w:rsid w:val="006801EF"/>
    <w:rsid w:val="00681C07"/>
    <w:rsid w:val="00681F8B"/>
    <w:rsid w:val="00684B6D"/>
    <w:rsid w:val="00685962"/>
    <w:rsid w:val="00685B7B"/>
    <w:rsid w:val="00687707"/>
    <w:rsid w:val="006877E5"/>
    <w:rsid w:val="00692C14"/>
    <w:rsid w:val="006955F0"/>
    <w:rsid w:val="006A1EA0"/>
    <w:rsid w:val="006A4E66"/>
    <w:rsid w:val="006A6F2E"/>
    <w:rsid w:val="006B0E7B"/>
    <w:rsid w:val="006B1820"/>
    <w:rsid w:val="006B3341"/>
    <w:rsid w:val="006B40E7"/>
    <w:rsid w:val="006B447D"/>
    <w:rsid w:val="006B634E"/>
    <w:rsid w:val="006B64EC"/>
    <w:rsid w:val="006B6EF7"/>
    <w:rsid w:val="006C044B"/>
    <w:rsid w:val="006C1037"/>
    <w:rsid w:val="006C42B5"/>
    <w:rsid w:val="006D04B4"/>
    <w:rsid w:val="006D05D3"/>
    <w:rsid w:val="006D2367"/>
    <w:rsid w:val="006D25D1"/>
    <w:rsid w:val="006D2ED4"/>
    <w:rsid w:val="006D607E"/>
    <w:rsid w:val="006D7584"/>
    <w:rsid w:val="006E0847"/>
    <w:rsid w:val="006E0D5D"/>
    <w:rsid w:val="006E44AA"/>
    <w:rsid w:val="006E562C"/>
    <w:rsid w:val="006E619A"/>
    <w:rsid w:val="006F0663"/>
    <w:rsid w:val="006F1D82"/>
    <w:rsid w:val="006F53C4"/>
    <w:rsid w:val="006F6A3F"/>
    <w:rsid w:val="007019E0"/>
    <w:rsid w:val="00703C32"/>
    <w:rsid w:val="00703CA5"/>
    <w:rsid w:val="0070757E"/>
    <w:rsid w:val="007078B3"/>
    <w:rsid w:val="00707923"/>
    <w:rsid w:val="007111D0"/>
    <w:rsid w:val="00711846"/>
    <w:rsid w:val="00711F79"/>
    <w:rsid w:val="00715E94"/>
    <w:rsid w:val="00716F60"/>
    <w:rsid w:val="0072151F"/>
    <w:rsid w:val="00721969"/>
    <w:rsid w:val="00726658"/>
    <w:rsid w:val="00730CCF"/>
    <w:rsid w:val="007352F7"/>
    <w:rsid w:val="0073536E"/>
    <w:rsid w:val="0073541B"/>
    <w:rsid w:val="00735B0D"/>
    <w:rsid w:val="00737E60"/>
    <w:rsid w:val="00740D97"/>
    <w:rsid w:val="00740DF2"/>
    <w:rsid w:val="00744F58"/>
    <w:rsid w:val="007476A2"/>
    <w:rsid w:val="0074778C"/>
    <w:rsid w:val="007477A0"/>
    <w:rsid w:val="00751460"/>
    <w:rsid w:val="00751F43"/>
    <w:rsid w:val="007533AA"/>
    <w:rsid w:val="00754D19"/>
    <w:rsid w:val="00755011"/>
    <w:rsid w:val="00756DE2"/>
    <w:rsid w:val="00761265"/>
    <w:rsid w:val="007622FD"/>
    <w:rsid w:val="00763B41"/>
    <w:rsid w:val="00771F0C"/>
    <w:rsid w:val="007725C1"/>
    <w:rsid w:val="00775910"/>
    <w:rsid w:val="00775BD8"/>
    <w:rsid w:val="007769E3"/>
    <w:rsid w:val="00777A1E"/>
    <w:rsid w:val="00777E7F"/>
    <w:rsid w:val="00780F51"/>
    <w:rsid w:val="00781CBB"/>
    <w:rsid w:val="00782572"/>
    <w:rsid w:val="00782828"/>
    <w:rsid w:val="00783983"/>
    <w:rsid w:val="00784F83"/>
    <w:rsid w:val="00787AEB"/>
    <w:rsid w:val="007913FD"/>
    <w:rsid w:val="00791D83"/>
    <w:rsid w:val="00793C81"/>
    <w:rsid w:val="00795B1A"/>
    <w:rsid w:val="00797B55"/>
    <w:rsid w:val="007A0657"/>
    <w:rsid w:val="007A0B06"/>
    <w:rsid w:val="007A2688"/>
    <w:rsid w:val="007A474C"/>
    <w:rsid w:val="007A47C6"/>
    <w:rsid w:val="007A54DF"/>
    <w:rsid w:val="007A5EEB"/>
    <w:rsid w:val="007A612D"/>
    <w:rsid w:val="007A6B83"/>
    <w:rsid w:val="007A6F36"/>
    <w:rsid w:val="007B07F9"/>
    <w:rsid w:val="007B182F"/>
    <w:rsid w:val="007B29CE"/>
    <w:rsid w:val="007B308F"/>
    <w:rsid w:val="007B33FB"/>
    <w:rsid w:val="007B4F3E"/>
    <w:rsid w:val="007B56CC"/>
    <w:rsid w:val="007B5B66"/>
    <w:rsid w:val="007B7341"/>
    <w:rsid w:val="007C5342"/>
    <w:rsid w:val="007C5589"/>
    <w:rsid w:val="007C62BC"/>
    <w:rsid w:val="007C6844"/>
    <w:rsid w:val="007C7540"/>
    <w:rsid w:val="007C79B1"/>
    <w:rsid w:val="007D2225"/>
    <w:rsid w:val="007D223B"/>
    <w:rsid w:val="007D227D"/>
    <w:rsid w:val="007D272E"/>
    <w:rsid w:val="007D2FDA"/>
    <w:rsid w:val="007D36BE"/>
    <w:rsid w:val="007D4F12"/>
    <w:rsid w:val="007D677A"/>
    <w:rsid w:val="007E0A35"/>
    <w:rsid w:val="007E1EA3"/>
    <w:rsid w:val="007E2472"/>
    <w:rsid w:val="007E2991"/>
    <w:rsid w:val="007E2A32"/>
    <w:rsid w:val="007E2EFD"/>
    <w:rsid w:val="007E3BDE"/>
    <w:rsid w:val="007E699C"/>
    <w:rsid w:val="007E78E2"/>
    <w:rsid w:val="007E79B7"/>
    <w:rsid w:val="007F0309"/>
    <w:rsid w:val="007F0C9D"/>
    <w:rsid w:val="007F155D"/>
    <w:rsid w:val="007F3FA1"/>
    <w:rsid w:val="007F46A6"/>
    <w:rsid w:val="007F522A"/>
    <w:rsid w:val="007F6254"/>
    <w:rsid w:val="007F729D"/>
    <w:rsid w:val="00801453"/>
    <w:rsid w:val="00802483"/>
    <w:rsid w:val="0080298B"/>
    <w:rsid w:val="00802B9B"/>
    <w:rsid w:val="00802CD8"/>
    <w:rsid w:val="00803B9A"/>
    <w:rsid w:val="008065A5"/>
    <w:rsid w:val="00806A9F"/>
    <w:rsid w:val="008071E4"/>
    <w:rsid w:val="00807CEF"/>
    <w:rsid w:val="00811538"/>
    <w:rsid w:val="00811763"/>
    <w:rsid w:val="008120C8"/>
    <w:rsid w:val="00813A8B"/>
    <w:rsid w:val="00817CF8"/>
    <w:rsid w:val="00820415"/>
    <w:rsid w:val="00820B52"/>
    <w:rsid w:val="00824124"/>
    <w:rsid w:val="0082488B"/>
    <w:rsid w:val="00824C07"/>
    <w:rsid w:val="00824F94"/>
    <w:rsid w:val="00826AA2"/>
    <w:rsid w:val="00826D95"/>
    <w:rsid w:val="00830C52"/>
    <w:rsid w:val="0083163A"/>
    <w:rsid w:val="00831B08"/>
    <w:rsid w:val="00832E30"/>
    <w:rsid w:val="008356CD"/>
    <w:rsid w:val="00840248"/>
    <w:rsid w:val="00845B31"/>
    <w:rsid w:val="00846623"/>
    <w:rsid w:val="00847FBA"/>
    <w:rsid w:val="0085095D"/>
    <w:rsid w:val="00850A31"/>
    <w:rsid w:val="00853EA2"/>
    <w:rsid w:val="0085727B"/>
    <w:rsid w:val="008576CC"/>
    <w:rsid w:val="008578FD"/>
    <w:rsid w:val="00861F17"/>
    <w:rsid w:val="00864861"/>
    <w:rsid w:val="00864E54"/>
    <w:rsid w:val="008652B4"/>
    <w:rsid w:val="00871793"/>
    <w:rsid w:val="008737C7"/>
    <w:rsid w:val="00874938"/>
    <w:rsid w:val="0087760A"/>
    <w:rsid w:val="00880C04"/>
    <w:rsid w:val="0088577A"/>
    <w:rsid w:val="00885CCC"/>
    <w:rsid w:val="00887302"/>
    <w:rsid w:val="008906E1"/>
    <w:rsid w:val="0089120C"/>
    <w:rsid w:val="00891582"/>
    <w:rsid w:val="0089439B"/>
    <w:rsid w:val="008957D6"/>
    <w:rsid w:val="00895AA8"/>
    <w:rsid w:val="008963DB"/>
    <w:rsid w:val="00896428"/>
    <w:rsid w:val="00896F85"/>
    <w:rsid w:val="008A0EDD"/>
    <w:rsid w:val="008A1B14"/>
    <w:rsid w:val="008A2780"/>
    <w:rsid w:val="008A3FC8"/>
    <w:rsid w:val="008A55B4"/>
    <w:rsid w:val="008B187E"/>
    <w:rsid w:val="008B2590"/>
    <w:rsid w:val="008B33C6"/>
    <w:rsid w:val="008B648E"/>
    <w:rsid w:val="008B6C67"/>
    <w:rsid w:val="008B7DB5"/>
    <w:rsid w:val="008B7ED3"/>
    <w:rsid w:val="008C2B30"/>
    <w:rsid w:val="008C7224"/>
    <w:rsid w:val="008D015F"/>
    <w:rsid w:val="008D0B21"/>
    <w:rsid w:val="008D3F7A"/>
    <w:rsid w:val="008D44ED"/>
    <w:rsid w:val="008D47AB"/>
    <w:rsid w:val="008D4AB2"/>
    <w:rsid w:val="008D5C2F"/>
    <w:rsid w:val="008D6BC9"/>
    <w:rsid w:val="008D7109"/>
    <w:rsid w:val="008D7B5C"/>
    <w:rsid w:val="008E08E2"/>
    <w:rsid w:val="008E0E8F"/>
    <w:rsid w:val="008E3A03"/>
    <w:rsid w:val="008E4A09"/>
    <w:rsid w:val="008E4F7E"/>
    <w:rsid w:val="008E67FB"/>
    <w:rsid w:val="008E6B70"/>
    <w:rsid w:val="008E751B"/>
    <w:rsid w:val="008F1FB1"/>
    <w:rsid w:val="008F31C8"/>
    <w:rsid w:val="008F3B06"/>
    <w:rsid w:val="008F4B47"/>
    <w:rsid w:val="008F6378"/>
    <w:rsid w:val="008F7E1C"/>
    <w:rsid w:val="009007DD"/>
    <w:rsid w:val="00900E0E"/>
    <w:rsid w:val="00901B24"/>
    <w:rsid w:val="009035DD"/>
    <w:rsid w:val="00903800"/>
    <w:rsid w:val="009042B8"/>
    <w:rsid w:val="00904D0C"/>
    <w:rsid w:val="00913F54"/>
    <w:rsid w:val="0092042A"/>
    <w:rsid w:val="0092092A"/>
    <w:rsid w:val="009218F0"/>
    <w:rsid w:val="009223ED"/>
    <w:rsid w:val="00927044"/>
    <w:rsid w:val="00927714"/>
    <w:rsid w:val="00930949"/>
    <w:rsid w:val="00932B4E"/>
    <w:rsid w:val="0093556E"/>
    <w:rsid w:val="00936EF6"/>
    <w:rsid w:val="00936F5B"/>
    <w:rsid w:val="00937B55"/>
    <w:rsid w:val="00940A01"/>
    <w:rsid w:val="00942297"/>
    <w:rsid w:val="00945958"/>
    <w:rsid w:val="00953EA8"/>
    <w:rsid w:val="009547F6"/>
    <w:rsid w:val="00955C0B"/>
    <w:rsid w:val="00956BCD"/>
    <w:rsid w:val="00957B09"/>
    <w:rsid w:val="00961EB7"/>
    <w:rsid w:val="00961EF2"/>
    <w:rsid w:val="0096327A"/>
    <w:rsid w:val="00964379"/>
    <w:rsid w:val="009646B3"/>
    <w:rsid w:val="009660EC"/>
    <w:rsid w:val="00966BBC"/>
    <w:rsid w:val="00966C45"/>
    <w:rsid w:val="00967350"/>
    <w:rsid w:val="0097166D"/>
    <w:rsid w:val="00972410"/>
    <w:rsid w:val="00972DB8"/>
    <w:rsid w:val="009737EE"/>
    <w:rsid w:val="00973C2F"/>
    <w:rsid w:val="009741F5"/>
    <w:rsid w:val="0097551A"/>
    <w:rsid w:val="00976834"/>
    <w:rsid w:val="009800FF"/>
    <w:rsid w:val="00983754"/>
    <w:rsid w:val="0098675E"/>
    <w:rsid w:val="00987FB2"/>
    <w:rsid w:val="009901F0"/>
    <w:rsid w:val="00994AFF"/>
    <w:rsid w:val="00994FB7"/>
    <w:rsid w:val="00995ACE"/>
    <w:rsid w:val="00995E57"/>
    <w:rsid w:val="00996315"/>
    <w:rsid w:val="009971DE"/>
    <w:rsid w:val="0099778B"/>
    <w:rsid w:val="009A0214"/>
    <w:rsid w:val="009A0723"/>
    <w:rsid w:val="009A110A"/>
    <w:rsid w:val="009A20D3"/>
    <w:rsid w:val="009A2676"/>
    <w:rsid w:val="009A2DFD"/>
    <w:rsid w:val="009A3B46"/>
    <w:rsid w:val="009B226C"/>
    <w:rsid w:val="009B272B"/>
    <w:rsid w:val="009B4408"/>
    <w:rsid w:val="009B629C"/>
    <w:rsid w:val="009B65B6"/>
    <w:rsid w:val="009B6BCB"/>
    <w:rsid w:val="009C1CFB"/>
    <w:rsid w:val="009C5C15"/>
    <w:rsid w:val="009C6CD9"/>
    <w:rsid w:val="009D1FFC"/>
    <w:rsid w:val="009D3340"/>
    <w:rsid w:val="009D334C"/>
    <w:rsid w:val="009D4FC6"/>
    <w:rsid w:val="009D7247"/>
    <w:rsid w:val="009E3D1B"/>
    <w:rsid w:val="009E4581"/>
    <w:rsid w:val="009E5056"/>
    <w:rsid w:val="009F0711"/>
    <w:rsid w:val="009F171B"/>
    <w:rsid w:val="009F2319"/>
    <w:rsid w:val="009F2905"/>
    <w:rsid w:val="009F3700"/>
    <w:rsid w:val="009F3B94"/>
    <w:rsid w:val="009F3FB0"/>
    <w:rsid w:val="009F4B3C"/>
    <w:rsid w:val="009F6EAA"/>
    <w:rsid w:val="00A011CB"/>
    <w:rsid w:val="00A03527"/>
    <w:rsid w:val="00A03DC5"/>
    <w:rsid w:val="00A0431C"/>
    <w:rsid w:val="00A051E4"/>
    <w:rsid w:val="00A1008B"/>
    <w:rsid w:val="00A1094E"/>
    <w:rsid w:val="00A10F28"/>
    <w:rsid w:val="00A15600"/>
    <w:rsid w:val="00A171B2"/>
    <w:rsid w:val="00A17896"/>
    <w:rsid w:val="00A200DF"/>
    <w:rsid w:val="00A20A85"/>
    <w:rsid w:val="00A20E9D"/>
    <w:rsid w:val="00A20EEB"/>
    <w:rsid w:val="00A21CC7"/>
    <w:rsid w:val="00A2317C"/>
    <w:rsid w:val="00A256F2"/>
    <w:rsid w:val="00A25F3C"/>
    <w:rsid w:val="00A261A8"/>
    <w:rsid w:val="00A26D3D"/>
    <w:rsid w:val="00A27119"/>
    <w:rsid w:val="00A273E3"/>
    <w:rsid w:val="00A34321"/>
    <w:rsid w:val="00A34A50"/>
    <w:rsid w:val="00A35E22"/>
    <w:rsid w:val="00A36AD4"/>
    <w:rsid w:val="00A3773F"/>
    <w:rsid w:val="00A403AA"/>
    <w:rsid w:val="00A407B0"/>
    <w:rsid w:val="00A41498"/>
    <w:rsid w:val="00A423B5"/>
    <w:rsid w:val="00A42603"/>
    <w:rsid w:val="00A4419A"/>
    <w:rsid w:val="00A53042"/>
    <w:rsid w:val="00A53873"/>
    <w:rsid w:val="00A53CD7"/>
    <w:rsid w:val="00A55473"/>
    <w:rsid w:val="00A55AF5"/>
    <w:rsid w:val="00A561FF"/>
    <w:rsid w:val="00A56CC1"/>
    <w:rsid w:val="00A60901"/>
    <w:rsid w:val="00A61F43"/>
    <w:rsid w:val="00A62619"/>
    <w:rsid w:val="00A64012"/>
    <w:rsid w:val="00A65673"/>
    <w:rsid w:val="00A67555"/>
    <w:rsid w:val="00A675D9"/>
    <w:rsid w:val="00A7080F"/>
    <w:rsid w:val="00A711CC"/>
    <w:rsid w:val="00A71EAF"/>
    <w:rsid w:val="00A720D2"/>
    <w:rsid w:val="00A7267A"/>
    <w:rsid w:val="00A7567A"/>
    <w:rsid w:val="00A762EB"/>
    <w:rsid w:val="00A77650"/>
    <w:rsid w:val="00A77B9B"/>
    <w:rsid w:val="00A81942"/>
    <w:rsid w:val="00A82E70"/>
    <w:rsid w:val="00A84A62"/>
    <w:rsid w:val="00A85EDE"/>
    <w:rsid w:val="00A8770D"/>
    <w:rsid w:val="00A90013"/>
    <w:rsid w:val="00A94E8F"/>
    <w:rsid w:val="00A94F85"/>
    <w:rsid w:val="00A95A1B"/>
    <w:rsid w:val="00A96872"/>
    <w:rsid w:val="00A96FF1"/>
    <w:rsid w:val="00A971C4"/>
    <w:rsid w:val="00A97736"/>
    <w:rsid w:val="00AA2459"/>
    <w:rsid w:val="00AA26AA"/>
    <w:rsid w:val="00AA30E8"/>
    <w:rsid w:val="00AA727C"/>
    <w:rsid w:val="00AA7E28"/>
    <w:rsid w:val="00AB1189"/>
    <w:rsid w:val="00AB1901"/>
    <w:rsid w:val="00AB754D"/>
    <w:rsid w:val="00AC1684"/>
    <w:rsid w:val="00AC1993"/>
    <w:rsid w:val="00AC3B35"/>
    <w:rsid w:val="00AC5290"/>
    <w:rsid w:val="00AC59E3"/>
    <w:rsid w:val="00AC5C32"/>
    <w:rsid w:val="00AC5D93"/>
    <w:rsid w:val="00AC6D79"/>
    <w:rsid w:val="00AC7B14"/>
    <w:rsid w:val="00AC7E20"/>
    <w:rsid w:val="00AD09AD"/>
    <w:rsid w:val="00AD0AB1"/>
    <w:rsid w:val="00AD12B7"/>
    <w:rsid w:val="00AD2CB9"/>
    <w:rsid w:val="00AE00A3"/>
    <w:rsid w:val="00AE0B4E"/>
    <w:rsid w:val="00AE4F5F"/>
    <w:rsid w:val="00AF0B23"/>
    <w:rsid w:val="00AF2AC6"/>
    <w:rsid w:val="00AF3275"/>
    <w:rsid w:val="00AF39B0"/>
    <w:rsid w:val="00AF3A7F"/>
    <w:rsid w:val="00AF4099"/>
    <w:rsid w:val="00AF57D4"/>
    <w:rsid w:val="00AF5897"/>
    <w:rsid w:val="00AF6C62"/>
    <w:rsid w:val="00AF79DF"/>
    <w:rsid w:val="00AF7D6D"/>
    <w:rsid w:val="00AF7F5F"/>
    <w:rsid w:val="00B0218B"/>
    <w:rsid w:val="00B0269F"/>
    <w:rsid w:val="00B02A6E"/>
    <w:rsid w:val="00B03917"/>
    <w:rsid w:val="00B0473D"/>
    <w:rsid w:val="00B04BDC"/>
    <w:rsid w:val="00B04C0D"/>
    <w:rsid w:val="00B05525"/>
    <w:rsid w:val="00B05A53"/>
    <w:rsid w:val="00B07529"/>
    <w:rsid w:val="00B07F82"/>
    <w:rsid w:val="00B10227"/>
    <w:rsid w:val="00B114AC"/>
    <w:rsid w:val="00B14C12"/>
    <w:rsid w:val="00B15FB2"/>
    <w:rsid w:val="00B1662E"/>
    <w:rsid w:val="00B166E7"/>
    <w:rsid w:val="00B16998"/>
    <w:rsid w:val="00B20F9B"/>
    <w:rsid w:val="00B21968"/>
    <w:rsid w:val="00B21EB0"/>
    <w:rsid w:val="00B24270"/>
    <w:rsid w:val="00B25DB3"/>
    <w:rsid w:val="00B27ED4"/>
    <w:rsid w:val="00B31D49"/>
    <w:rsid w:val="00B32240"/>
    <w:rsid w:val="00B336A5"/>
    <w:rsid w:val="00B34BFC"/>
    <w:rsid w:val="00B36D3A"/>
    <w:rsid w:val="00B37125"/>
    <w:rsid w:val="00B41C8C"/>
    <w:rsid w:val="00B42654"/>
    <w:rsid w:val="00B427AC"/>
    <w:rsid w:val="00B46A90"/>
    <w:rsid w:val="00B476C4"/>
    <w:rsid w:val="00B5209F"/>
    <w:rsid w:val="00B53701"/>
    <w:rsid w:val="00B56C6D"/>
    <w:rsid w:val="00B6679D"/>
    <w:rsid w:val="00B670EC"/>
    <w:rsid w:val="00B678C7"/>
    <w:rsid w:val="00B702F4"/>
    <w:rsid w:val="00B71476"/>
    <w:rsid w:val="00B71DBD"/>
    <w:rsid w:val="00B720BB"/>
    <w:rsid w:val="00B7484C"/>
    <w:rsid w:val="00B7522C"/>
    <w:rsid w:val="00B755CF"/>
    <w:rsid w:val="00B773D7"/>
    <w:rsid w:val="00B7780D"/>
    <w:rsid w:val="00B81C4E"/>
    <w:rsid w:val="00B82A55"/>
    <w:rsid w:val="00B82F5A"/>
    <w:rsid w:val="00B85AE2"/>
    <w:rsid w:val="00B86896"/>
    <w:rsid w:val="00B90617"/>
    <w:rsid w:val="00B90AEE"/>
    <w:rsid w:val="00B910BA"/>
    <w:rsid w:val="00B918BB"/>
    <w:rsid w:val="00B9320D"/>
    <w:rsid w:val="00B93917"/>
    <w:rsid w:val="00B97408"/>
    <w:rsid w:val="00B97F36"/>
    <w:rsid w:val="00BA0E90"/>
    <w:rsid w:val="00BA1532"/>
    <w:rsid w:val="00BA156B"/>
    <w:rsid w:val="00BA24E5"/>
    <w:rsid w:val="00BA2C54"/>
    <w:rsid w:val="00BA2DC3"/>
    <w:rsid w:val="00BA2DC8"/>
    <w:rsid w:val="00BA2F99"/>
    <w:rsid w:val="00BA461C"/>
    <w:rsid w:val="00BA5329"/>
    <w:rsid w:val="00BA7F16"/>
    <w:rsid w:val="00BB1B73"/>
    <w:rsid w:val="00BB2135"/>
    <w:rsid w:val="00BB2C98"/>
    <w:rsid w:val="00BB4E44"/>
    <w:rsid w:val="00BB5606"/>
    <w:rsid w:val="00BC08FC"/>
    <w:rsid w:val="00BC0D9D"/>
    <w:rsid w:val="00BC2201"/>
    <w:rsid w:val="00BC4961"/>
    <w:rsid w:val="00BC58A3"/>
    <w:rsid w:val="00BC5FC8"/>
    <w:rsid w:val="00BC6FFC"/>
    <w:rsid w:val="00BC7223"/>
    <w:rsid w:val="00BD26E9"/>
    <w:rsid w:val="00BD5FBF"/>
    <w:rsid w:val="00BD687C"/>
    <w:rsid w:val="00BD6E86"/>
    <w:rsid w:val="00BD7201"/>
    <w:rsid w:val="00BE1673"/>
    <w:rsid w:val="00BE5276"/>
    <w:rsid w:val="00BE7BDA"/>
    <w:rsid w:val="00BF03F0"/>
    <w:rsid w:val="00BF39A5"/>
    <w:rsid w:val="00BF3BC1"/>
    <w:rsid w:val="00BF48AB"/>
    <w:rsid w:val="00BF4914"/>
    <w:rsid w:val="00BF51A1"/>
    <w:rsid w:val="00BF5E9C"/>
    <w:rsid w:val="00C015A7"/>
    <w:rsid w:val="00C01BF4"/>
    <w:rsid w:val="00C01D1D"/>
    <w:rsid w:val="00C0258F"/>
    <w:rsid w:val="00C040EB"/>
    <w:rsid w:val="00C04327"/>
    <w:rsid w:val="00C0549D"/>
    <w:rsid w:val="00C056AE"/>
    <w:rsid w:val="00C06858"/>
    <w:rsid w:val="00C06E07"/>
    <w:rsid w:val="00C11102"/>
    <w:rsid w:val="00C11868"/>
    <w:rsid w:val="00C1646A"/>
    <w:rsid w:val="00C17330"/>
    <w:rsid w:val="00C17D08"/>
    <w:rsid w:val="00C17E73"/>
    <w:rsid w:val="00C20C69"/>
    <w:rsid w:val="00C241B6"/>
    <w:rsid w:val="00C24938"/>
    <w:rsid w:val="00C24EF3"/>
    <w:rsid w:val="00C24F29"/>
    <w:rsid w:val="00C27A81"/>
    <w:rsid w:val="00C27C37"/>
    <w:rsid w:val="00C31EFA"/>
    <w:rsid w:val="00C3478C"/>
    <w:rsid w:val="00C379FC"/>
    <w:rsid w:val="00C4272D"/>
    <w:rsid w:val="00C42C4F"/>
    <w:rsid w:val="00C42F15"/>
    <w:rsid w:val="00C456B6"/>
    <w:rsid w:val="00C45E3A"/>
    <w:rsid w:val="00C47475"/>
    <w:rsid w:val="00C50458"/>
    <w:rsid w:val="00C50655"/>
    <w:rsid w:val="00C5125F"/>
    <w:rsid w:val="00C5151A"/>
    <w:rsid w:val="00C52ED0"/>
    <w:rsid w:val="00C5425C"/>
    <w:rsid w:val="00C56110"/>
    <w:rsid w:val="00C561DD"/>
    <w:rsid w:val="00C56E7A"/>
    <w:rsid w:val="00C57867"/>
    <w:rsid w:val="00C6098A"/>
    <w:rsid w:val="00C62270"/>
    <w:rsid w:val="00C62CAD"/>
    <w:rsid w:val="00C6304C"/>
    <w:rsid w:val="00C63369"/>
    <w:rsid w:val="00C6427E"/>
    <w:rsid w:val="00C664F6"/>
    <w:rsid w:val="00C72911"/>
    <w:rsid w:val="00C72AC4"/>
    <w:rsid w:val="00C73218"/>
    <w:rsid w:val="00C73FA7"/>
    <w:rsid w:val="00C75A60"/>
    <w:rsid w:val="00C772B7"/>
    <w:rsid w:val="00C77C32"/>
    <w:rsid w:val="00C8189F"/>
    <w:rsid w:val="00C81E37"/>
    <w:rsid w:val="00C82554"/>
    <w:rsid w:val="00C845A2"/>
    <w:rsid w:val="00C85401"/>
    <w:rsid w:val="00C857A7"/>
    <w:rsid w:val="00C85F86"/>
    <w:rsid w:val="00C87C9B"/>
    <w:rsid w:val="00C90358"/>
    <w:rsid w:val="00C90D5E"/>
    <w:rsid w:val="00C9153D"/>
    <w:rsid w:val="00C94885"/>
    <w:rsid w:val="00C94C39"/>
    <w:rsid w:val="00C94D40"/>
    <w:rsid w:val="00C94E42"/>
    <w:rsid w:val="00C95C93"/>
    <w:rsid w:val="00CA0512"/>
    <w:rsid w:val="00CA2AB7"/>
    <w:rsid w:val="00CA2B68"/>
    <w:rsid w:val="00CA3EBB"/>
    <w:rsid w:val="00CA566B"/>
    <w:rsid w:val="00CB224F"/>
    <w:rsid w:val="00CB3AA2"/>
    <w:rsid w:val="00CB3B6E"/>
    <w:rsid w:val="00CB56EC"/>
    <w:rsid w:val="00CB6415"/>
    <w:rsid w:val="00CB79CF"/>
    <w:rsid w:val="00CC09E8"/>
    <w:rsid w:val="00CC24DC"/>
    <w:rsid w:val="00CC254E"/>
    <w:rsid w:val="00CC2925"/>
    <w:rsid w:val="00CC4FBD"/>
    <w:rsid w:val="00CC6A87"/>
    <w:rsid w:val="00CC7527"/>
    <w:rsid w:val="00CC7780"/>
    <w:rsid w:val="00CD30E2"/>
    <w:rsid w:val="00CD53A4"/>
    <w:rsid w:val="00CD5445"/>
    <w:rsid w:val="00CE02F8"/>
    <w:rsid w:val="00CE0943"/>
    <w:rsid w:val="00CE15C9"/>
    <w:rsid w:val="00CE296D"/>
    <w:rsid w:val="00CE29B5"/>
    <w:rsid w:val="00CE3DD9"/>
    <w:rsid w:val="00CE6764"/>
    <w:rsid w:val="00CE7377"/>
    <w:rsid w:val="00CF0830"/>
    <w:rsid w:val="00CF0B9D"/>
    <w:rsid w:val="00CF2E63"/>
    <w:rsid w:val="00CF3FA6"/>
    <w:rsid w:val="00CF6657"/>
    <w:rsid w:val="00CF6918"/>
    <w:rsid w:val="00D00196"/>
    <w:rsid w:val="00D0320D"/>
    <w:rsid w:val="00D03CBF"/>
    <w:rsid w:val="00D03ED3"/>
    <w:rsid w:val="00D0436A"/>
    <w:rsid w:val="00D0698A"/>
    <w:rsid w:val="00D07954"/>
    <w:rsid w:val="00D07AFD"/>
    <w:rsid w:val="00D10FC1"/>
    <w:rsid w:val="00D11825"/>
    <w:rsid w:val="00D202CC"/>
    <w:rsid w:val="00D20A66"/>
    <w:rsid w:val="00D22F82"/>
    <w:rsid w:val="00D23AD2"/>
    <w:rsid w:val="00D257A7"/>
    <w:rsid w:val="00D25948"/>
    <w:rsid w:val="00D268DD"/>
    <w:rsid w:val="00D300E4"/>
    <w:rsid w:val="00D303B1"/>
    <w:rsid w:val="00D311CD"/>
    <w:rsid w:val="00D316C1"/>
    <w:rsid w:val="00D32552"/>
    <w:rsid w:val="00D348EA"/>
    <w:rsid w:val="00D34C8C"/>
    <w:rsid w:val="00D34F1B"/>
    <w:rsid w:val="00D3530D"/>
    <w:rsid w:val="00D35821"/>
    <w:rsid w:val="00D36B51"/>
    <w:rsid w:val="00D36C51"/>
    <w:rsid w:val="00D36DB6"/>
    <w:rsid w:val="00D37539"/>
    <w:rsid w:val="00D4254C"/>
    <w:rsid w:val="00D42802"/>
    <w:rsid w:val="00D4444A"/>
    <w:rsid w:val="00D44543"/>
    <w:rsid w:val="00D44A73"/>
    <w:rsid w:val="00D44D53"/>
    <w:rsid w:val="00D45C19"/>
    <w:rsid w:val="00D4648E"/>
    <w:rsid w:val="00D46A5F"/>
    <w:rsid w:val="00D470E4"/>
    <w:rsid w:val="00D479D7"/>
    <w:rsid w:val="00D53AFC"/>
    <w:rsid w:val="00D54A0D"/>
    <w:rsid w:val="00D55C7C"/>
    <w:rsid w:val="00D56B07"/>
    <w:rsid w:val="00D56C20"/>
    <w:rsid w:val="00D5775A"/>
    <w:rsid w:val="00D57B83"/>
    <w:rsid w:val="00D60F52"/>
    <w:rsid w:val="00D6341D"/>
    <w:rsid w:val="00D65F47"/>
    <w:rsid w:val="00D66453"/>
    <w:rsid w:val="00D70FEB"/>
    <w:rsid w:val="00D71527"/>
    <w:rsid w:val="00D715D3"/>
    <w:rsid w:val="00D7375A"/>
    <w:rsid w:val="00D73A2F"/>
    <w:rsid w:val="00D77651"/>
    <w:rsid w:val="00D82008"/>
    <w:rsid w:val="00D84019"/>
    <w:rsid w:val="00D8589B"/>
    <w:rsid w:val="00D85EEC"/>
    <w:rsid w:val="00D91888"/>
    <w:rsid w:val="00D93CCA"/>
    <w:rsid w:val="00D946DD"/>
    <w:rsid w:val="00D94D8C"/>
    <w:rsid w:val="00D96226"/>
    <w:rsid w:val="00D969ED"/>
    <w:rsid w:val="00DA274D"/>
    <w:rsid w:val="00DA2D54"/>
    <w:rsid w:val="00DA3B61"/>
    <w:rsid w:val="00DA525A"/>
    <w:rsid w:val="00DA6C8A"/>
    <w:rsid w:val="00DA778E"/>
    <w:rsid w:val="00DB059E"/>
    <w:rsid w:val="00DB1863"/>
    <w:rsid w:val="00DB2293"/>
    <w:rsid w:val="00DB26DB"/>
    <w:rsid w:val="00DB2EDD"/>
    <w:rsid w:val="00DB37E3"/>
    <w:rsid w:val="00DB4ABA"/>
    <w:rsid w:val="00DB5539"/>
    <w:rsid w:val="00DB560A"/>
    <w:rsid w:val="00DB775C"/>
    <w:rsid w:val="00DB78E1"/>
    <w:rsid w:val="00DB7BCB"/>
    <w:rsid w:val="00DC0ABC"/>
    <w:rsid w:val="00DC11DF"/>
    <w:rsid w:val="00DC1C80"/>
    <w:rsid w:val="00DC3D5B"/>
    <w:rsid w:val="00DC6D46"/>
    <w:rsid w:val="00DC7CCD"/>
    <w:rsid w:val="00DC7FCD"/>
    <w:rsid w:val="00DD012B"/>
    <w:rsid w:val="00DD132B"/>
    <w:rsid w:val="00DD289C"/>
    <w:rsid w:val="00DD29CA"/>
    <w:rsid w:val="00DD3D87"/>
    <w:rsid w:val="00DD41F6"/>
    <w:rsid w:val="00DD498B"/>
    <w:rsid w:val="00DD5B11"/>
    <w:rsid w:val="00DD5EBB"/>
    <w:rsid w:val="00DD6F9B"/>
    <w:rsid w:val="00DE161F"/>
    <w:rsid w:val="00DE1D2B"/>
    <w:rsid w:val="00DE2A51"/>
    <w:rsid w:val="00DE3392"/>
    <w:rsid w:val="00DE377D"/>
    <w:rsid w:val="00DE7446"/>
    <w:rsid w:val="00DF021C"/>
    <w:rsid w:val="00DF027F"/>
    <w:rsid w:val="00DF18D3"/>
    <w:rsid w:val="00DF2A2B"/>
    <w:rsid w:val="00DF38E3"/>
    <w:rsid w:val="00DF6ED5"/>
    <w:rsid w:val="00E0092C"/>
    <w:rsid w:val="00E00FB4"/>
    <w:rsid w:val="00E022A6"/>
    <w:rsid w:val="00E04AAE"/>
    <w:rsid w:val="00E04B75"/>
    <w:rsid w:val="00E0652E"/>
    <w:rsid w:val="00E12307"/>
    <w:rsid w:val="00E14050"/>
    <w:rsid w:val="00E14282"/>
    <w:rsid w:val="00E14590"/>
    <w:rsid w:val="00E147F5"/>
    <w:rsid w:val="00E14CC6"/>
    <w:rsid w:val="00E14D53"/>
    <w:rsid w:val="00E1575E"/>
    <w:rsid w:val="00E17409"/>
    <w:rsid w:val="00E17614"/>
    <w:rsid w:val="00E20ED9"/>
    <w:rsid w:val="00E2159E"/>
    <w:rsid w:val="00E216BC"/>
    <w:rsid w:val="00E25C47"/>
    <w:rsid w:val="00E2723B"/>
    <w:rsid w:val="00E27EA0"/>
    <w:rsid w:val="00E31FBE"/>
    <w:rsid w:val="00E349BD"/>
    <w:rsid w:val="00E35036"/>
    <w:rsid w:val="00E373F5"/>
    <w:rsid w:val="00E406BF"/>
    <w:rsid w:val="00E43A74"/>
    <w:rsid w:val="00E43EB7"/>
    <w:rsid w:val="00E456C0"/>
    <w:rsid w:val="00E46571"/>
    <w:rsid w:val="00E46DEC"/>
    <w:rsid w:val="00E479A0"/>
    <w:rsid w:val="00E511BD"/>
    <w:rsid w:val="00E52EB5"/>
    <w:rsid w:val="00E53DA0"/>
    <w:rsid w:val="00E542F4"/>
    <w:rsid w:val="00E5456A"/>
    <w:rsid w:val="00E54FEA"/>
    <w:rsid w:val="00E55E1E"/>
    <w:rsid w:val="00E5685F"/>
    <w:rsid w:val="00E57119"/>
    <w:rsid w:val="00E57C0C"/>
    <w:rsid w:val="00E61631"/>
    <w:rsid w:val="00E6204A"/>
    <w:rsid w:val="00E621F5"/>
    <w:rsid w:val="00E6360E"/>
    <w:rsid w:val="00E64135"/>
    <w:rsid w:val="00E653E8"/>
    <w:rsid w:val="00E6682F"/>
    <w:rsid w:val="00E6783B"/>
    <w:rsid w:val="00E7236B"/>
    <w:rsid w:val="00E73AD5"/>
    <w:rsid w:val="00E7640B"/>
    <w:rsid w:val="00E77884"/>
    <w:rsid w:val="00E77BEC"/>
    <w:rsid w:val="00E804E6"/>
    <w:rsid w:val="00E8092A"/>
    <w:rsid w:val="00E82DAF"/>
    <w:rsid w:val="00E841D7"/>
    <w:rsid w:val="00E845BA"/>
    <w:rsid w:val="00E864DF"/>
    <w:rsid w:val="00E86B73"/>
    <w:rsid w:val="00E90F71"/>
    <w:rsid w:val="00E91543"/>
    <w:rsid w:val="00E93C45"/>
    <w:rsid w:val="00E941E5"/>
    <w:rsid w:val="00E94E33"/>
    <w:rsid w:val="00EA0107"/>
    <w:rsid w:val="00EA0E66"/>
    <w:rsid w:val="00EA1B51"/>
    <w:rsid w:val="00EA22CA"/>
    <w:rsid w:val="00EA2F77"/>
    <w:rsid w:val="00EA565D"/>
    <w:rsid w:val="00EA63FD"/>
    <w:rsid w:val="00EA7E5F"/>
    <w:rsid w:val="00EB01D4"/>
    <w:rsid w:val="00EB23B6"/>
    <w:rsid w:val="00EB315C"/>
    <w:rsid w:val="00EB48F0"/>
    <w:rsid w:val="00EB4E94"/>
    <w:rsid w:val="00EB63F6"/>
    <w:rsid w:val="00EB701E"/>
    <w:rsid w:val="00EC0923"/>
    <w:rsid w:val="00EC0B16"/>
    <w:rsid w:val="00EC130C"/>
    <w:rsid w:val="00EC2A09"/>
    <w:rsid w:val="00EC3AB4"/>
    <w:rsid w:val="00EC4BE2"/>
    <w:rsid w:val="00ED0503"/>
    <w:rsid w:val="00ED1665"/>
    <w:rsid w:val="00ED230A"/>
    <w:rsid w:val="00ED3364"/>
    <w:rsid w:val="00ED450D"/>
    <w:rsid w:val="00ED6C27"/>
    <w:rsid w:val="00EE09A5"/>
    <w:rsid w:val="00EE2166"/>
    <w:rsid w:val="00EE29EF"/>
    <w:rsid w:val="00EE354C"/>
    <w:rsid w:val="00EE3DCB"/>
    <w:rsid w:val="00EE5CF8"/>
    <w:rsid w:val="00EF3024"/>
    <w:rsid w:val="00EF319A"/>
    <w:rsid w:val="00EF45DE"/>
    <w:rsid w:val="00EF4E52"/>
    <w:rsid w:val="00EF512C"/>
    <w:rsid w:val="00EF5256"/>
    <w:rsid w:val="00EF5AEF"/>
    <w:rsid w:val="00F0198C"/>
    <w:rsid w:val="00F02B40"/>
    <w:rsid w:val="00F03910"/>
    <w:rsid w:val="00F0712C"/>
    <w:rsid w:val="00F10A75"/>
    <w:rsid w:val="00F1384C"/>
    <w:rsid w:val="00F1413B"/>
    <w:rsid w:val="00F145F0"/>
    <w:rsid w:val="00F155B0"/>
    <w:rsid w:val="00F172B6"/>
    <w:rsid w:val="00F17479"/>
    <w:rsid w:val="00F20981"/>
    <w:rsid w:val="00F20C2F"/>
    <w:rsid w:val="00F21C62"/>
    <w:rsid w:val="00F22559"/>
    <w:rsid w:val="00F25907"/>
    <w:rsid w:val="00F2592A"/>
    <w:rsid w:val="00F30B85"/>
    <w:rsid w:val="00F31437"/>
    <w:rsid w:val="00F319FE"/>
    <w:rsid w:val="00F32D74"/>
    <w:rsid w:val="00F33D5D"/>
    <w:rsid w:val="00F34A46"/>
    <w:rsid w:val="00F356FF"/>
    <w:rsid w:val="00F40735"/>
    <w:rsid w:val="00F43FCC"/>
    <w:rsid w:val="00F44965"/>
    <w:rsid w:val="00F449B3"/>
    <w:rsid w:val="00F46337"/>
    <w:rsid w:val="00F47B21"/>
    <w:rsid w:val="00F50554"/>
    <w:rsid w:val="00F51844"/>
    <w:rsid w:val="00F5263A"/>
    <w:rsid w:val="00F52794"/>
    <w:rsid w:val="00F53AA3"/>
    <w:rsid w:val="00F543C0"/>
    <w:rsid w:val="00F5507B"/>
    <w:rsid w:val="00F60E6E"/>
    <w:rsid w:val="00F616A9"/>
    <w:rsid w:val="00F61DA2"/>
    <w:rsid w:val="00F637CB"/>
    <w:rsid w:val="00F642D2"/>
    <w:rsid w:val="00F649DF"/>
    <w:rsid w:val="00F65795"/>
    <w:rsid w:val="00F71B9E"/>
    <w:rsid w:val="00F727A4"/>
    <w:rsid w:val="00F77B4A"/>
    <w:rsid w:val="00F80EA6"/>
    <w:rsid w:val="00F81B9C"/>
    <w:rsid w:val="00F826CF"/>
    <w:rsid w:val="00F85ACD"/>
    <w:rsid w:val="00F87150"/>
    <w:rsid w:val="00F874EA"/>
    <w:rsid w:val="00F87FEB"/>
    <w:rsid w:val="00F91112"/>
    <w:rsid w:val="00F917B7"/>
    <w:rsid w:val="00F92982"/>
    <w:rsid w:val="00F92F1B"/>
    <w:rsid w:val="00F96D45"/>
    <w:rsid w:val="00F97580"/>
    <w:rsid w:val="00F97E5D"/>
    <w:rsid w:val="00FA0082"/>
    <w:rsid w:val="00FA00A6"/>
    <w:rsid w:val="00FA0BF6"/>
    <w:rsid w:val="00FA2AA8"/>
    <w:rsid w:val="00FA35FA"/>
    <w:rsid w:val="00FA3E41"/>
    <w:rsid w:val="00FB06ED"/>
    <w:rsid w:val="00FB106A"/>
    <w:rsid w:val="00FB2B9F"/>
    <w:rsid w:val="00FB3138"/>
    <w:rsid w:val="00FB5272"/>
    <w:rsid w:val="00FB620B"/>
    <w:rsid w:val="00FB703A"/>
    <w:rsid w:val="00FC0DF4"/>
    <w:rsid w:val="00FC365C"/>
    <w:rsid w:val="00FC5F3B"/>
    <w:rsid w:val="00FC6BE9"/>
    <w:rsid w:val="00FC775A"/>
    <w:rsid w:val="00FC7FC8"/>
    <w:rsid w:val="00FD0A02"/>
    <w:rsid w:val="00FD1111"/>
    <w:rsid w:val="00FD159D"/>
    <w:rsid w:val="00FD2939"/>
    <w:rsid w:val="00FD2E42"/>
    <w:rsid w:val="00FD3C1D"/>
    <w:rsid w:val="00FD41C5"/>
    <w:rsid w:val="00FD4A6B"/>
    <w:rsid w:val="00FD4DD2"/>
    <w:rsid w:val="00FD60C3"/>
    <w:rsid w:val="00FD6407"/>
    <w:rsid w:val="00FE08CA"/>
    <w:rsid w:val="00FE08FD"/>
    <w:rsid w:val="00FE150A"/>
    <w:rsid w:val="00FE365F"/>
    <w:rsid w:val="00FE79D0"/>
    <w:rsid w:val="00FF2916"/>
    <w:rsid w:val="00FF3FDF"/>
    <w:rsid w:val="00FF5D66"/>
    <w:rsid w:val="00FF6DF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BDB9F6"/>
  <w14:defaultImageDpi w14:val="330"/>
  <w15:docId w15:val="{F511B906-B28B-4603-9637-E5A2F61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7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95"/>
  </w:style>
  <w:style w:type="paragraph" w:styleId="Footer">
    <w:name w:val="footer"/>
    <w:basedOn w:val="Normal"/>
    <w:link w:val="Foot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95"/>
  </w:style>
  <w:style w:type="paragraph" w:styleId="BalloonText">
    <w:name w:val="Balloon Text"/>
    <w:basedOn w:val="Normal"/>
    <w:link w:val="BalloonTextChar"/>
    <w:uiPriority w:val="99"/>
    <w:semiHidden/>
    <w:unhideWhenUsed/>
    <w:rsid w:val="0045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95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144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44906"/>
    <w:rPr>
      <w:sz w:val="20"/>
      <w:szCs w:val="20"/>
    </w:rPr>
  </w:style>
  <w:style w:type="character" w:styleId="EndnoteReference">
    <w:name w:val="endnote reference"/>
    <w:uiPriority w:val="99"/>
    <w:rsid w:val="001449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1117"/>
    <w:pPr>
      <w:ind w:left="720"/>
      <w:contextualSpacing/>
    </w:pPr>
  </w:style>
  <w:style w:type="table" w:styleId="TableGrid">
    <w:name w:val="Table Grid"/>
    <w:basedOn w:val="TableNormal"/>
    <w:uiPriority w:val="59"/>
    <w:rsid w:val="0062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0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8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8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8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78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2578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75900"/>
  </w:style>
  <w:style w:type="character" w:styleId="SubtleEmphasis">
    <w:name w:val="Subtle Emphasis"/>
    <w:basedOn w:val="DefaultParagraphFont"/>
    <w:uiPriority w:val="19"/>
    <w:qFormat/>
    <w:rsid w:val="009B65B6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C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5613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97551A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6064AE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5F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E7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28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GSO IPSA Document" ma:contentTypeID="0x010100C7BD08439FA548A39DD6F4EEA9A4DD920028A0CA45A385418C914557FFC286F13E010100A3D8CF4A2606CD40AE185922830E2FA3" ma:contentTypeVersion="16" ma:contentTypeDescription="" ma:contentTypeScope="" ma:versionID="28412f59c5e67384f3b97c26d9c50ae9">
  <xsd:schema xmlns:xsd="http://www.w3.org/2001/XMLSchema" xmlns:xs="http://www.w3.org/2001/XMLSchema" xmlns:p="http://schemas.microsoft.com/office/2006/metadata/properties" xmlns:ns2="http://schemas.microsoft.com/Sharepoint/v3" xmlns:ns3="d702e6c2-0216-4f5f-bd9e-a6ff7cce144f" targetNamespace="http://schemas.microsoft.com/office/2006/metadata/properties" ma:root="true" ma:fieldsID="8c77e9458c6f206e5635476f202660bd" ns2:_="" ns3:_="">
    <xsd:import namespace="http://schemas.microsoft.com/Sharepoint/v3"/>
    <xsd:import namespace="d702e6c2-0216-4f5f-bd9e-a6ff7cce144f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GSO_x0020_Category" minOccurs="0"/>
                <xsd:element ref="ns3:QGSO_x0020_Document_x0020_history" minOccurs="0"/>
                <xsd:element ref="ns3:Financial_x0020_Year" minOccurs="0"/>
                <xsd:element ref="ns3:QTTDocumentStatus" minOccurs="0"/>
                <xsd:element ref="ns3:Key_x0020_document" minOccurs="0"/>
                <xsd:element ref="ns3:IPSA_x0020_activity" minOccurs="0"/>
                <xsd:element ref="ns3:Source_x0020_library" minOccurs="0"/>
                <xsd:element ref="ns3:Copy_x0020_from1" minOccurs="0"/>
                <xsd:element ref="ns3:Copy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4" nillable="true" ma:displayName="Metadata summary" ma:hidden="true" ma:internalName="Nexus_MetadataSumma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6c2-0216-4f5f-bd9e-a6ff7cce144f" elementFormDefault="qualified">
    <xsd:import namespace="http://schemas.microsoft.com/office/2006/documentManagement/types"/>
    <xsd:import namespace="http://schemas.microsoft.com/office/infopath/2007/PartnerControls"/>
    <xsd:element name="Nexus_ReadOnly" ma:index="5" nillable="true" ma:displayName="Read only" ma:hidden="true" ma:internalName="Nexus_ReadOnly" ma:readOnly="false">
      <xsd:simpleType>
        <xsd:restriction base="dms:Text">
          <xsd:maxLength value="255"/>
        </xsd:restriction>
      </xsd:simpleType>
    </xsd:element>
    <xsd:element name="Nexus_Record" ma:index="6" nillable="true" ma:displayName="Record" ma:hidden="true" ma:internalName="Nexus_Record" ma:readOnly="false">
      <xsd:simpleType>
        <xsd:restriction base="dms:Text">
          <xsd:maxLength value="255"/>
        </xsd:restriction>
      </xsd:simpleType>
    </xsd:element>
    <xsd:element name="Nexus_SecurityClassification" ma:index="7" ma:displayName="Security classification" ma:default="OFFICIAL" ma:description="Assessment of the requirements for confidentiality, availability and integrity of an asset." ma:format="Dropdown" ma:internalName="Nexus_SecurityClassification">
      <xsd:simpleType>
        <xsd:union memberTypes="dms:Text">
          <xsd:simpleType>
            <xsd:restriction base="dms:Choice">
              <xsd:enumeration value="OFFICIAL"/>
              <xsd:enumeration value="SENSITIVE"/>
              <xsd:enumeration value="PROTECTED"/>
              <xsd:enumeration value="UNOFFICIAL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GSO_x0020_Category" ma:index="11" nillable="true" ma:displayName="Project Category" ma:default="_Not yet categorised" ma:format="Dropdown" ma:internalName="QGSO_x0020_Category" ma:readOnly="false">
      <xsd:simpleType>
        <xsd:union memberTypes="dms:Text">
          <xsd:simpleType>
            <xsd:restriction base="dms:Choice">
              <xsd:enumeration value="_Not yet categorised"/>
              <xsd:enumeration value="Births"/>
              <xsd:enumeration value="Building approvals"/>
              <xsd:enumeration value="CPI"/>
              <xsd:enumeration value="Criminal Courts"/>
              <xsd:enumeration value="Data visualisations - Payroll Jobs and Wages"/>
              <xsd:enumeration value="Data visualisations - Retail Trade"/>
              <xsd:enumeration value="Deaths"/>
              <xsd:enumeration value="DET profiles"/>
              <xsd:enumeration value="Dygraph visualisations - Queensland Labour Force"/>
              <xsd:enumeration value="Dygraph visualisations - Regional Labour Force"/>
              <xsd:enumeration value="Employment by industry"/>
              <xsd:enumeration value="Employment by occupation"/>
              <xsd:enumeration value="Exports"/>
              <xsd:enumeration value="Household use of IT"/>
              <xsd:enumeration value="International student statistics"/>
              <xsd:enumeration value="Labour force - Queensland"/>
              <xsd:enumeration value="Labour force - regions"/>
              <xsd:enumeration value="Labour force - small area"/>
              <xsd:enumeration value="Labour force - underemployment"/>
              <xsd:enumeration value="Labour force - youth unemployment"/>
              <xsd:enumeration value="Marriages/divorces"/>
              <xsd:enumeration value="Moreton Bay Region profile September 2015"/>
              <xsd:enumeration value="National accounts"/>
              <xsd:enumeration value="North West Queensland Regional Profile"/>
              <xsd:enumeration value="OFW 2019 report card"/>
              <xsd:enumeration value="Population by age and sex"/>
              <xsd:enumeration value="Population growth - Queensland"/>
              <xsd:enumeration value="Population growth - regional Qld"/>
              <xsd:enumeration value="Prisoners"/>
              <xsd:enumeration value="Retail trade"/>
            </xsd:restriction>
          </xsd:simpleType>
        </xsd:union>
      </xsd:simpleType>
    </xsd:element>
    <xsd:element name="QGSO_x0020_Document_x0020_history" ma:index="12" nillable="true" ma:displayName="QGSO Document history" ma:internalName="QGSO_x0020_Document_x0020_history" ma:readOnly="false">
      <xsd:simpleType>
        <xsd:restriction base="dms:Note"/>
      </xsd:simpleType>
    </xsd:element>
    <xsd:element name="Financial_x0020_Year" ma:index="13" nillable="true" ma:displayName="F/Y" ma:default="2020-21" ma:format="Dropdown" ma:indexed="true" ma:internalName="Financial_x0020_Year0" ma:readOnly="false">
      <xsd:simpleType>
        <xsd:restriction base="dms:Choice"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</xsd:restriction>
      </xsd:simpleType>
    </xsd:element>
    <xsd:element name="QTTDocumentStatus" ma:index="14" nillable="true" ma:displayName="Document status" ma:default="Draft" ma:format="RadioButtons" ma:internalName="QTTDocumentStatus" ma:readOnly="false">
      <xsd:simpleType>
        <xsd:restriction base="dms:Choice">
          <xsd:enumeration value="Draft"/>
          <xsd:enumeration value="Final"/>
          <xsd:enumeration value="Signed"/>
        </xsd:restriction>
      </xsd:simpleType>
    </xsd:element>
    <xsd:element name="Key_x0020_document" ma:index="15" nillable="true" ma:displayName="Key document?" ma:default="0" ma:internalName="Key_x0020_document" ma:readOnly="false">
      <xsd:simpleType>
        <xsd:restriction base="dms:Boolean"/>
      </xsd:simpleType>
    </xsd:element>
    <xsd:element name="IPSA_x0020_activity" ma:index="16" nillable="true" ma:displayName="IPSA activity" ma:list="{02c91ec8-babe-4f70-9843-b843fa48b72c}" ma:internalName="IPSA_x0020_activity" ma:readOnly="false" ma:showField="Title" ma:web="d702e6c2-0216-4f5f-bd9e-a6ff7cce144f">
      <xsd:simpleType>
        <xsd:restriction base="dms:Lookup"/>
      </xsd:simpleType>
    </xsd:element>
    <xsd:element name="Source_x0020_library" ma:index="17" nillable="true" ma:displayName="Source library" ma:hidden="true" ma:internalName="Source_x0020_library" ma:readOnly="false">
      <xsd:simpleType>
        <xsd:restriction base="dms:Text">
          <xsd:maxLength value="255"/>
        </xsd:restriction>
      </xsd:simpleType>
    </xsd:element>
    <xsd:element name="Copy_x0020_from1" ma:index="18" nillable="true" ma:displayName="Copied from" ma:format="Hyperlink" ma:hidden="true" ma:internalName="Copy_x0020_from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_x0020_to" ma:index="19" nillable="true" ma:displayName="Copied to" ma:format="Hyperlink" ma:hidden="true" ma:internalName="Copy_x0020_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d702e6c2-0216-4f5f-bd9e-a6ff7cce144f" xsi:nil="true"/>
    <QGSO_x0020_Category xmlns="d702e6c2-0216-4f5f-bd9e-a6ff7cce144f">OFW 2020 report card</QGSO_x0020_Category>
    <QGSO_x0020_Document_x0020_history xmlns="d702e6c2-0216-4f5f-bd9e-a6ff7cce144f" xsi:nil="true"/>
    <IPSA_x0020_activity xmlns="d702e6c2-0216-4f5f-bd9e-a6ff7cce144f">25</IPSA_x0020_activity>
    <Copy_x0020_from1 xmlns="d702e6c2-0216-4f5f-bd9e-a6ff7cce144f">
      <Url xsi:nil="true"/>
      <Description xsi:nil="true"/>
    </Copy_x0020_from1>
    <QTTDocumentStatus xmlns="d702e6c2-0216-4f5f-bd9e-a6ff7cce144f">Draft</QTTDocumentStatus>
    <Financial_x0020_Year xmlns="d702e6c2-0216-4f5f-bd9e-a6ff7cce144f">2020-21</Financial_x0020_Year>
    <Nexus_SecurityClassification xmlns="d702e6c2-0216-4f5f-bd9e-a6ff7cce144f">UNCLASSIFIED</Nexus_SecurityClassification>
    <Key_x0020_document xmlns="d702e6c2-0216-4f5f-bd9e-a6ff7cce144f">false</Key_x0020_document>
    <Copy_x0020_to xmlns="d702e6c2-0216-4f5f-bd9e-a6ff7cce144f">
      <Url xsi:nil="true"/>
      <Description xsi:nil="true"/>
    </Copy_x0020_to>
    <Nexus_ReadOnly xmlns="d702e6c2-0216-4f5f-bd9e-a6ff7cce144f" xsi:nil="true"/>
    <Source_x0020_library xmlns="d702e6c2-0216-4f5f-bd9e-a6ff7cce144f" xsi:nil="true"/>
    <Nexus_MetadataSummary xmlns="http://schemas.microsoft.com/Sharepoint/v3" xsi:nil="true"/>
    <_dlc_DocId xmlns="d702e6c2-0216-4f5f-bd9e-a6ff7cce144f">PROJQGSR-8-1337</_dlc_DocId>
    <_dlc_DocIdUrl xmlns="d702e6c2-0216-4f5f-bd9e-a6ff7cce144f">
      <Url>https://nexus.treasury.qld.gov.au/project/qgso-statistical-reports/_layouts/15/DocIdRedir.aspx?ID=PROJQGSR-8-1337</Url>
      <Description>PROJQGSR-8-1337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4320-2B2D-4FDC-BC61-CA9DC3D6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2e6c2-0216-4f5f-bd9e-a6ff7cce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59B3A-64F1-4C21-93BD-A7531BD16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8B0E5-3467-4A7C-93A6-AEB510FACA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439036-AF81-46BB-80EF-63298C1FFDC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02e6c2-0216-4f5f-bd9e-a6ff7cce14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7E14D3-E12B-4A88-998B-6D6CBD83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Strategy: 2021 report cards</vt:lpstr>
    </vt:vector>
  </TitlesOfParts>
  <Company>Qld Government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Strategy: 2021 report cards</dc:title>
  <dc:subject>Queensland Women's Strategy: 2021 report cards</dc:subject>
  <dc:creator>Queensland Government</dc:creator>
  <cp:keywords>queensland women's strategy, report cards, gender equality, participation, leadership, economic security, safety, health, wellbeing, gender statistics</cp:keywords>
  <cp:lastModifiedBy>Hee Soo Kim</cp:lastModifiedBy>
  <cp:revision>2</cp:revision>
  <cp:lastPrinted>2019-01-30T00:18:00Z</cp:lastPrinted>
  <dcterms:created xsi:type="dcterms:W3CDTF">2022-02-17T07:08:00Z</dcterms:created>
  <dcterms:modified xsi:type="dcterms:W3CDTF">2022-02-17T07:08:00Z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0x010100C7BD08439FA548A39DD6F4EEA9A4DD920028A0CA45A385418C914557FFC286F13E010100A3D8CF4A2606CD40AE185922830E2FA3</vt:lpwstr>
  </property>
  <property fmtid="{D5CDD505-2E9C-101B-9397-08002B2CF9AE}" pid="3" name="RecordPoint_ActiveItemListId">
    <vt:lpwstr>{58a76ca8-191d-4b6d-869a-10e21c93d317}</vt:lpwstr>
  </property>
  <property fmtid="{D5CDD505-2E9C-101B-9397-08002B2CF9AE}" pid="4" name="RecordPoint_ActiveItemMoved">
    <vt:lpwstr/>
  </property>
  <property fmtid="{D5CDD505-2E9C-101B-9397-08002B2CF9AE}" pid="5" name="RecordPoint_ActiveItemSiteId">
    <vt:lpwstr>{2464a2f2-e3f2-4c80-94b1-60563d2a108f}</vt:lpwstr>
  </property>
  <property fmtid="{D5CDD505-2E9C-101B-9397-08002B2CF9AE}" pid="6" name="RecordPoint_ActiveItemUniqueId">
    <vt:lpwstr>{b7623617-401c-47ed-8254-d4b757462a78}</vt:lpwstr>
  </property>
  <property fmtid="{D5CDD505-2E9C-101B-9397-08002B2CF9AE}" pid="7" name="RecordPoint_ActiveItemWebId">
    <vt:lpwstr>{d702e6c2-0216-4f5f-bd9e-a6ff7cce144f}</vt:lpwstr>
  </property>
  <property fmtid="{D5CDD505-2E9C-101B-9397-08002B2CF9AE}" pid="8" name="RecordPoint_RecordFormat">
    <vt:lpwstr/>
  </property>
  <property fmtid="{D5CDD505-2E9C-101B-9397-08002B2CF9AE}" pid="9" name="RecordPoint_RecordNumberSubmitted">
    <vt:lpwstr>R0001864863</vt:lpwstr>
  </property>
  <property fmtid="{D5CDD505-2E9C-101B-9397-08002B2CF9AE}" pid="10" name="RecordPoint_SubmissionCompleted">
    <vt:lpwstr>2020-11-17T19:55:12.5257140+10:00</vt:lpwstr>
  </property>
  <property fmtid="{D5CDD505-2E9C-101B-9397-08002B2CF9AE}" pid="11" name="RecordPoint_SubmissionDate">
    <vt:lpwstr/>
  </property>
  <property fmtid="{D5CDD505-2E9C-101B-9397-08002B2CF9AE}" pid="12" name="RecordPoint_WorkflowType">
    <vt:lpwstr>ActiveSubmitStub</vt:lpwstr>
  </property>
  <property fmtid="{D5CDD505-2E9C-101B-9397-08002B2CF9AE}" pid="13" name="_dlc_DocIdItemGuid">
    <vt:lpwstr>b7623617-401c-47ed-8254-d4b757462a78</vt:lpwstr>
  </property>
  <property fmtid="{D5CDD505-2E9C-101B-9397-08002B2CF9AE}" pid="14" name="MSIP_Label_5b083577-197b-450c-831d-654cf3f56dc2_Enabled">
    <vt:lpwstr>true</vt:lpwstr>
  </property>
  <property fmtid="{D5CDD505-2E9C-101B-9397-08002B2CF9AE}" pid="15" name="MSIP_Label_5b083577-197b-450c-831d-654cf3f56dc2_SetDate">
    <vt:lpwstr>2020-04-23T04:26:32Z</vt:lpwstr>
  </property>
  <property fmtid="{D5CDD505-2E9C-101B-9397-08002B2CF9AE}" pid="16" name="MSIP_Label_5b083577-197b-450c-831d-654cf3f56dc2_Method">
    <vt:lpwstr>Standard</vt:lpwstr>
  </property>
  <property fmtid="{D5CDD505-2E9C-101B-9397-08002B2CF9AE}" pid="17" name="MSIP_Label_5b083577-197b-450c-831d-654cf3f56dc2_Name">
    <vt:lpwstr>OFFICIAL</vt:lpwstr>
  </property>
  <property fmtid="{D5CDD505-2E9C-101B-9397-08002B2CF9AE}" pid="18" name="MSIP_Label_5b083577-197b-450c-831d-654cf3f56dc2_SiteId">
    <vt:lpwstr>823bfb03-da26-4cbf-a7d6-f02dbfdf182e</vt:lpwstr>
  </property>
  <property fmtid="{D5CDD505-2E9C-101B-9397-08002B2CF9AE}" pid="19" name="MSIP_Label_5b083577-197b-450c-831d-654cf3f56dc2_ActionId">
    <vt:lpwstr>ad52de3b-f907-406e-a45c-000073ca6fa2</vt:lpwstr>
  </property>
  <property fmtid="{D5CDD505-2E9C-101B-9397-08002B2CF9AE}" pid="20" name="MSIP_Label_5b083577-197b-450c-831d-654cf3f56dc2_ContentBits">
    <vt:lpwstr>0</vt:lpwstr>
  </property>
</Properties>
</file>