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BBA0" w14:textId="77777777" w:rsidR="00615C0F" w:rsidRPr="005901DE" w:rsidRDefault="008B184C" w:rsidP="00615C0F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Youth detention centre</w:t>
      </w:r>
    </w:p>
    <w:p w14:paraId="18C5C224" w14:textId="77777777" w:rsidR="00615C0F" w:rsidRPr="000F3089" w:rsidRDefault="00095E28" w:rsidP="00615C0F">
      <w:pPr>
        <w:pStyle w:val="Heading1"/>
        <w:spacing w:before="120"/>
        <w:jc w:val="center"/>
        <w:rPr>
          <w:szCs w:val="48"/>
        </w:rPr>
      </w:pPr>
      <w:r>
        <w:rPr>
          <w:szCs w:val="48"/>
        </w:rPr>
        <w:t xml:space="preserve">OPERATIONAL </w:t>
      </w:r>
      <w:r w:rsidR="00615C0F" w:rsidRPr="000F3089">
        <w:rPr>
          <w:szCs w:val="48"/>
        </w:rPr>
        <w:t xml:space="preserve">POLICY </w:t>
      </w:r>
    </w:p>
    <w:p w14:paraId="75B5B0D2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564D6F02" w14:textId="30328241" w:rsidR="00615C0F" w:rsidRPr="000F3089" w:rsidRDefault="00615C0F" w:rsidP="00615C0F">
      <w:pPr>
        <w:tabs>
          <w:tab w:val="left" w:pos="2552"/>
        </w:tabs>
        <w:rPr>
          <w:sz w:val="28"/>
          <w:szCs w:val="28"/>
        </w:rPr>
      </w:pPr>
      <w:r w:rsidRPr="000F3089">
        <w:rPr>
          <w:b/>
          <w:sz w:val="28"/>
          <w:szCs w:val="28"/>
        </w:rPr>
        <w:t>Title:</w:t>
      </w:r>
      <w:r w:rsidR="008B184C">
        <w:rPr>
          <w:sz w:val="28"/>
          <w:szCs w:val="28"/>
        </w:rPr>
        <w:t xml:space="preserve"> YD-1-7 Youth detention – Food provision and nutrition services </w:t>
      </w:r>
    </w:p>
    <w:p w14:paraId="73A89057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4B65A09" w14:textId="50338878" w:rsidR="00615C0F" w:rsidRPr="000F3089" w:rsidRDefault="00615C0F" w:rsidP="005B3EF0">
      <w:pPr>
        <w:pStyle w:val="Heading2"/>
      </w:pPr>
      <w:r w:rsidRPr="000F3089">
        <w:t xml:space="preserve">Policy </w:t>
      </w:r>
      <w:r w:rsidR="00095E28">
        <w:t>s</w:t>
      </w:r>
      <w:r w:rsidRPr="000F3089">
        <w:t>tatement</w:t>
      </w:r>
    </w:p>
    <w:p w14:paraId="02A8CBA3" w14:textId="14315736" w:rsidR="008B184C" w:rsidRPr="00102987" w:rsidRDefault="008B184C" w:rsidP="005B3EF0">
      <w:pPr>
        <w:spacing w:after="120"/>
      </w:pPr>
      <w:r w:rsidRPr="00102987">
        <w:t>The department will improve the health and wellbeing of young people in youth detention</w:t>
      </w:r>
      <w:r w:rsidR="005B3EF0">
        <w:t xml:space="preserve"> centres (YDCs)</w:t>
      </w:r>
      <w:r w:rsidRPr="00102987">
        <w:t xml:space="preserve"> </w:t>
      </w:r>
      <w:r>
        <w:t>by</w:t>
      </w:r>
      <w:r w:rsidRPr="00102987">
        <w:t>:</w:t>
      </w:r>
    </w:p>
    <w:p w14:paraId="2098E0D1" w14:textId="15EF5315" w:rsidR="008B184C" w:rsidRPr="00102987" w:rsidRDefault="008B184C" w:rsidP="005B3EF0">
      <w:pPr>
        <w:pStyle w:val="ListParagraph"/>
        <w:numPr>
          <w:ilvl w:val="0"/>
          <w:numId w:val="19"/>
        </w:numPr>
      </w:pPr>
      <w:r>
        <w:t>providing</w:t>
      </w:r>
      <w:r w:rsidRPr="00102987">
        <w:t xml:space="preserve"> a variety of nutritious and safe food at all mealtimes in sufficient quantities</w:t>
      </w:r>
    </w:p>
    <w:p w14:paraId="23F5790A" w14:textId="77777777" w:rsidR="008B184C" w:rsidRPr="00102987" w:rsidRDefault="008B184C" w:rsidP="005B3EF0">
      <w:pPr>
        <w:pStyle w:val="ListParagraph"/>
        <w:numPr>
          <w:ilvl w:val="0"/>
          <w:numId w:val="19"/>
        </w:numPr>
      </w:pPr>
      <w:r w:rsidRPr="00102987">
        <w:t>ensuring meal choices cater for complex dietary requirements, including religious and medical needs</w:t>
      </w:r>
    </w:p>
    <w:p w14:paraId="1B312736" w14:textId="77777777" w:rsidR="008B184C" w:rsidRPr="00102987" w:rsidRDefault="008B184C" w:rsidP="005B3EF0">
      <w:pPr>
        <w:pStyle w:val="ListParagraph"/>
        <w:numPr>
          <w:ilvl w:val="0"/>
          <w:numId w:val="19"/>
        </w:numPr>
      </w:pPr>
      <w:r w:rsidRPr="00102987">
        <w:t>facilitating young people’s preferences about menus and portion size (within nutritional guidelines)</w:t>
      </w:r>
    </w:p>
    <w:p w14:paraId="47BA0D65" w14:textId="77777777" w:rsidR="008B184C" w:rsidRPr="00102987" w:rsidRDefault="008B184C" w:rsidP="005B3EF0">
      <w:pPr>
        <w:pStyle w:val="ListParagraph"/>
        <w:numPr>
          <w:ilvl w:val="0"/>
          <w:numId w:val="19"/>
        </w:numPr>
      </w:pPr>
      <w:r w:rsidRPr="00102987">
        <w:t xml:space="preserve">ensuring healthy food and drink options are available for young people during breaks and through the buy-up scheme. </w:t>
      </w:r>
    </w:p>
    <w:p w14:paraId="47A0C02C" w14:textId="32CEDADB" w:rsidR="00615C0F" w:rsidRDefault="00615C0F" w:rsidP="005B3EF0">
      <w:pPr>
        <w:pStyle w:val="Heading2"/>
      </w:pPr>
      <w:r w:rsidRPr="000F3089">
        <w:t>Principles</w:t>
      </w:r>
    </w:p>
    <w:p w14:paraId="1E3D23AD" w14:textId="6ABE1B3E" w:rsidR="00B90983" w:rsidRPr="005B3EF0" w:rsidRDefault="005B3EF0" w:rsidP="005B3EF0">
      <w:pPr>
        <w:pStyle w:val="Heading3"/>
      </w:pPr>
      <w:r>
        <w:t xml:space="preserve">1. </w:t>
      </w:r>
      <w:r w:rsidR="00B90983" w:rsidRPr="005B3EF0">
        <w:t xml:space="preserve">General principles </w:t>
      </w:r>
    </w:p>
    <w:p w14:paraId="4F8CB033" w14:textId="5D25A766" w:rsidR="00B90983" w:rsidRPr="00B90983" w:rsidRDefault="00B90983" w:rsidP="005B3EF0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425" w:hanging="425"/>
        <w:rPr>
          <w:rFonts w:cs="Arial"/>
          <w:szCs w:val="22"/>
        </w:rPr>
      </w:pPr>
      <w:r w:rsidRPr="00102987">
        <w:rPr>
          <w:rFonts w:cs="Arial"/>
          <w:szCs w:val="22"/>
        </w:rPr>
        <w:t>Food is a basic</w:t>
      </w:r>
      <w:r>
        <w:rPr>
          <w:rFonts w:cs="Arial"/>
          <w:szCs w:val="22"/>
        </w:rPr>
        <w:t xml:space="preserve"> human</w:t>
      </w:r>
      <w:r w:rsidRPr="00102987">
        <w:rPr>
          <w:rFonts w:cs="Arial"/>
          <w:szCs w:val="22"/>
        </w:rPr>
        <w:t xml:space="preserve"> right</w:t>
      </w:r>
      <w:r w:rsidR="005B3EF0">
        <w:rPr>
          <w:rFonts w:cs="Arial"/>
          <w:szCs w:val="22"/>
        </w:rPr>
        <w:t>. D</w:t>
      </w:r>
      <w:r w:rsidRPr="00102987">
        <w:rPr>
          <w:rFonts w:cs="Arial"/>
          <w:szCs w:val="22"/>
        </w:rPr>
        <w:t>eprivation of food will never be used as a punishment or behaviour management method</w:t>
      </w:r>
      <w:r>
        <w:rPr>
          <w:rFonts w:cs="Arial"/>
          <w:szCs w:val="22"/>
        </w:rPr>
        <w:t>.</w:t>
      </w:r>
    </w:p>
    <w:p w14:paraId="423C632A" w14:textId="77EBBA76" w:rsidR="00B90983" w:rsidRPr="00B90983" w:rsidRDefault="00B90983" w:rsidP="005B3EF0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425" w:hanging="425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Menus will be developed using evidence-based Australian and </w:t>
      </w:r>
      <w:r>
        <w:rPr>
          <w:rFonts w:cs="Arial"/>
          <w:szCs w:val="22"/>
        </w:rPr>
        <w:t>g</w:t>
      </w:r>
      <w:r w:rsidRPr="00102987">
        <w:rPr>
          <w:rFonts w:cs="Arial"/>
          <w:szCs w:val="22"/>
        </w:rPr>
        <w:t xml:space="preserve">overnment national nutrition guidelines. </w:t>
      </w:r>
    </w:p>
    <w:p w14:paraId="52A50EED" w14:textId="6AC3B1B7" w:rsidR="00B90983" w:rsidRPr="00B90983" w:rsidRDefault="00B90983" w:rsidP="005B3EF0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425" w:hanging="425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Kitchen staff and </w:t>
      </w:r>
      <w:r w:rsidR="005B3EF0">
        <w:rPr>
          <w:rFonts w:cs="Arial"/>
          <w:szCs w:val="22"/>
        </w:rPr>
        <w:t xml:space="preserve">detention </w:t>
      </w:r>
      <w:r w:rsidRPr="00102987">
        <w:rPr>
          <w:rFonts w:cs="Arial"/>
          <w:szCs w:val="22"/>
        </w:rPr>
        <w:t>youth workers will be trained as necessary to ensure safe food preparation and handling.</w:t>
      </w:r>
    </w:p>
    <w:p w14:paraId="2786C18A" w14:textId="42EAC9A7" w:rsidR="00B90983" w:rsidRPr="005B3EF0" w:rsidRDefault="005B3EF0" w:rsidP="005B3EF0">
      <w:pPr>
        <w:pStyle w:val="Heading3"/>
      </w:pPr>
      <w:r>
        <w:t xml:space="preserve">2. </w:t>
      </w:r>
      <w:r w:rsidR="00B90983" w:rsidRPr="005B3EF0">
        <w:t>Menus and food provision</w:t>
      </w:r>
    </w:p>
    <w:p w14:paraId="7C8F3920" w14:textId="0893D145" w:rsidR="008B184C" w:rsidRPr="00102987" w:rsidRDefault="008B184C" w:rsidP="005B3EF0">
      <w:pPr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Menus will be evaluated and revised as necessary on a biennial basis with an accredited dietician. </w:t>
      </w:r>
    </w:p>
    <w:p w14:paraId="48E4D6E4" w14:textId="77777777" w:rsidR="00B90983" w:rsidRDefault="008B184C" w:rsidP="005B3EF0">
      <w:pPr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Arial"/>
          <w:szCs w:val="22"/>
        </w:rPr>
      </w:pPr>
      <w:r w:rsidRPr="00102987">
        <w:rPr>
          <w:rFonts w:cs="Arial"/>
          <w:szCs w:val="22"/>
        </w:rPr>
        <w:t>Non-standard meals and recipes will be developed to meet nutritional, religious, cultural and medical requirements within budget while maintaining the same quality as the standard meal.</w:t>
      </w:r>
    </w:p>
    <w:p w14:paraId="25CC9113" w14:textId="2AC52D22" w:rsidR="008B184C" w:rsidRDefault="008B184C" w:rsidP="005B3EF0">
      <w:pPr>
        <w:numPr>
          <w:ilvl w:val="0"/>
          <w:numId w:val="13"/>
        </w:numPr>
        <w:autoSpaceDE w:val="0"/>
        <w:autoSpaceDN w:val="0"/>
        <w:adjustRightInd w:val="0"/>
        <w:spacing w:after="60"/>
        <w:ind w:left="357" w:hanging="357"/>
        <w:rPr>
          <w:rFonts w:cs="Arial"/>
          <w:szCs w:val="22"/>
        </w:rPr>
      </w:pPr>
      <w:r w:rsidRPr="00B90983">
        <w:rPr>
          <w:rFonts w:cs="Arial"/>
          <w:szCs w:val="22"/>
        </w:rPr>
        <w:t xml:space="preserve">Dates that hold religious or cultural significance as well as traditional festivals or special occasions will be celebrated in </w:t>
      </w:r>
      <w:r w:rsidR="005B3EF0">
        <w:rPr>
          <w:rFonts w:cs="Arial"/>
          <w:szCs w:val="22"/>
        </w:rPr>
        <w:t>YDCs</w:t>
      </w:r>
      <w:r w:rsidRPr="00B90983">
        <w:rPr>
          <w:rFonts w:cs="Arial"/>
          <w:szCs w:val="22"/>
        </w:rPr>
        <w:t>, dependent on the population of young people and at the discretion of the executive director</w:t>
      </w:r>
      <w:r w:rsidR="005B3EF0">
        <w:rPr>
          <w:rFonts w:cs="Arial"/>
          <w:szCs w:val="22"/>
        </w:rPr>
        <w:t xml:space="preserve"> (ED)</w:t>
      </w:r>
      <w:r w:rsidRPr="00B90983">
        <w:rPr>
          <w:rFonts w:cs="Arial"/>
          <w:szCs w:val="22"/>
        </w:rPr>
        <w:t xml:space="preserve">. </w:t>
      </w:r>
    </w:p>
    <w:p w14:paraId="33E64A63" w14:textId="29B66CD5" w:rsidR="008B184C" w:rsidRPr="00B90983" w:rsidRDefault="008B184C" w:rsidP="005B3EF0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90983">
        <w:rPr>
          <w:rFonts w:cs="Arial"/>
          <w:szCs w:val="22"/>
        </w:rPr>
        <w:t xml:space="preserve">Young people will be invited to provide feedback on their satisfaction with meals at least </w:t>
      </w:r>
      <w:r w:rsidR="005B3EF0">
        <w:rPr>
          <w:rFonts w:cs="Arial"/>
          <w:szCs w:val="22"/>
        </w:rPr>
        <w:t>once a year</w:t>
      </w:r>
      <w:r w:rsidRPr="00B90983">
        <w:rPr>
          <w:rFonts w:cs="Arial"/>
          <w:szCs w:val="22"/>
        </w:rPr>
        <w:t xml:space="preserve"> using a method designed to result in a high response rate from young people</w:t>
      </w:r>
      <w:r w:rsidR="005B3EF0">
        <w:rPr>
          <w:rFonts w:cs="Arial"/>
          <w:szCs w:val="22"/>
        </w:rPr>
        <w:t>. C</w:t>
      </w:r>
      <w:r w:rsidRPr="00B90983">
        <w:rPr>
          <w:rFonts w:cs="Arial"/>
          <w:szCs w:val="22"/>
        </w:rPr>
        <w:t>hanges</w:t>
      </w:r>
      <w:r w:rsidR="005B3EF0">
        <w:rPr>
          <w:rFonts w:cs="Arial"/>
          <w:szCs w:val="22"/>
        </w:rPr>
        <w:t xml:space="preserve">, in </w:t>
      </w:r>
      <w:r w:rsidRPr="00B90983">
        <w:rPr>
          <w:rFonts w:cs="Arial"/>
          <w:szCs w:val="22"/>
        </w:rPr>
        <w:t>respon</w:t>
      </w:r>
      <w:r w:rsidR="005B3EF0">
        <w:rPr>
          <w:rFonts w:cs="Arial"/>
          <w:szCs w:val="22"/>
        </w:rPr>
        <w:t>se</w:t>
      </w:r>
      <w:r w:rsidRPr="00B90983">
        <w:rPr>
          <w:rFonts w:cs="Arial"/>
          <w:szCs w:val="22"/>
        </w:rPr>
        <w:t xml:space="preserve"> to the feedback</w:t>
      </w:r>
      <w:r w:rsidR="005B3EF0">
        <w:rPr>
          <w:rFonts w:cs="Arial"/>
          <w:szCs w:val="22"/>
        </w:rPr>
        <w:t>,</w:t>
      </w:r>
      <w:r w:rsidRPr="00B90983">
        <w:rPr>
          <w:rFonts w:cs="Arial"/>
          <w:szCs w:val="22"/>
        </w:rPr>
        <w:t xml:space="preserve"> will be made to menus within nutrition guidelines and at the discretion of the </w:t>
      </w:r>
      <w:r w:rsidR="005B3EF0">
        <w:rPr>
          <w:rFonts w:cs="Arial"/>
          <w:szCs w:val="22"/>
        </w:rPr>
        <w:t>ED</w:t>
      </w:r>
      <w:r w:rsidRPr="00B90983">
        <w:rPr>
          <w:rFonts w:cs="Arial"/>
          <w:szCs w:val="22"/>
        </w:rPr>
        <w:t xml:space="preserve">. </w:t>
      </w:r>
    </w:p>
    <w:p w14:paraId="7A1E4085" w14:textId="10499721" w:rsidR="00615C0F" w:rsidRPr="000F3089" w:rsidRDefault="00615C0F" w:rsidP="005B3EF0">
      <w:pPr>
        <w:pStyle w:val="Heading2"/>
      </w:pPr>
      <w:r w:rsidRPr="000F3089">
        <w:t>Objectives</w:t>
      </w:r>
    </w:p>
    <w:p w14:paraId="4707526A" w14:textId="42D8FCD2" w:rsidR="005B3EF0" w:rsidRDefault="008B184C" w:rsidP="005B3EF0">
      <w:pPr>
        <w:spacing w:after="120"/>
      </w:pPr>
      <w:r w:rsidRPr="00102987">
        <w:t>The department is committed to improving the health and wellbeing of young people in youth detention. Accordingly, this policy aims to ensure that</w:t>
      </w:r>
      <w:r w:rsidR="005B3EF0">
        <w:t>:</w:t>
      </w:r>
    </w:p>
    <w:p w14:paraId="1DBAC5F9" w14:textId="77777777" w:rsidR="005B3EF0" w:rsidRDefault="008B184C" w:rsidP="005B3EF0">
      <w:pPr>
        <w:pStyle w:val="ListParagraph"/>
        <w:numPr>
          <w:ilvl w:val="0"/>
          <w:numId w:val="20"/>
        </w:numPr>
      </w:pPr>
      <w:r w:rsidRPr="00102987">
        <w:lastRenderedPageBreak/>
        <w:t xml:space="preserve">nutritious food is provided to young people in </w:t>
      </w:r>
      <w:r w:rsidR="005B3EF0">
        <w:t>YDCs</w:t>
      </w:r>
    </w:p>
    <w:p w14:paraId="4F3DA3B7" w14:textId="77BD379E" w:rsidR="008B184C" w:rsidRDefault="008B184C" w:rsidP="005B3EF0">
      <w:pPr>
        <w:pStyle w:val="ListParagraph"/>
        <w:numPr>
          <w:ilvl w:val="0"/>
          <w:numId w:val="20"/>
        </w:numPr>
      </w:pPr>
      <w:r w:rsidRPr="00102987">
        <w:t>individual dietary requirements are met.</w:t>
      </w:r>
    </w:p>
    <w:p w14:paraId="4C7DDA8F" w14:textId="7462BF93" w:rsidR="00615C0F" w:rsidRPr="000F3089" w:rsidRDefault="00615C0F" w:rsidP="005B3EF0">
      <w:pPr>
        <w:pStyle w:val="Heading2"/>
      </w:pPr>
      <w:r w:rsidRPr="000F3089">
        <w:t>Scope</w:t>
      </w:r>
    </w:p>
    <w:p w14:paraId="133680D6" w14:textId="63221B7A" w:rsidR="008B184C" w:rsidRPr="00102987" w:rsidRDefault="008B184C" w:rsidP="008B184C">
      <w:pPr>
        <w:pStyle w:val="BodyText2"/>
        <w:spacing w:line="240" w:lineRule="auto"/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This policy is part of a suite of policies and processes developed to ensure that the provision of food and nutrition services meets the requirements of the </w:t>
      </w:r>
      <w:r w:rsidRPr="00102987">
        <w:rPr>
          <w:rFonts w:cs="Arial"/>
          <w:i/>
          <w:szCs w:val="22"/>
        </w:rPr>
        <w:t>Youth Justice Act 1992</w:t>
      </w:r>
      <w:r w:rsidRPr="00102987">
        <w:rPr>
          <w:rFonts w:cs="Arial"/>
          <w:szCs w:val="22"/>
        </w:rPr>
        <w:t xml:space="preserve"> and the </w:t>
      </w:r>
      <w:r w:rsidRPr="00102987">
        <w:rPr>
          <w:rFonts w:cs="Arial"/>
          <w:i/>
          <w:szCs w:val="22"/>
        </w:rPr>
        <w:t xml:space="preserve">Youth Justice Regulation </w:t>
      </w:r>
      <w:r w:rsidR="00096B41">
        <w:rPr>
          <w:rFonts w:cs="Arial"/>
          <w:i/>
          <w:szCs w:val="22"/>
        </w:rPr>
        <w:t>2016</w:t>
      </w:r>
      <w:r w:rsidRPr="00102987">
        <w:rPr>
          <w:rFonts w:cs="Arial"/>
          <w:szCs w:val="22"/>
        </w:rPr>
        <w:t>, including:</w:t>
      </w:r>
    </w:p>
    <w:p w14:paraId="2CF93FE6" w14:textId="77777777" w:rsidR="008B184C" w:rsidRPr="00102987" w:rsidRDefault="008B184C" w:rsidP="008B184C">
      <w:pPr>
        <w:pStyle w:val="BodyText2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Policy YD-1-2: Behaviour </w:t>
      </w:r>
      <w:r w:rsidRPr="00096B41">
        <w:rPr>
          <w:rFonts w:cs="Arial"/>
          <w:szCs w:val="22"/>
        </w:rPr>
        <w:t>support</w:t>
      </w:r>
    </w:p>
    <w:p w14:paraId="71153032" w14:textId="77777777" w:rsidR="008B184C" w:rsidRPr="00102987" w:rsidRDefault="008B184C" w:rsidP="008B184C">
      <w:pPr>
        <w:pStyle w:val="BodyText2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Policy YD-1-5: Provision of medical and other health services </w:t>
      </w:r>
    </w:p>
    <w:p w14:paraId="54E6DF9B" w14:textId="77777777" w:rsidR="008B184C" w:rsidRPr="00102987" w:rsidRDefault="008B184C" w:rsidP="008B184C">
      <w:pPr>
        <w:pStyle w:val="Header"/>
        <w:numPr>
          <w:ilvl w:val="0"/>
          <w:numId w:val="4"/>
        </w:numPr>
        <w:tabs>
          <w:tab w:val="clear" w:pos="4153"/>
          <w:tab w:val="clear" w:pos="8306"/>
          <w:tab w:val="left" w:pos="3240"/>
          <w:tab w:val="center" w:pos="4820"/>
          <w:tab w:val="right" w:pos="9639"/>
        </w:tabs>
        <w:spacing w:after="120"/>
        <w:ind w:left="357" w:hanging="357"/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 xml:space="preserve">Chapter 1 – Care and management of young people, Youth Detention Centre Operations Manual.  </w:t>
      </w:r>
    </w:p>
    <w:p w14:paraId="381D1773" w14:textId="4A9C993C" w:rsidR="008B184C" w:rsidRPr="00102987" w:rsidRDefault="008B184C" w:rsidP="008B184C">
      <w:pPr>
        <w:pStyle w:val="Header"/>
        <w:tabs>
          <w:tab w:val="clear" w:pos="4153"/>
          <w:tab w:val="clear" w:pos="8306"/>
          <w:tab w:val="left" w:pos="3240"/>
          <w:tab w:val="center" w:pos="4820"/>
          <w:tab w:val="right" w:pos="9639"/>
        </w:tabs>
        <w:jc w:val="both"/>
        <w:rPr>
          <w:rFonts w:cs="Arial"/>
          <w:szCs w:val="22"/>
        </w:rPr>
      </w:pPr>
      <w:r w:rsidRPr="006A683E">
        <w:rPr>
          <w:rFonts w:cs="Arial"/>
          <w:szCs w:val="22"/>
        </w:rPr>
        <w:t>Policy YD-1-5 – Provision of medical and other health services</w:t>
      </w:r>
      <w:r w:rsidRPr="00102987">
        <w:rPr>
          <w:rFonts w:cs="Arial"/>
          <w:szCs w:val="22"/>
        </w:rPr>
        <w:t xml:space="preserve"> is particularly relevant in relation to determining a young person’s therapeutic dietary needs. </w:t>
      </w:r>
    </w:p>
    <w:p w14:paraId="4F195DF5" w14:textId="2A707DB1" w:rsidR="00615C0F" w:rsidRPr="000F3089" w:rsidRDefault="00615C0F" w:rsidP="006B64DA">
      <w:pPr>
        <w:pStyle w:val="Heading2"/>
      </w:pPr>
      <w:r w:rsidRPr="000F3089">
        <w:t xml:space="preserve">Roles and </w:t>
      </w:r>
      <w:r w:rsidR="00095E28">
        <w:t>r</w:t>
      </w:r>
      <w:r w:rsidRPr="000F3089">
        <w:t>esponsibilities</w:t>
      </w:r>
    </w:p>
    <w:p w14:paraId="1B366F46" w14:textId="086998C1" w:rsidR="008B184C" w:rsidRDefault="008B184C" w:rsidP="006B64DA">
      <w:pPr>
        <w:pStyle w:val="ListParagraph"/>
        <w:numPr>
          <w:ilvl w:val="0"/>
          <w:numId w:val="7"/>
        </w:numPr>
        <w:tabs>
          <w:tab w:val="clear" w:pos="360"/>
        </w:tabs>
        <w:spacing w:after="120"/>
        <w:ind w:left="357" w:hanging="357"/>
        <w:contextualSpacing w:val="0"/>
        <w:rPr>
          <w:rFonts w:cs="Arial"/>
          <w:szCs w:val="22"/>
        </w:rPr>
      </w:pPr>
      <w:r w:rsidRPr="00102987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ll </w:t>
      </w:r>
      <w:r w:rsidR="006B64DA">
        <w:rPr>
          <w:rFonts w:cs="Arial"/>
          <w:szCs w:val="22"/>
        </w:rPr>
        <w:t>YDC</w:t>
      </w:r>
      <w:r>
        <w:rPr>
          <w:rFonts w:cs="Arial"/>
          <w:szCs w:val="22"/>
        </w:rPr>
        <w:t xml:space="preserve"> staff:</w:t>
      </w:r>
    </w:p>
    <w:p w14:paraId="1257A028" w14:textId="3F74A8ED" w:rsidR="008B184C" w:rsidRDefault="008B184C" w:rsidP="008B184C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>
        <w:rPr>
          <w:rFonts w:cs="Arial"/>
          <w:szCs w:val="22"/>
        </w:rPr>
        <w:t>ensur</w:t>
      </w:r>
      <w:r w:rsidR="00F92E98">
        <w:rPr>
          <w:rFonts w:cs="Arial"/>
          <w:szCs w:val="22"/>
        </w:rPr>
        <w:t>e</w:t>
      </w:r>
      <w:r w:rsidRPr="00102987">
        <w:rPr>
          <w:rFonts w:cs="Arial"/>
          <w:szCs w:val="22"/>
        </w:rPr>
        <w:t xml:space="preserve"> young</w:t>
      </w:r>
      <w:r>
        <w:rPr>
          <w:rFonts w:cs="Arial"/>
          <w:szCs w:val="22"/>
        </w:rPr>
        <w:t xml:space="preserve"> people receive meals provided</w:t>
      </w:r>
    </w:p>
    <w:p w14:paraId="46A7DC32" w14:textId="7981608A" w:rsidR="008B184C" w:rsidRPr="00102987" w:rsidRDefault="008B184C" w:rsidP="008B184C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facilita</w:t>
      </w:r>
      <w:r w:rsidR="00F92E98">
        <w:rPr>
          <w:rFonts w:cs="Arial"/>
          <w:szCs w:val="22"/>
        </w:rPr>
        <w:t>te</w:t>
      </w:r>
      <w:r>
        <w:rPr>
          <w:rFonts w:cs="Arial"/>
          <w:szCs w:val="22"/>
        </w:rPr>
        <w:t xml:space="preserve"> the</w:t>
      </w:r>
      <w:r w:rsidRPr="00102987">
        <w:rPr>
          <w:rFonts w:cs="Arial"/>
          <w:szCs w:val="22"/>
        </w:rPr>
        <w:t xml:space="preserve"> provision of snacks outside of standards </w:t>
      </w:r>
      <w:proofErr w:type="gramStart"/>
      <w:r w:rsidRPr="00102987">
        <w:rPr>
          <w:rFonts w:cs="Arial"/>
          <w:szCs w:val="22"/>
        </w:rPr>
        <w:t>meal times</w:t>
      </w:r>
      <w:proofErr w:type="gramEnd"/>
      <w:r w:rsidRPr="00102987">
        <w:rPr>
          <w:rFonts w:cs="Arial"/>
          <w:szCs w:val="22"/>
        </w:rPr>
        <w:t xml:space="preserve">. </w:t>
      </w:r>
    </w:p>
    <w:p w14:paraId="30B756D0" w14:textId="20F396E6" w:rsidR="008B184C" w:rsidRPr="00D81703" w:rsidRDefault="008B184C" w:rsidP="006B64DA">
      <w:pPr>
        <w:numPr>
          <w:ilvl w:val="0"/>
          <w:numId w:val="7"/>
        </w:numPr>
        <w:spacing w:after="120"/>
        <w:ind w:left="357" w:hanging="357"/>
        <w:jc w:val="both"/>
        <w:rPr>
          <w:rFonts w:cs="Arial"/>
          <w:szCs w:val="22"/>
        </w:rPr>
      </w:pPr>
      <w:r w:rsidRPr="00D81703">
        <w:rPr>
          <w:rFonts w:cs="Arial"/>
          <w:szCs w:val="22"/>
        </w:rPr>
        <w:t xml:space="preserve">Chief </w:t>
      </w:r>
      <w:r w:rsidR="006B64DA">
        <w:rPr>
          <w:rFonts w:cs="Arial"/>
          <w:szCs w:val="22"/>
        </w:rPr>
        <w:t>c</w:t>
      </w:r>
      <w:r w:rsidRPr="00D81703">
        <w:rPr>
          <w:rFonts w:cs="Arial"/>
          <w:szCs w:val="22"/>
        </w:rPr>
        <w:t>ook:</w:t>
      </w:r>
    </w:p>
    <w:p w14:paraId="048A2B94" w14:textId="2FB62001" w:rsidR="008B184C" w:rsidRPr="00D81703" w:rsidRDefault="008B184C" w:rsidP="008B184C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 w:rsidRPr="00D81703">
        <w:rPr>
          <w:rFonts w:cs="Arial"/>
          <w:szCs w:val="22"/>
        </w:rPr>
        <w:t>work with an accredited dietician on a biennial basis to prepare a summer and winter menu that complies with relevant nutrition guidelines and caters for any complex dietary requirements, including religious and medical needs of young people</w:t>
      </w:r>
    </w:p>
    <w:p w14:paraId="43B68137" w14:textId="79C89AFC" w:rsidR="008B184C" w:rsidRPr="00D81703" w:rsidRDefault="008B184C" w:rsidP="008B184C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cs="Arial"/>
          <w:szCs w:val="22"/>
        </w:rPr>
      </w:pPr>
      <w:r w:rsidRPr="00D81703">
        <w:rPr>
          <w:rFonts w:cs="Arial"/>
          <w:szCs w:val="22"/>
        </w:rPr>
        <w:t>annual</w:t>
      </w:r>
      <w:r w:rsidR="006B64DA">
        <w:rPr>
          <w:rFonts w:cs="Arial"/>
          <w:szCs w:val="22"/>
        </w:rPr>
        <w:t>ly</w:t>
      </w:r>
      <w:r w:rsidRPr="00D81703">
        <w:rPr>
          <w:rFonts w:cs="Arial"/>
          <w:szCs w:val="22"/>
        </w:rPr>
        <w:t xml:space="preserve"> review </w:t>
      </w:r>
      <w:r w:rsidR="00F92E98" w:rsidRPr="00D81703">
        <w:rPr>
          <w:rFonts w:cs="Arial"/>
          <w:szCs w:val="22"/>
        </w:rPr>
        <w:t xml:space="preserve">the </w:t>
      </w:r>
      <w:r w:rsidRPr="00D81703">
        <w:rPr>
          <w:rFonts w:cs="Arial"/>
          <w:szCs w:val="22"/>
        </w:rPr>
        <w:t xml:space="preserve">food safety plan.  </w:t>
      </w:r>
    </w:p>
    <w:p w14:paraId="4B87FA83" w14:textId="596D9EF2" w:rsidR="008B184C" w:rsidRPr="00D81703" w:rsidRDefault="008B184C" w:rsidP="006B64DA">
      <w:pPr>
        <w:numPr>
          <w:ilvl w:val="0"/>
          <w:numId w:val="7"/>
        </w:numPr>
        <w:spacing w:after="120"/>
        <w:ind w:left="357" w:hanging="357"/>
        <w:jc w:val="both"/>
        <w:rPr>
          <w:rFonts w:cs="Arial"/>
          <w:szCs w:val="22"/>
        </w:rPr>
      </w:pPr>
      <w:r w:rsidRPr="00D81703">
        <w:rPr>
          <w:rFonts w:cs="Arial"/>
          <w:szCs w:val="22"/>
        </w:rPr>
        <w:t>Manager,</w:t>
      </w:r>
      <w:r w:rsidR="00D81703" w:rsidRPr="00D81703">
        <w:rPr>
          <w:rFonts w:cs="Arial"/>
          <w:szCs w:val="22"/>
        </w:rPr>
        <w:t xml:space="preserve"> </w:t>
      </w:r>
      <w:r w:rsidR="006B64DA" w:rsidRPr="00D81703">
        <w:rPr>
          <w:rFonts w:cs="Arial"/>
          <w:szCs w:val="22"/>
        </w:rPr>
        <w:t>business support services</w:t>
      </w:r>
      <w:r w:rsidRPr="00D81703">
        <w:rPr>
          <w:rFonts w:cs="Arial"/>
          <w:szCs w:val="22"/>
        </w:rPr>
        <w:t>:</w:t>
      </w:r>
    </w:p>
    <w:p w14:paraId="3AA26422" w14:textId="48B7BAEC" w:rsidR="008B184C" w:rsidRPr="00D81703" w:rsidRDefault="008B184C" w:rsidP="008B184C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 w:rsidRPr="00D81703">
        <w:rPr>
          <w:rFonts w:cs="Arial"/>
          <w:szCs w:val="22"/>
        </w:rPr>
        <w:t>work with the chief cook to ensure food services are delivered to relevant standards</w:t>
      </w:r>
    </w:p>
    <w:p w14:paraId="02E83F73" w14:textId="4DAC7A12" w:rsidR="008B184C" w:rsidRPr="00D81703" w:rsidRDefault="008B184C" w:rsidP="008B184C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 w:rsidRPr="00D81703">
        <w:rPr>
          <w:rFonts w:cs="Arial"/>
          <w:szCs w:val="22"/>
        </w:rPr>
        <w:t xml:space="preserve">ensure </w:t>
      </w:r>
      <w:r w:rsidR="00F92E98" w:rsidRPr="00D81703">
        <w:rPr>
          <w:rFonts w:cs="Arial"/>
          <w:szCs w:val="22"/>
        </w:rPr>
        <w:t xml:space="preserve">the </w:t>
      </w:r>
      <w:r w:rsidRPr="00D81703">
        <w:rPr>
          <w:rFonts w:cs="Arial"/>
          <w:szCs w:val="22"/>
        </w:rPr>
        <w:t>food safety plan is reviewed annually and developed in accordance with relevant guidelines</w:t>
      </w:r>
    </w:p>
    <w:p w14:paraId="22D6E31D" w14:textId="5361EF18" w:rsidR="008B184C" w:rsidRPr="00D81703" w:rsidRDefault="008B184C" w:rsidP="008B184C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cs="Arial"/>
          <w:szCs w:val="22"/>
        </w:rPr>
      </w:pPr>
      <w:r w:rsidRPr="00D81703">
        <w:rPr>
          <w:rFonts w:cs="Arial"/>
          <w:szCs w:val="22"/>
        </w:rPr>
        <w:t>ensur</w:t>
      </w:r>
      <w:r w:rsidR="003F0D88" w:rsidRPr="00D81703">
        <w:rPr>
          <w:rFonts w:cs="Arial"/>
          <w:szCs w:val="22"/>
        </w:rPr>
        <w:t>e</w:t>
      </w:r>
      <w:r w:rsidRPr="00D81703">
        <w:rPr>
          <w:rFonts w:cs="Arial"/>
          <w:szCs w:val="22"/>
        </w:rPr>
        <w:t xml:space="preserve"> that kitchen staff are provided with food handling and safety training. </w:t>
      </w:r>
    </w:p>
    <w:p w14:paraId="28D39C31" w14:textId="479BE390" w:rsidR="008B184C" w:rsidRDefault="00106161" w:rsidP="00106161">
      <w:pPr>
        <w:numPr>
          <w:ilvl w:val="0"/>
          <w:numId w:val="6"/>
        </w:numPr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ED</w:t>
      </w:r>
      <w:r w:rsidR="008B184C">
        <w:rPr>
          <w:rFonts w:cs="Arial"/>
          <w:szCs w:val="22"/>
        </w:rPr>
        <w:t>:</w:t>
      </w:r>
    </w:p>
    <w:p w14:paraId="591BC74F" w14:textId="24B6EA82" w:rsidR="008B184C" w:rsidRDefault="008B184C" w:rsidP="008B184C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>
        <w:rPr>
          <w:rFonts w:cs="Arial"/>
          <w:szCs w:val="22"/>
        </w:rPr>
        <w:t>approv</w:t>
      </w:r>
      <w:r w:rsidR="00F92E98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</w:t>
      </w:r>
      <w:r w:rsidR="00FA493B">
        <w:rPr>
          <w:rFonts w:cs="Arial"/>
          <w:szCs w:val="22"/>
        </w:rPr>
        <w:t xml:space="preserve">the food safety plan and </w:t>
      </w:r>
      <w:r>
        <w:rPr>
          <w:rFonts w:cs="Arial"/>
          <w:szCs w:val="22"/>
        </w:rPr>
        <w:t>changes to menus</w:t>
      </w:r>
    </w:p>
    <w:p w14:paraId="548DC82A" w14:textId="77777777" w:rsidR="00FA493B" w:rsidRDefault="00D81703" w:rsidP="00FA493B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>
        <w:rPr>
          <w:rFonts w:cs="Arial"/>
          <w:szCs w:val="22"/>
        </w:rPr>
        <w:t>ensure an accredited dietician is engaged on a biennial basis</w:t>
      </w:r>
    </w:p>
    <w:p w14:paraId="08FAD862" w14:textId="77777777" w:rsidR="00FA493B" w:rsidRPr="00FA493B" w:rsidRDefault="00FA493B" w:rsidP="00FA493B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 w:rsidRPr="00FA493B">
        <w:rPr>
          <w:rFonts w:cs="Arial"/>
          <w:szCs w:val="22"/>
        </w:rPr>
        <w:t>ensure staff understand obligations under this policy</w:t>
      </w:r>
      <w:r w:rsidRPr="00FA493B" w:rsidDel="006E2335">
        <w:rPr>
          <w:rFonts w:cs="Arial"/>
        </w:rPr>
        <w:t xml:space="preserve"> </w:t>
      </w:r>
      <w:bookmarkStart w:id="0" w:name="_Hlk93404567"/>
      <w:bookmarkStart w:id="1" w:name="_Hlk93414083"/>
    </w:p>
    <w:p w14:paraId="1E06DE36" w14:textId="77777777" w:rsidR="00FA493B" w:rsidRPr="00FA493B" w:rsidRDefault="00FA493B" w:rsidP="00FA493B">
      <w:pPr>
        <w:pStyle w:val="ListParagraph"/>
        <w:numPr>
          <w:ilvl w:val="0"/>
          <w:numId w:val="8"/>
        </w:numPr>
        <w:suppressAutoHyphens/>
        <w:spacing w:after="0"/>
        <w:ind w:left="720"/>
        <w:rPr>
          <w:rFonts w:cs="Arial"/>
          <w:szCs w:val="22"/>
        </w:rPr>
      </w:pPr>
      <w:r w:rsidRPr="00FA493B">
        <w:rPr>
          <w:rFonts w:cs="Arial"/>
        </w:rPr>
        <w:t>ensure practice, training and learning resources comply with this policy</w:t>
      </w:r>
      <w:bookmarkEnd w:id="0"/>
    </w:p>
    <w:p w14:paraId="4A78C9DD" w14:textId="36476184" w:rsidR="00FA493B" w:rsidRPr="00FA493B" w:rsidRDefault="00FA493B" w:rsidP="00FA493B">
      <w:pPr>
        <w:pStyle w:val="ListParagraph"/>
        <w:numPr>
          <w:ilvl w:val="0"/>
          <w:numId w:val="8"/>
        </w:numPr>
        <w:suppressAutoHyphens/>
        <w:spacing w:after="60"/>
        <w:ind w:left="714" w:hanging="357"/>
        <w:contextualSpacing w:val="0"/>
        <w:rPr>
          <w:rFonts w:cs="Arial"/>
          <w:szCs w:val="22"/>
        </w:rPr>
      </w:pPr>
      <w:r w:rsidRPr="00FA493B">
        <w:rPr>
          <w:rFonts w:cs="Arial"/>
          <w:szCs w:val="22"/>
        </w:rPr>
        <w:t>contribute to policy reviews</w:t>
      </w:r>
      <w:r>
        <w:rPr>
          <w:rFonts w:cs="Arial"/>
          <w:szCs w:val="22"/>
        </w:rPr>
        <w:t>.</w:t>
      </w:r>
    </w:p>
    <w:bookmarkEnd w:id="1"/>
    <w:p w14:paraId="60375361" w14:textId="184F38CC" w:rsidR="008B184C" w:rsidRDefault="008B184C" w:rsidP="00106161">
      <w:pPr>
        <w:numPr>
          <w:ilvl w:val="0"/>
          <w:numId w:val="6"/>
        </w:numPr>
        <w:spacing w:after="120"/>
        <w:ind w:left="357" w:hanging="357"/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>Director,</w:t>
      </w:r>
      <w:r w:rsidR="007A053D">
        <w:rPr>
          <w:rFonts w:cs="Arial"/>
          <w:szCs w:val="22"/>
        </w:rPr>
        <w:t xml:space="preserve"> Statewide Intel and </w:t>
      </w:r>
      <w:r w:rsidR="00F92E98">
        <w:rPr>
          <w:rFonts w:cs="Arial"/>
          <w:szCs w:val="22"/>
        </w:rPr>
        <w:t>Secure Services Support</w:t>
      </w:r>
      <w:r>
        <w:rPr>
          <w:rFonts w:cs="Arial"/>
          <w:szCs w:val="22"/>
        </w:rPr>
        <w:t>:</w:t>
      </w:r>
    </w:p>
    <w:p w14:paraId="5119DE0D" w14:textId="77777777" w:rsidR="00B90983" w:rsidRPr="00B90983" w:rsidRDefault="00B90983" w:rsidP="00B90983">
      <w:pPr>
        <w:pStyle w:val="ListParagraph"/>
        <w:numPr>
          <w:ilvl w:val="1"/>
          <w:numId w:val="12"/>
        </w:numPr>
        <w:tabs>
          <w:tab w:val="clear" w:pos="1213"/>
          <w:tab w:val="num" w:pos="709"/>
        </w:tabs>
        <w:spacing w:after="0"/>
        <w:ind w:hanging="787"/>
        <w:rPr>
          <w:rFonts w:cs="Arial"/>
          <w:szCs w:val="22"/>
        </w:rPr>
      </w:pPr>
      <w:r w:rsidRPr="00B90983">
        <w:rPr>
          <w:rFonts w:cs="Arial"/>
          <w:szCs w:val="22"/>
        </w:rPr>
        <w:t>review and update policy as required</w:t>
      </w:r>
    </w:p>
    <w:p w14:paraId="68686E37" w14:textId="77777777" w:rsidR="00B90983" w:rsidRPr="00B90983" w:rsidRDefault="00B90983" w:rsidP="00B90983">
      <w:pPr>
        <w:pStyle w:val="ListParagraph"/>
        <w:numPr>
          <w:ilvl w:val="1"/>
          <w:numId w:val="12"/>
        </w:numPr>
        <w:tabs>
          <w:tab w:val="clear" w:pos="1213"/>
          <w:tab w:val="num" w:pos="709"/>
        </w:tabs>
        <w:spacing w:after="60"/>
        <w:ind w:hanging="788"/>
        <w:contextualSpacing w:val="0"/>
        <w:rPr>
          <w:rFonts w:cs="Arial"/>
          <w:szCs w:val="22"/>
        </w:rPr>
      </w:pPr>
      <w:r w:rsidRPr="00B90983">
        <w:rPr>
          <w:rFonts w:cs="Arial"/>
          <w:szCs w:val="22"/>
        </w:rPr>
        <w:t>provide practice advice to support compliance with this policy.</w:t>
      </w:r>
    </w:p>
    <w:p w14:paraId="10E3B1CE" w14:textId="264C48E3" w:rsidR="00CB6F52" w:rsidRDefault="00CB6F52" w:rsidP="00106161">
      <w:pPr>
        <w:numPr>
          <w:ilvl w:val="0"/>
          <w:numId w:val="11"/>
        </w:numPr>
        <w:tabs>
          <w:tab w:val="clear" w:pos="227"/>
        </w:tabs>
        <w:spacing w:after="120"/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Training </w:t>
      </w:r>
      <w:r w:rsidR="00106161">
        <w:rPr>
          <w:rFonts w:cs="Arial"/>
          <w:szCs w:val="22"/>
        </w:rPr>
        <w:t>t</w:t>
      </w:r>
      <w:r>
        <w:rPr>
          <w:rFonts w:cs="Arial"/>
          <w:szCs w:val="22"/>
        </w:rPr>
        <w:t>eam</w:t>
      </w:r>
      <w:r w:rsidR="008319E1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p w14:paraId="38E7F10E" w14:textId="3BFA8A1E" w:rsidR="00104252" w:rsidRDefault="00104252" w:rsidP="00CB6F52">
      <w:pPr>
        <w:pStyle w:val="ListParagraph"/>
        <w:numPr>
          <w:ilvl w:val="1"/>
          <w:numId w:val="12"/>
        </w:numPr>
        <w:tabs>
          <w:tab w:val="clear" w:pos="1213"/>
          <w:tab w:val="num" w:pos="709"/>
        </w:tabs>
        <w:spacing w:after="0"/>
        <w:ind w:hanging="787"/>
        <w:rPr>
          <w:rFonts w:cs="Arial"/>
          <w:szCs w:val="22"/>
        </w:rPr>
      </w:pPr>
      <w:r>
        <w:rPr>
          <w:rFonts w:cs="Arial"/>
          <w:szCs w:val="22"/>
        </w:rPr>
        <w:t xml:space="preserve">Ensure </w:t>
      </w:r>
      <w:r w:rsidR="00106161">
        <w:rPr>
          <w:rFonts w:cs="Arial"/>
          <w:szCs w:val="22"/>
        </w:rPr>
        <w:t xml:space="preserve">detention youth workers </w:t>
      </w:r>
      <w:r>
        <w:rPr>
          <w:rFonts w:cs="Arial"/>
          <w:szCs w:val="22"/>
        </w:rPr>
        <w:t>are trained in safe food handling practices</w:t>
      </w:r>
    </w:p>
    <w:p w14:paraId="0A28DBB8" w14:textId="4F1377CE" w:rsidR="00CB6F52" w:rsidRDefault="00CB6F52" w:rsidP="00CB6F52">
      <w:pPr>
        <w:pStyle w:val="ListParagraph"/>
        <w:numPr>
          <w:ilvl w:val="1"/>
          <w:numId w:val="12"/>
        </w:numPr>
        <w:tabs>
          <w:tab w:val="clear" w:pos="1213"/>
          <w:tab w:val="num" w:pos="709"/>
        </w:tabs>
        <w:spacing w:after="0"/>
        <w:ind w:hanging="787"/>
        <w:rPr>
          <w:rFonts w:cs="Arial"/>
          <w:szCs w:val="22"/>
        </w:rPr>
      </w:pPr>
      <w:r>
        <w:rPr>
          <w:rFonts w:cs="Arial"/>
          <w:szCs w:val="22"/>
        </w:rPr>
        <w:t>ensure training content complies with relevant policies and procedures</w:t>
      </w:r>
    </w:p>
    <w:p w14:paraId="60708210" w14:textId="2A0F5A46" w:rsidR="00CB6F52" w:rsidRPr="00CB6F52" w:rsidRDefault="00CB6F52" w:rsidP="00714FC2">
      <w:pPr>
        <w:pStyle w:val="ListParagraph"/>
        <w:numPr>
          <w:ilvl w:val="1"/>
          <w:numId w:val="12"/>
        </w:numPr>
        <w:tabs>
          <w:tab w:val="clear" w:pos="1213"/>
          <w:tab w:val="num" w:pos="709"/>
        </w:tabs>
        <w:ind w:hanging="788"/>
        <w:contextualSpacing w:val="0"/>
        <w:rPr>
          <w:rFonts w:cs="Arial"/>
          <w:szCs w:val="22"/>
        </w:rPr>
      </w:pPr>
      <w:r w:rsidRPr="001722F0">
        <w:rPr>
          <w:rFonts w:cs="Arial"/>
          <w:szCs w:val="22"/>
        </w:rPr>
        <w:t xml:space="preserve">contribute to policy and procedure reviews as required. </w:t>
      </w:r>
    </w:p>
    <w:p w14:paraId="10112325" w14:textId="1A306A94" w:rsidR="00615C0F" w:rsidRPr="000F3089" w:rsidRDefault="00615C0F" w:rsidP="00106161">
      <w:pPr>
        <w:pStyle w:val="Heading2"/>
        <w:rPr>
          <w:color w:val="333333"/>
        </w:rPr>
      </w:pPr>
      <w:r w:rsidRPr="000F3089">
        <w:t>Authority</w:t>
      </w:r>
    </w:p>
    <w:p w14:paraId="7C7E0965" w14:textId="77777777" w:rsidR="008B184C" w:rsidRPr="005433C1" w:rsidRDefault="008B184C" w:rsidP="008B184C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433C1">
        <w:rPr>
          <w:rFonts w:cs="Arial"/>
          <w:b w:val="0"/>
          <w:i/>
          <w:szCs w:val="22"/>
        </w:rPr>
        <w:t>Youth Justice Act 1992</w:t>
      </w:r>
    </w:p>
    <w:p w14:paraId="0A3B686C" w14:textId="77777777" w:rsidR="008B184C" w:rsidRPr="005433C1" w:rsidRDefault="008B184C" w:rsidP="008B184C">
      <w:pPr>
        <w:pStyle w:val="BodyText"/>
        <w:spacing w:after="240"/>
        <w:jc w:val="both"/>
        <w:rPr>
          <w:rFonts w:cs="Arial"/>
          <w:b w:val="0"/>
          <w:i/>
          <w:szCs w:val="22"/>
        </w:rPr>
      </w:pPr>
      <w:r w:rsidRPr="005433C1">
        <w:rPr>
          <w:rFonts w:cs="Arial"/>
          <w:b w:val="0"/>
          <w:i/>
          <w:szCs w:val="22"/>
        </w:rPr>
        <w:t xml:space="preserve">Youth Justice Regulation 2016 </w:t>
      </w:r>
    </w:p>
    <w:p w14:paraId="2421AD1C" w14:textId="784CA353" w:rsidR="00615C0F" w:rsidRPr="007E5EC6" w:rsidRDefault="00275ED9" w:rsidP="00106161">
      <w:pPr>
        <w:pStyle w:val="Heading2"/>
      </w:pPr>
      <w:r>
        <w:br w:type="page"/>
      </w:r>
      <w:r w:rsidR="00615C0F" w:rsidRPr="007E5EC6">
        <w:lastRenderedPageBreak/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B184C" w:rsidRPr="001A6615" w14:paraId="7DBFC7A4" w14:textId="77777777" w:rsidTr="00F32EAF">
        <w:tc>
          <w:tcPr>
            <w:tcW w:w="4788" w:type="dxa"/>
            <w:shd w:val="clear" w:color="auto" w:fill="D9D9D9"/>
          </w:tcPr>
          <w:p w14:paraId="3AFAD5A7" w14:textId="77777777" w:rsidR="008B184C" w:rsidRPr="001A6615" w:rsidRDefault="008B184C" w:rsidP="00F32EAF">
            <w:pPr>
              <w:pStyle w:val="Header"/>
              <w:tabs>
                <w:tab w:val="left" w:pos="2835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1A6615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43E33046" w14:textId="77777777" w:rsidR="008B184C" w:rsidRPr="001A6615" w:rsidRDefault="008B184C" w:rsidP="00F32EAF">
            <w:pPr>
              <w:pStyle w:val="Header"/>
              <w:tabs>
                <w:tab w:val="left" w:pos="2835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1A6615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3D70FD" w:rsidRPr="00254EA2" w14:paraId="485E7497" w14:textId="77777777" w:rsidTr="00706FE8">
        <w:trPr>
          <w:trHeight w:val="1125"/>
        </w:trPr>
        <w:tc>
          <w:tcPr>
            <w:tcW w:w="4788" w:type="dxa"/>
            <w:shd w:val="clear" w:color="auto" w:fill="auto"/>
          </w:tcPr>
          <w:p w14:paraId="43BF7E46" w14:textId="77777777" w:rsidR="00706FE8" w:rsidRPr="00820B5A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Deputy Director-General</w:t>
            </w:r>
          </w:p>
          <w:p w14:paraId="245C1567" w14:textId="77777777" w:rsidR="00706FE8" w:rsidRPr="00AE5E0B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Assistant Chief Operating Officer</w:t>
            </w:r>
          </w:p>
          <w:p w14:paraId="7BADDF50" w14:textId="77777777" w:rsidR="00706FE8" w:rsidRPr="00AE5E0B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Senior Executive Director</w:t>
            </w:r>
          </w:p>
          <w:p w14:paraId="585D0A87" w14:textId="77777777" w:rsidR="00706FE8" w:rsidRDefault="00706FE8">
            <w:pPr>
              <w:spacing w:after="0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0469D0A9" w14:textId="77777777" w:rsidR="00706FE8" w:rsidRPr="00AE5E0B" w:rsidRDefault="00706FE8">
            <w:pPr>
              <w:spacing w:after="0"/>
              <w:rPr>
                <w:rFonts w:cs="Arial"/>
                <w:sz w:val="18"/>
                <w:szCs w:val="18"/>
              </w:rPr>
            </w:pPr>
            <w:r w:rsidRPr="00983C00">
              <w:rPr>
                <w:rFonts w:cs="Arial"/>
                <w:sz w:val="18"/>
                <w:szCs w:val="18"/>
              </w:rPr>
              <w:t>Director, Youth Justice Regional Operations</w:t>
            </w:r>
          </w:p>
          <w:p w14:paraId="016FBA9F" w14:textId="79583631" w:rsidR="003D70FD" w:rsidRPr="00A449D8" w:rsidRDefault="00706FE8" w:rsidP="00096B41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 xml:space="preserve">Director, </w:t>
            </w:r>
            <w:r>
              <w:rPr>
                <w:rFonts w:cs="Arial"/>
                <w:sz w:val="18"/>
                <w:szCs w:val="18"/>
              </w:rPr>
              <w:t>Statewide Intel and Secure Services Support</w:t>
            </w:r>
          </w:p>
        </w:tc>
        <w:tc>
          <w:tcPr>
            <w:tcW w:w="4788" w:type="dxa"/>
            <w:shd w:val="clear" w:color="auto" w:fill="auto"/>
          </w:tcPr>
          <w:p w14:paraId="4C85AD55" w14:textId="00807F33" w:rsidR="003D70FD" w:rsidRDefault="003D70FD" w:rsidP="003D70FD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A449D8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A449D8">
              <w:rPr>
                <w:rFonts w:cs="Arial"/>
                <w:sz w:val="18"/>
                <w:szCs w:val="18"/>
              </w:rPr>
              <w:t xml:space="preserve">Section 263 (2) – Issue directions, codes, standards and guidelines for the security and management of detention centres and the safe custody and wellbeing of children in detention. </w:t>
            </w:r>
          </w:p>
          <w:p w14:paraId="36572620" w14:textId="200D90F8" w:rsidR="003C6D17" w:rsidRPr="00A449D8" w:rsidRDefault="003C6D17" w:rsidP="003D70FD">
            <w:pPr>
              <w:tabs>
                <w:tab w:val="left" w:pos="2835"/>
                <w:tab w:val="center" w:pos="4153"/>
                <w:tab w:val="right" w:pos="8306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8B184C" w:rsidRPr="00254EA2" w14:paraId="0D0207A1" w14:textId="77777777" w:rsidTr="00F32EAF">
        <w:tc>
          <w:tcPr>
            <w:tcW w:w="4788" w:type="dxa"/>
            <w:shd w:val="clear" w:color="auto" w:fill="auto"/>
          </w:tcPr>
          <w:p w14:paraId="58DB9DE0" w14:textId="26C374F8" w:rsidR="003C6D17" w:rsidRPr="003C6D17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 xml:space="preserve">Deputy Director-General </w:t>
            </w:r>
          </w:p>
          <w:p w14:paraId="6A05A9D2" w14:textId="77777777" w:rsidR="003C6D17" w:rsidRPr="003C6D17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 xml:space="preserve">Assistant Chief Operating Officer </w:t>
            </w:r>
          </w:p>
          <w:p w14:paraId="165107D4" w14:textId="77777777" w:rsidR="003C6D17" w:rsidRPr="003C6D17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 xml:space="preserve">Senior Executive Director </w:t>
            </w:r>
          </w:p>
          <w:p w14:paraId="27702CF6" w14:textId="77777777" w:rsidR="003C6D17" w:rsidRPr="003C6D17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>Executive Director, Youth Detention Centre</w:t>
            </w:r>
          </w:p>
          <w:p w14:paraId="2644AAB3" w14:textId="68F56F38" w:rsidR="003C6D17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>Deputy Director, Youth Detention Centre</w:t>
            </w:r>
          </w:p>
          <w:p w14:paraId="7E09B972" w14:textId="77777777" w:rsidR="00706FE8" w:rsidRPr="003C6D17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Assistant Director, Youth Detention Centre</w:t>
            </w:r>
          </w:p>
          <w:p w14:paraId="097C1C40" w14:textId="606A8B6F" w:rsidR="003C6D17" w:rsidRDefault="007F4F9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Director, Learning and Development</w:t>
            </w:r>
          </w:p>
          <w:p w14:paraId="7A0C9A77" w14:textId="2ADAE655" w:rsidR="003C6D17" w:rsidRPr="00461940" w:rsidRDefault="003C6D17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b/>
                <w:sz w:val="18"/>
                <w:szCs w:val="18"/>
              </w:rPr>
            </w:pPr>
            <w:r w:rsidRPr="003C6D17">
              <w:rPr>
                <w:sz w:val="18"/>
                <w:szCs w:val="20"/>
              </w:rPr>
              <w:t>Principal Inspector</w:t>
            </w:r>
          </w:p>
        </w:tc>
        <w:tc>
          <w:tcPr>
            <w:tcW w:w="4788" w:type="dxa"/>
            <w:shd w:val="clear" w:color="auto" w:fill="auto"/>
          </w:tcPr>
          <w:p w14:paraId="508EAFFB" w14:textId="77777777" w:rsidR="008B184C" w:rsidRPr="00096B41" w:rsidRDefault="008B184C" w:rsidP="00F32EAF">
            <w:pPr>
              <w:pStyle w:val="Header"/>
              <w:tabs>
                <w:tab w:val="left" w:pos="2835"/>
              </w:tabs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96B41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096B41">
              <w:rPr>
                <w:rFonts w:cs="Arial"/>
                <w:sz w:val="18"/>
                <w:szCs w:val="18"/>
              </w:rPr>
              <w:t>Section 263 (4) – Monitor operation of detention centres.</w:t>
            </w:r>
          </w:p>
        </w:tc>
      </w:tr>
      <w:tr w:rsidR="003D70FD" w:rsidRPr="00254EA2" w14:paraId="7F4168AA" w14:textId="77777777" w:rsidTr="00F65811">
        <w:trPr>
          <w:trHeight w:val="1349"/>
        </w:trPr>
        <w:tc>
          <w:tcPr>
            <w:tcW w:w="4788" w:type="dxa"/>
            <w:shd w:val="clear" w:color="auto" w:fill="auto"/>
          </w:tcPr>
          <w:p w14:paraId="22326C7A" w14:textId="77777777" w:rsidR="00706FE8" w:rsidRPr="00820B5A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Deputy Director-General</w:t>
            </w:r>
          </w:p>
          <w:p w14:paraId="037848F5" w14:textId="77777777" w:rsidR="00706FE8" w:rsidRPr="00AE5E0B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Assistant Chief Operating Officer</w:t>
            </w:r>
          </w:p>
          <w:p w14:paraId="3893A12B" w14:textId="77777777" w:rsidR="00706FE8" w:rsidRPr="00AE5E0B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Senior Executive Director</w:t>
            </w:r>
          </w:p>
          <w:p w14:paraId="129AB103" w14:textId="77777777" w:rsidR="00706FE8" w:rsidRDefault="00706FE8">
            <w:pPr>
              <w:spacing w:after="0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53857104" w14:textId="77777777" w:rsidR="00706FE8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 w:rsidRPr="003C6D17">
              <w:rPr>
                <w:sz w:val="18"/>
                <w:szCs w:val="20"/>
              </w:rPr>
              <w:t>Deputy Director, Youth Detention Centre</w:t>
            </w:r>
          </w:p>
          <w:p w14:paraId="414D97BF" w14:textId="77777777" w:rsidR="00706FE8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Assistant Director, Youth Detention Centre</w:t>
            </w:r>
          </w:p>
          <w:p w14:paraId="58C34670" w14:textId="77777777" w:rsidR="00706FE8" w:rsidRPr="00F65811" w:rsidRDefault="00706FE8" w:rsidP="00096B41">
            <w:pPr>
              <w:spacing w:after="0"/>
              <w:rPr>
                <w:rFonts w:cs="Arial"/>
                <w:sz w:val="18"/>
                <w:szCs w:val="18"/>
              </w:rPr>
            </w:pPr>
            <w:r w:rsidRPr="00983C00">
              <w:rPr>
                <w:rFonts w:cs="Arial"/>
                <w:sz w:val="18"/>
                <w:szCs w:val="18"/>
              </w:rPr>
              <w:t xml:space="preserve">Director, Youth Justice Regional Operations </w:t>
            </w:r>
          </w:p>
          <w:p w14:paraId="33B0DDE4" w14:textId="4823FEEB" w:rsidR="003D70FD" w:rsidRDefault="00706FE8">
            <w:pPr>
              <w:tabs>
                <w:tab w:val="left" w:pos="2835"/>
                <w:tab w:val="center" w:pos="4153"/>
                <w:tab w:val="right" w:pos="8306"/>
              </w:tabs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E5E0B">
              <w:rPr>
                <w:rFonts w:cs="Arial"/>
                <w:sz w:val="18"/>
                <w:szCs w:val="18"/>
              </w:rPr>
              <w:t xml:space="preserve">Director, </w:t>
            </w:r>
            <w:r>
              <w:rPr>
                <w:rFonts w:cs="Arial"/>
                <w:sz w:val="18"/>
                <w:szCs w:val="18"/>
              </w:rPr>
              <w:t>Statewide Intel and Secure Services Support</w:t>
            </w:r>
          </w:p>
        </w:tc>
        <w:tc>
          <w:tcPr>
            <w:tcW w:w="4788" w:type="dxa"/>
            <w:shd w:val="clear" w:color="auto" w:fill="auto"/>
          </w:tcPr>
          <w:p w14:paraId="233D3C5C" w14:textId="77777777" w:rsidR="003D70FD" w:rsidRPr="00096B41" w:rsidRDefault="003D70FD" w:rsidP="003D70FD">
            <w:pPr>
              <w:tabs>
                <w:tab w:val="left" w:pos="2835"/>
                <w:tab w:val="center" w:pos="4153"/>
                <w:tab w:val="right" w:pos="8306"/>
              </w:tabs>
              <w:spacing w:before="60" w:after="0"/>
              <w:jc w:val="both"/>
              <w:rPr>
                <w:rFonts w:cs="Arial"/>
                <w:i/>
                <w:sz w:val="18"/>
                <w:szCs w:val="18"/>
              </w:rPr>
            </w:pPr>
            <w:r w:rsidRPr="00096B41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096B41">
              <w:rPr>
                <w:rFonts w:cs="Arial"/>
                <w:sz w:val="18"/>
                <w:szCs w:val="18"/>
              </w:rPr>
              <w:t>Section 263 (5) – Comply with youth justice principles.</w:t>
            </w:r>
          </w:p>
        </w:tc>
      </w:tr>
    </w:tbl>
    <w:p w14:paraId="7921F93F" w14:textId="333B61D7" w:rsidR="008B184C" w:rsidRDefault="008B184C" w:rsidP="00106161">
      <w:pPr>
        <w:pStyle w:val="Heading2"/>
      </w:pPr>
      <w:r>
        <w:t>Definitions</w:t>
      </w:r>
    </w:p>
    <w:p w14:paraId="2763EDCF" w14:textId="77777777" w:rsidR="008B184C" w:rsidRDefault="008B184C" w:rsidP="008B184C">
      <w:pPr>
        <w:jc w:val="both"/>
        <w:rPr>
          <w:rFonts w:cs="Arial"/>
          <w:szCs w:val="22"/>
        </w:rPr>
      </w:pPr>
      <w:r w:rsidRPr="00102987">
        <w:rPr>
          <w:rFonts w:cs="Arial"/>
          <w:szCs w:val="22"/>
        </w:rPr>
        <w:t>For the purpose of this policy, the following definitions shall apply: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30"/>
      </w:tblGrid>
      <w:tr w:rsidR="008B184C" w:rsidRPr="00102987" w14:paraId="1018CAB8" w14:textId="77777777" w:rsidTr="00F32EAF">
        <w:trPr>
          <w:trHeight w:val="433"/>
        </w:trPr>
        <w:tc>
          <w:tcPr>
            <w:tcW w:w="2376" w:type="dxa"/>
            <w:shd w:val="clear" w:color="auto" w:fill="C0C0C0"/>
          </w:tcPr>
          <w:p w14:paraId="3FA6E4DB" w14:textId="77777777" w:rsidR="008B184C" w:rsidRPr="00106161" w:rsidRDefault="008B184C" w:rsidP="00106161">
            <w:pPr>
              <w:spacing w:before="60" w:after="60" w:line="24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6161">
              <w:rPr>
                <w:rFonts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7230" w:type="dxa"/>
            <w:shd w:val="clear" w:color="auto" w:fill="C0C0C0"/>
          </w:tcPr>
          <w:p w14:paraId="00A68A6B" w14:textId="77777777" w:rsidR="008B184C" w:rsidRPr="00106161" w:rsidRDefault="008B184C" w:rsidP="00106161">
            <w:pPr>
              <w:spacing w:before="60" w:after="60" w:line="24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06161">
              <w:rPr>
                <w:rFonts w:cs="Arial"/>
                <w:b/>
                <w:bCs/>
                <w:sz w:val="20"/>
                <w:szCs w:val="20"/>
              </w:rPr>
              <w:t>Definition</w:t>
            </w:r>
          </w:p>
        </w:tc>
      </w:tr>
      <w:tr w:rsidR="008B184C" w:rsidRPr="00102987" w14:paraId="6C53B7E5" w14:textId="77777777" w:rsidTr="00F32EAF">
        <w:trPr>
          <w:trHeight w:val="883"/>
        </w:trPr>
        <w:tc>
          <w:tcPr>
            <w:tcW w:w="2376" w:type="dxa"/>
            <w:shd w:val="clear" w:color="auto" w:fill="auto"/>
          </w:tcPr>
          <w:p w14:paraId="2225AFE4" w14:textId="77777777" w:rsidR="008B184C" w:rsidRPr="00106161" w:rsidRDefault="008B184C" w:rsidP="00106161">
            <w:pPr>
              <w:pStyle w:val="Header"/>
              <w:tabs>
                <w:tab w:val="left" w:pos="2835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Buy up scheme</w:t>
            </w:r>
          </w:p>
        </w:tc>
        <w:tc>
          <w:tcPr>
            <w:tcW w:w="7230" w:type="dxa"/>
            <w:shd w:val="clear" w:color="auto" w:fill="auto"/>
          </w:tcPr>
          <w:p w14:paraId="1AD981E7" w14:textId="77777777" w:rsidR="008B184C" w:rsidRPr="00106161" w:rsidRDefault="008B184C" w:rsidP="0010616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Buy ups are items available to young people for purchase on a weekly basis. Young people can use their own money and/or the government issued weekly allowance of $6.40 (jointly funded by Commonwealth, via Centrelink, and State governments) to purchase items.</w:t>
            </w:r>
          </w:p>
          <w:p w14:paraId="2559425D" w14:textId="77777777" w:rsidR="008B184C" w:rsidRPr="00106161" w:rsidRDefault="008B184C" w:rsidP="00106161">
            <w:pPr>
              <w:spacing w:before="60" w:after="6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106161">
              <w:rPr>
                <w:rFonts w:cs="Arial"/>
                <w:sz w:val="20"/>
                <w:szCs w:val="20"/>
              </w:rPr>
              <w:t xml:space="preserve">Access to buy up items are linked to the incentive scheme. Positive behaviour provides greater access, while misbehaviour restricts access. </w:t>
            </w:r>
          </w:p>
        </w:tc>
      </w:tr>
      <w:tr w:rsidR="008B184C" w:rsidRPr="00102987" w14:paraId="48B52FDC" w14:textId="77777777" w:rsidTr="00F32EAF">
        <w:trPr>
          <w:trHeight w:val="883"/>
        </w:trPr>
        <w:tc>
          <w:tcPr>
            <w:tcW w:w="2376" w:type="dxa"/>
            <w:shd w:val="clear" w:color="auto" w:fill="auto"/>
          </w:tcPr>
          <w:p w14:paraId="62C2C709" w14:textId="77777777" w:rsidR="008B184C" w:rsidRPr="00106161" w:rsidRDefault="008B184C" w:rsidP="00106161">
            <w:pPr>
              <w:pStyle w:val="Header"/>
              <w:tabs>
                <w:tab w:val="left" w:pos="2835"/>
              </w:tabs>
              <w:spacing w:before="60" w:after="60"/>
              <w:rPr>
                <w:rFonts w:cs="Arial"/>
                <w:sz w:val="20"/>
                <w:szCs w:val="20"/>
              </w:rPr>
            </w:pPr>
            <w:proofErr w:type="gramStart"/>
            <w:r w:rsidRPr="00106161">
              <w:rPr>
                <w:rFonts w:cs="Arial"/>
                <w:sz w:val="20"/>
                <w:szCs w:val="20"/>
              </w:rPr>
              <w:t>Meal times</w:t>
            </w:r>
            <w:proofErr w:type="gramEnd"/>
          </w:p>
        </w:tc>
        <w:tc>
          <w:tcPr>
            <w:tcW w:w="7230" w:type="dxa"/>
            <w:shd w:val="clear" w:color="auto" w:fill="auto"/>
          </w:tcPr>
          <w:p w14:paraId="655A89A5" w14:textId="77777777" w:rsidR="008B184C" w:rsidRPr="00106161" w:rsidRDefault="008B184C" w:rsidP="00106161">
            <w:pPr>
              <w:spacing w:before="60" w:after="120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106161">
              <w:rPr>
                <w:rFonts w:cs="Arial"/>
                <w:sz w:val="20"/>
                <w:szCs w:val="20"/>
              </w:rPr>
              <w:t>Meal times</w:t>
            </w:r>
            <w:proofErr w:type="gramEnd"/>
            <w:r w:rsidRPr="00106161">
              <w:rPr>
                <w:rFonts w:cs="Arial"/>
                <w:sz w:val="20"/>
                <w:szCs w:val="20"/>
              </w:rPr>
              <w:t xml:space="preserve"> refers to:</w:t>
            </w:r>
          </w:p>
          <w:p w14:paraId="5D5F75ED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breakfast</w:t>
            </w:r>
          </w:p>
          <w:p w14:paraId="323BF006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morning tea</w:t>
            </w:r>
          </w:p>
          <w:p w14:paraId="4073D160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lunch</w:t>
            </w:r>
          </w:p>
          <w:p w14:paraId="36341662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afternoon tea</w:t>
            </w:r>
          </w:p>
          <w:p w14:paraId="074B8486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>dinner</w:t>
            </w:r>
          </w:p>
          <w:p w14:paraId="7727B0C3" w14:textId="77777777" w:rsidR="008B184C" w:rsidRPr="00106161" w:rsidRDefault="008B184C" w:rsidP="00106161">
            <w:pPr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rFonts w:cs="Arial"/>
                <w:sz w:val="20"/>
                <w:szCs w:val="20"/>
              </w:rPr>
            </w:pPr>
            <w:r w:rsidRPr="00106161">
              <w:rPr>
                <w:rFonts w:cs="Arial"/>
                <w:sz w:val="20"/>
                <w:szCs w:val="20"/>
              </w:rPr>
              <w:t xml:space="preserve">supper, if requested by the young person </w:t>
            </w:r>
          </w:p>
        </w:tc>
      </w:tr>
    </w:tbl>
    <w:p w14:paraId="13FA5AEC" w14:textId="77777777" w:rsidR="00106161" w:rsidRPr="00BE1C55" w:rsidRDefault="00106161" w:rsidP="00106161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067ECC81" w14:textId="77777777" w:rsidR="00106161" w:rsidRPr="00BE1C55" w:rsidRDefault="00106161" w:rsidP="00106161">
      <w:pPr>
        <w:rPr>
          <w:rFonts w:eastAsiaTheme="minorHAnsi"/>
          <w:color w:val="044A91"/>
          <w:u w:val="single"/>
        </w:rPr>
      </w:pPr>
      <w:r w:rsidRPr="00BE1C55">
        <w:t xml:space="preserve">Youth Justice is committed to respecting, protecting and promoting human rights. Under the </w:t>
      </w:r>
      <w:hyperlink r:id="rId11" w:history="1">
        <w:r w:rsidRPr="00BE1C55">
          <w:rPr>
            <w:i/>
            <w:iCs/>
            <w:color w:val="0563C1"/>
            <w:u w:val="single"/>
          </w:rPr>
          <w:t>Human Rights Act 2019</w:t>
        </w:r>
      </w:hyperlink>
      <w:r w:rsidRPr="00BE1C55">
        <w:t xml:space="preserve">, Youth Justice has an obligation to act and make decisions in a way that is compatible with and properly considers human rights.  When </w:t>
      </w:r>
      <w:proofErr w:type="gramStart"/>
      <w:r w:rsidRPr="00BE1C55">
        <w:t>making a decision</w:t>
      </w:r>
      <w:proofErr w:type="gramEnd"/>
      <w:r w:rsidRPr="00BE1C55">
        <w:t xml:space="preserve"> about the care and management of young people, decision-makers must comply with that obligation. </w:t>
      </w:r>
    </w:p>
    <w:p w14:paraId="49783041" w14:textId="77777777" w:rsidR="00106161" w:rsidRPr="00BE1C55" w:rsidRDefault="00106161" w:rsidP="00106161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lastRenderedPageBreak/>
        <w:t>Multicultural Queensland Charter</w:t>
      </w:r>
    </w:p>
    <w:p w14:paraId="22DFFAB7" w14:textId="77777777" w:rsidR="00106161" w:rsidRPr="00BE1C55" w:rsidRDefault="00106161" w:rsidP="00106161">
      <w:pPr>
        <w:rPr>
          <w:rFonts w:eastAsiaTheme="minorHAnsi"/>
        </w:rPr>
      </w:pPr>
      <w:r w:rsidRPr="00BE1C55">
        <w:t xml:space="preserve">Youth Justice supports the </w:t>
      </w:r>
      <w:hyperlink r:id="rId12" w:history="1">
        <w:r w:rsidRPr="00BE1C55">
          <w:rPr>
            <w:color w:val="0563C1"/>
            <w:u w:val="single"/>
          </w:rPr>
          <w:t>Multicultural Queensland Charter</w:t>
        </w:r>
      </w:hyperlink>
      <w:r w:rsidRPr="00BE1C55">
        <w:t xml:space="preserve">, established under the </w:t>
      </w:r>
      <w:r w:rsidRPr="00BE1C55">
        <w:rPr>
          <w:i/>
          <w:iCs/>
        </w:rPr>
        <w:t>Multicultural Recognition Act 2016</w:t>
      </w:r>
      <w:r w:rsidRPr="00BE1C55">
        <w:t xml:space="preserve"> (Qld).  The Charter seeks to promote Queensland as a unified, harmonious and inclusive community. </w:t>
      </w:r>
    </w:p>
    <w:p w14:paraId="05A214CD" w14:textId="77777777" w:rsidR="00106161" w:rsidRPr="00BE1C55" w:rsidRDefault="00106161" w:rsidP="00106161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3604B98A" w14:textId="77777777" w:rsidR="00106161" w:rsidRPr="00BE1C55" w:rsidRDefault="00106161" w:rsidP="00106161">
      <w:pPr>
        <w:rPr>
          <w:rFonts w:eastAsiaTheme="minorHAnsi"/>
          <w:b/>
          <w:bCs/>
        </w:rPr>
      </w:pPr>
      <w:r w:rsidRPr="00BE1C55">
        <w:rPr>
          <w:color w:val="000000"/>
        </w:rPr>
        <w:t xml:space="preserve">The Royal Commission into Institutionalised Responses to Child Sexual Abuse developed several national </w:t>
      </w:r>
      <w:hyperlink r:id="rId13" w:history="1">
        <w:r w:rsidRPr="00BE1C55">
          <w:rPr>
            <w:color w:val="0563C1"/>
            <w:u w:val="single"/>
          </w:rPr>
          <w:t>child safe standards</w:t>
        </w:r>
      </w:hyperlink>
      <w:r w:rsidRPr="00BE1C55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6E4EBE65" w14:textId="77777777" w:rsidR="00106161" w:rsidRPr="00BE1C55" w:rsidRDefault="00106161" w:rsidP="00106161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State disability plan</w:t>
      </w:r>
    </w:p>
    <w:p w14:paraId="314C7F6A" w14:textId="6D4EDADE" w:rsidR="008B184C" w:rsidRPr="000F3089" w:rsidRDefault="00106161" w:rsidP="00106161">
      <w:pPr>
        <w:rPr>
          <w:szCs w:val="22"/>
        </w:rPr>
      </w:pPr>
      <w:r w:rsidRPr="00BE1C55">
        <w:t>Youth Justice </w:t>
      </w:r>
      <w:r w:rsidRPr="00BE1C55">
        <w:rPr>
          <w:color w:val="000000"/>
        </w:rPr>
        <w:t>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14" w:history="1">
        <w:r w:rsidRPr="00BE1C55">
          <w:rPr>
            <w:color w:val="0066CC"/>
            <w:u w:val="single"/>
          </w:rPr>
          <w:t>All Abilities Queensland: opportunities for all</w:t>
        </w:r>
      </w:hyperlink>
      <w:r w:rsidRPr="00BE1C55">
        <w:rPr>
          <w:color w:val="000000"/>
        </w:rPr>
        <w:t> state disability plan and support improved access to services for Queenslanders with disability.</w:t>
      </w:r>
    </w:p>
    <w:p w14:paraId="5EC0CE43" w14:textId="77777777" w:rsidR="00615C0F" w:rsidRPr="000F3089" w:rsidRDefault="00615C0F" w:rsidP="00106161">
      <w:pPr>
        <w:pBdr>
          <w:top w:val="single" w:sz="4" w:space="1" w:color="auto"/>
        </w:pBd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 xml:space="preserve">Records </w:t>
      </w:r>
      <w:r w:rsidR="00095E28">
        <w:rPr>
          <w:b/>
          <w:szCs w:val="22"/>
        </w:rPr>
        <w:t>f</w:t>
      </w:r>
      <w:r w:rsidRPr="000F3089">
        <w:rPr>
          <w:b/>
          <w:szCs w:val="22"/>
        </w:rPr>
        <w:t xml:space="preserve">ile </w:t>
      </w:r>
      <w:r w:rsidR="00095E28">
        <w:rPr>
          <w:b/>
          <w:szCs w:val="22"/>
        </w:rPr>
        <w:t>n</w:t>
      </w:r>
      <w:r w:rsidRPr="000F3089">
        <w:rPr>
          <w:b/>
          <w:szCs w:val="22"/>
        </w:rPr>
        <w:t>o.:</w:t>
      </w:r>
      <w:r w:rsidRPr="000F3089">
        <w:rPr>
          <w:szCs w:val="22"/>
        </w:rPr>
        <w:t xml:space="preserve"> </w:t>
      </w:r>
      <w:r w:rsidRPr="000F3089">
        <w:rPr>
          <w:szCs w:val="22"/>
        </w:rPr>
        <w:tab/>
      </w:r>
      <w:r w:rsidR="008B184C">
        <w:rPr>
          <w:szCs w:val="22"/>
        </w:rPr>
        <w:t xml:space="preserve">nil </w:t>
      </w:r>
    </w:p>
    <w:p w14:paraId="25B5C87E" w14:textId="77777777" w:rsidR="00615C0F" w:rsidRDefault="008B184C" w:rsidP="00615C0F">
      <w:pPr>
        <w:tabs>
          <w:tab w:val="left" w:pos="2552"/>
        </w:tabs>
        <w:rPr>
          <w:szCs w:val="22"/>
        </w:rPr>
      </w:pPr>
      <w:r>
        <w:rPr>
          <w:b/>
          <w:szCs w:val="22"/>
        </w:rPr>
        <w:t xml:space="preserve">Version number: </w:t>
      </w:r>
      <w:r w:rsidR="00615C0F" w:rsidRPr="000F3089">
        <w:rPr>
          <w:szCs w:val="22"/>
        </w:rPr>
        <w:tab/>
      </w:r>
      <w:r>
        <w:rPr>
          <w:szCs w:val="22"/>
        </w:rPr>
        <w:t>1.2</w:t>
      </w:r>
    </w:p>
    <w:p w14:paraId="49D94FAE" w14:textId="3CE1BE08" w:rsidR="008B184C" w:rsidRDefault="008B184C" w:rsidP="00615C0F">
      <w:pPr>
        <w:tabs>
          <w:tab w:val="left" w:pos="2552"/>
        </w:tabs>
        <w:rPr>
          <w:szCs w:val="22"/>
        </w:rPr>
      </w:pPr>
      <w:r w:rsidRPr="008B184C">
        <w:rPr>
          <w:b/>
          <w:szCs w:val="22"/>
        </w:rPr>
        <w:t xml:space="preserve">Date of approval: </w:t>
      </w:r>
      <w:r>
        <w:rPr>
          <w:b/>
          <w:szCs w:val="22"/>
        </w:rPr>
        <w:tab/>
      </w:r>
      <w:r w:rsidR="00670F35">
        <w:rPr>
          <w:szCs w:val="22"/>
        </w:rPr>
        <w:t>8 February 2022</w:t>
      </w:r>
      <w:r>
        <w:rPr>
          <w:szCs w:val="22"/>
        </w:rPr>
        <w:t xml:space="preserve"> </w:t>
      </w:r>
    </w:p>
    <w:p w14:paraId="30D2B21C" w14:textId="77777777" w:rsidR="008B184C" w:rsidRDefault="008B184C" w:rsidP="008B184C">
      <w:pPr>
        <w:tabs>
          <w:tab w:val="left" w:pos="2552"/>
        </w:tabs>
        <w:rPr>
          <w:szCs w:val="22"/>
        </w:rPr>
      </w:pPr>
      <w:r w:rsidRPr="008B184C">
        <w:rPr>
          <w:b/>
          <w:szCs w:val="22"/>
        </w:rPr>
        <w:t xml:space="preserve">Approved </w:t>
      </w:r>
      <w:proofErr w:type="gramStart"/>
      <w:r w:rsidRPr="008B184C">
        <w:rPr>
          <w:b/>
          <w:szCs w:val="22"/>
        </w:rPr>
        <w:t>by:</w:t>
      </w:r>
      <w:proofErr w:type="gramEnd"/>
      <w:r w:rsidRPr="008B184C"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szCs w:val="22"/>
        </w:rPr>
        <w:t>1.0 Director-General (23 September 2013)</w:t>
      </w:r>
    </w:p>
    <w:p w14:paraId="1E07A53B" w14:textId="77777777" w:rsidR="008B184C" w:rsidRPr="00292660" w:rsidRDefault="008B184C" w:rsidP="008B184C">
      <w:pPr>
        <w:pStyle w:val="ListParagraph"/>
        <w:numPr>
          <w:ilvl w:val="1"/>
          <w:numId w:val="10"/>
        </w:numPr>
        <w:tabs>
          <w:tab w:val="left" w:pos="2552"/>
        </w:tabs>
        <w:rPr>
          <w:szCs w:val="22"/>
        </w:rPr>
      </w:pPr>
      <w:r w:rsidRPr="00292660">
        <w:rPr>
          <w:szCs w:val="22"/>
        </w:rPr>
        <w:t>Director, Practice Program and Design (16 November 2017)</w:t>
      </w:r>
    </w:p>
    <w:p w14:paraId="78E304B8" w14:textId="072118C7" w:rsidR="008B184C" w:rsidRPr="00EF6B44" w:rsidRDefault="00EF6B44" w:rsidP="00EF6B44">
      <w:pPr>
        <w:pStyle w:val="ListParagraph"/>
        <w:numPr>
          <w:ilvl w:val="1"/>
          <w:numId w:val="10"/>
        </w:numPr>
        <w:tabs>
          <w:tab w:val="left" w:pos="2552"/>
        </w:tabs>
        <w:rPr>
          <w:szCs w:val="22"/>
        </w:rPr>
      </w:pPr>
      <w:r>
        <w:rPr>
          <w:szCs w:val="22"/>
        </w:rPr>
        <w:t>Director, Statewide Intel and Secure Services Support (8 February 2022)</w:t>
      </w:r>
    </w:p>
    <w:p w14:paraId="3838F43D" w14:textId="77777777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Date of operation:</w:t>
      </w:r>
      <w:r w:rsidR="008B184C">
        <w:rPr>
          <w:szCs w:val="22"/>
        </w:rPr>
        <w:tab/>
        <w:t>1 November 2013</w:t>
      </w:r>
    </w:p>
    <w:p w14:paraId="7BFEA97D" w14:textId="77777777" w:rsidR="00615C0F" w:rsidRPr="000F3089" w:rsidRDefault="00615C0F" w:rsidP="00096B41">
      <w:pPr>
        <w:tabs>
          <w:tab w:val="left" w:pos="2552"/>
        </w:tabs>
        <w:spacing w:after="120"/>
        <w:rPr>
          <w:szCs w:val="22"/>
        </w:rPr>
      </w:pPr>
      <w:r w:rsidRPr="000F3089">
        <w:rPr>
          <w:b/>
          <w:szCs w:val="22"/>
        </w:rPr>
        <w:t>Date to be reviewed:</w:t>
      </w:r>
      <w:r w:rsidRPr="000F3089">
        <w:rPr>
          <w:szCs w:val="22"/>
        </w:rPr>
        <w:tab/>
      </w:r>
      <w:r w:rsidR="008B184C">
        <w:rPr>
          <w:szCs w:val="22"/>
        </w:rPr>
        <w:t xml:space="preserve">3 years from the date of approval </w:t>
      </w:r>
    </w:p>
    <w:p w14:paraId="73B91EBD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1FDD1C18" w14:textId="62DEEE15" w:rsidR="00615C0F" w:rsidRPr="000F3089" w:rsidRDefault="00615C0F" w:rsidP="00615C0F">
      <w:pPr>
        <w:tabs>
          <w:tab w:val="left" w:pos="2552"/>
        </w:tabs>
        <w:rPr>
          <w:szCs w:val="22"/>
        </w:rPr>
      </w:pPr>
      <w:r w:rsidRPr="000F3089">
        <w:rPr>
          <w:b/>
          <w:szCs w:val="22"/>
        </w:rPr>
        <w:t>Office:</w:t>
      </w:r>
      <w:r w:rsidRPr="000F3089">
        <w:rPr>
          <w:szCs w:val="22"/>
        </w:rPr>
        <w:tab/>
      </w:r>
      <w:bookmarkStart w:id="2" w:name="_Hlk93388918"/>
      <w:r w:rsidR="004606B1">
        <w:rPr>
          <w:szCs w:val="22"/>
        </w:rPr>
        <w:t xml:space="preserve">Statewide Intel and </w:t>
      </w:r>
      <w:r w:rsidR="004606B1">
        <w:rPr>
          <w:rFonts w:cs="Arial"/>
        </w:rPr>
        <w:t xml:space="preserve">Secure Services Support </w:t>
      </w:r>
      <w:bookmarkEnd w:id="2"/>
    </w:p>
    <w:p w14:paraId="008B79B2" w14:textId="196D43EC" w:rsidR="00615C0F" w:rsidRDefault="00615C0F" w:rsidP="008B184C">
      <w:pPr>
        <w:tabs>
          <w:tab w:val="left" w:pos="2552"/>
        </w:tabs>
        <w:spacing w:after="0"/>
        <w:rPr>
          <w:szCs w:val="22"/>
        </w:rPr>
      </w:pPr>
      <w:r w:rsidRPr="000F3089">
        <w:rPr>
          <w:b/>
          <w:szCs w:val="22"/>
        </w:rPr>
        <w:t xml:space="preserve">Help </w:t>
      </w:r>
      <w:r w:rsidR="00095E28">
        <w:rPr>
          <w:b/>
          <w:szCs w:val="22"/>
        </w:rPr>
        <w:t>c</w:t>
      </w:r>
      <w:r w:rsidRPr="000F3089">
        <w:rPr>
          <w:b/>
          <w:szCs w:val="22"/>
        </w:rPr>
        <w:t>ontact:</w:t>
      </w:r>
      <w:r w:rsidRPr="000F3089">
        <w:rPr>
          <w:szCs w:val="22"/>
        </w:rPr>
        <w:tab/>
      </w:r>
      <w:bookmarkStart w:id="3" w:name="_Hlk93388926"/>
      <w:bookmarkStart w:id="4" w:name="_Hlk93395499"/>
      <w:r w:rsidR="004606B1">
        <w:rPr>
          <w:rFonts w:cs="Arial"/>
        </w:rPr>
        <w:t>Secure Services Support</w:t>
      </w:r>
      <w:r w:rsidR="004606B1" w:rsidRPr="0000073D" w:rsidDel="00F92E98">
        <w:rPr>
          <w:szCs w:val="22"/>
          <w:highlight w:val="yellow"/>
        </w:rPr>
        <w:t xml:space="preserve"> </w:t>
      </w:r>
      <w:bookmarkEnd w:id="3"/>
    </w:p>
    <w:p w14:paraId="01C86541" w14:textId="3E96572A" w:rsidR="008B184C" w:rsidRPr="000F3089" w:rsidRDefault="008B184C" w:rsidP="00096B41">
      <w:pPr>
        <w:tabs>
          <w:tab w:val="left" w:pos="2552"/>
        </w:tabs>
        <w:spacing w:after="120"/>
        <w:rPr>
          <w:szCs w:val="22"/>
        </w:rPr>
      </w:pPr>
      <w:r>
        <w:rPr>
          <w:szCs w:val="22"/>
        </w:rPr>
        <w:tab/>
      </w:r>
      <w:hyperlink r:id="rId15" w:history="1">
        <w:r w:rsidR="00E25881" w:rsidRPr="00670F35">
          <w:rPr>
            <w:rStyle w:val="Hyperlink"/>
            <w:szCs w:val="22"/>
          </w:rPr>
          <w:t>YDCPracticeEnquiries@cyjma.qld.gov.au</w:t>
        </w:r>
      </w:hyperlink>
      <w:r w:rsidR="00E25881">
        <w:rPr>
          <w:szCs w:val="22"/>
        </w:rPr>
        <w:t xml:space="preserve"> </w:t>
      </w:r>
    </w:p>
    <w:bookmarkEnd w:id="4"/>
    <w:p w14:paraId="7FE11BF1" w14:textId="77777777" w:rsidR="00615C0F" w:rsidRDefault="00615C0F" w:rsidP="00615C0F">
      <w:pPr>
        <w:pBdr>
          <w:bottom w:val="single" w:sz="4" w:space="1" w:color="auto"/>
        </w:pBdr>
        <w:rPr>
          <w:sz w:val="12"/>
        </w:rPr>
      </w:pPr>
    </w:p>
    <w:p w14:paraId="79F9F421" w14:textId="6E932EAA" w:rsidR="008B184C" w:rsidRPr="000F3089" w:rsidRDefault="008B184C" w:rsidP="00106161">
      <w:pPr>
        <w:pStyle w:val="Heading2"/>
      </w:pPr>
      <w:r>
        <w:t>Communication strategy</w:t>
      </w:r>
    </w:p>
    <w:p w14:paraId="05178629" w14:textId="047C0D74" w:rsidR="008B184C" w:rsidRPr="00102987" w:rsidRDefault="00F474CA" w:rsidP="008B184C">
      <w:pPr>
        <w:spacing w:after="0"/>
        <w:jc w:val="both"/>
        <w:rPr>
          <w:rFonts w:cs="Arial"/>
          <w:szCs w:val="22"/>
        </w:rPr>
      </w:pPr>
      <w:r w:rsidRPr="0010298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02987">
        <w:rPr>
          <w:rFonts w:cs="Arial"/>
          <w:sz w:val="20"/>
        </w:rPr>
        <w:instrText xml:space="preserve"> FORMCHECKBOX </w:instrText>
      </w:r>
      <w:r w:rsidR="00B9566C">
        <w:rPr>
          <w:rFonts w:cs="Arial"/>
          <w:sz w:val="20"/>
        </w:rPr>
      </w:r>
      <w:r w:rsidR="00B9566C">
        <w:rPr>
          <w:rFonts w:cs="Arial"/>
          <w:sz w:val="20"/>
        </w:rPr>
        <w:fldChar w:fldCharType="separate"/>
      </w:r>
      <w:r w:rsidRPr="00102987">
        <w:rPr>
          <w:rFonts w:cs="Arial"/>
          <w:sz w:val="20"/>
        </w:rPr>
        <w:fldChar w:fldCharType="end"/>
      </w:r>
      <w:r w:rsidR="008B184C" w:rsidRPr="00102987">
        <w:rPr>
          <w:rFonts w:cs="Arial"/>
          <w:szCs w:val="22"/>
        </w:rPr>
        <w:t xml:space="preserve">publish on intranet </w:t>
      </w:r>
    </w:p>
    <w:p w14:paraId="72828338" w14:textId="77777777" w:rsidR="008B184C" w:rsidRPr="00102987" w:rsidRDefault="008B184C" w:rsidP="008B184C">
      <w:pPr>
        <w:spacing w:after="0"/>
        <w:jc w:val="both"/>
        <w:rPr>
          <w:rFonts w:cs="Arial"/>
          <w:szCs w:val="22"/>
        </w:rPr>
      </w:pPr>
      <w:r w:rsidRPr="0010298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02987">
        <w:rPr>
          <w:rFonts w:cs="Arial"/>
          <w:sz w:val="20"/>
        </w:rPr>
        <w:instrText xml:space="preserve"> FORMCHECKBOX </w:instrText>
      </w:r>
      <w:r w:rsidR="00B9566C">
        <w:rPr>
          <w:rFonts w:cs="Arial"/>
          <w:sz w:val="20"/>
        </w:rPr>
      </w:r>
      <w:r w:rsidR="00B9566C">
        <w:rPr>
          <w:rFonts w:cs="Arial"/>
          <w:sz w:val="20"/>
        </w:rPr>
        <w:fldChar w:fldCharType="separate"/>
      </w:r>
      <w:r w:rsidRPr="00102987">
        <w:rPr>
          <w:rFonts w:cs="Arial"/>
          <w:sz w:val="20"/>
        </w:rPr>
        <w:fldChar w:fldCharType="end"/>
      </w:r>
      <w:r w:rsidRPr="00102987">
        <w:rPr>
          <w:rFonts w:cs="Arial"/>
          <w:szCs w:val="22"/>
        </w:rPr>
        <w:t>publish on internet</w:t>
      </w:r>
    </w:p>
    <w:p w14:paraId="13F1019E" w14:textId="77777777" w:rsidR="008B184C" w:rsidRPr="00102987" w:rsidRDefault="008B184C" w:rsidP="008B184C">
      <w:pPr>
        <w:spacing w:after="0"/>
        <w:jc w:val="both"/>
        <w:rPr>
          <w:rFonts w:cs="Arial"/>
          <w:szCs w:val="22"/>
        </w:rPr>
      </w:pPr>
      <w:r w:rsidRPr="00102987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102987">
        <w:rPr>
          <w:rFonts w:cs="Arial"/>
          <w:sz w:val="20"/>
        </w:rPr>
        <w:instrText xml:space="preserve"> FORMCHECKBOX </w:instrText>
      </w:r>
      <w:r w:rsidR="00B9566C">
        <w:rPr>
          <w:rFonts w:cs="Arial"/>
          <w:sz w:val="20"/>
        </w:rPr>
      </w:r>
      <w:r w:rsidR="00B9566C">
        <w:rPr>
          <w:rFonts w:cs="Arial"/>
          <w:sz w:val="20"/>
        </w:rPr>
        <w:fldChar w:fldCharType="separate"/>
      </w:r>
      <w:r w:rsidRPr="00102987">
        <w:rPr>
          <w:rFonts w:cs="Arial"/>
          <w:sz w:val="20"/>
        </w:rPr>
        <w:fldChar w:fldCharType="end"/>
      </w:r>
      <w:r w:rsidRPr="00102987">
        <w:rPr>
          <w:rFonts w:cs="Arial"/>
          <w:szCs w:val="22"/>
        </w:rPr>
        <w:t>advise staff to read</w:t>
      </w:r>
    </w:p>
    <w:p w14:paraId="1FD7D10F" w14:textId="77777777" w:rsidR="008B184C" w:rsidRDefault="008B184C" w:rsidP="008B184C">
      <w:pPr>
        <w:jc w:val="both"/>
        <w:rPr>
          <w:rFonts w:cs="Arial"/>
          <w:szCs w:val="22"/>
        </w:rPr>
      </w:pPr>
      <w:r w:rsidRPr="00102987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Pr="00102987">
        <w:rPr>
          <w:rFonts w:cs="Arial"/>
          <w:sz w:val="20"/>
        </w:rPr>
        <w:instrText xml:space="preserve"> FORMCHECKBOX </w:instrText>
      </w:r>
      <w:r w:rsidR="00B9566C">
        <w:rPr>
          <w:rFonts w:cs="Arial"/>
          <w:sz w:val="20"/>
        </w:rPr>
      </w:r>
      <w:r w:rsidR="00B9566C">
        <w:rPr>
          <w:rFonts w:cs="Arial"/>
          <w:sz w:val="20"/>
        </w:rPr>
        <w:fldChar w:fldCharType="separate"/>
      </w:r>
      <w:r w:rsidRPr="00102987">
        <w:rPr>
          <w:rFonts w:cs="Arial"/>
          <w:sz w:val="20"/>
        </w:rPr>
        <w:fldChar w:fldCharType="end"/>
      </w:r>
      <w:r w:rsidRPr="00102987">
        <w:rPr>
          <w:rFonts w:cs="Arial"/>
          <w:szCs w:val="22"/>
        </w:rPr>
        <w:t>supervisors discuss with direct reports</w:t>
      </w:r>
    </w:p>
    <w:p w14:paraId="45D5686A" w14:textId="77777777" w:rsidR="00106161" w:rsidRDefault="00106161">
      <w:pPr>
        <w:spacing w:after="0"/>
        <w:rPr>
          <w:rFonts w:ascii="Arial Bold" w:hAnsi="Arial Bold" w:cs="Arial"/>
          <w:b/>
          <w:bCs/>
          <w:iCs/>
          <w:sz w:val="28"/>
          <w:szCs w:val="28"/>
        </w:rPr>
      </w:pPr>
      <w:r>
        <w:br w:type="page"/>
      </w:r>
    </w:p>
    <w:p w14:paraId="6DF0E5C2" w14:textId="08E149B5" w:rsidR="00615C0F" w:rsidRPr="000F3089" w:rsidRDefault="00615C0F" w:rsidP="00106161">
      <w:pPr>
        <w:pStyle w:val="Heading2"/>
      </w:pPr>
      <w:r w:rsidRPr="000F3089">
        <w:lastRenderedPageBreak/>
        <w:t>Links</w:t>
      </w:r>
    </w:p>
    <w:p w14:paraId="4DAB24E2" w14:textId="3DFF568B" w:rsidR="008B184C" w:rsidRPr="00B043DB" w:rsidRDefault="00B9566C" w:rsidP="008B184C">
      <w:pPr>
        <w:pStyle w:val="BodyText"/>
        <w:spacing w:before="120"/>
        <w:jc w:val="both"/>
        <w:rPr>
          <w:rStyle w:val="Hyperlink"/>
          <w:b w:val="0"/>
        </w:rPr>
      </w:pPr>
      <w:hyperlink r:id="rId16" w:history="1">
        <w:r w:rsidR="008B184C" w:rsidRPr="00B043DB">
          <w:rPr>
            <w:rStyle w:val="Hyperlink"/>
            <w:rFonts w:cs="Arial"/>
            <w:b w:val="0"/>
            <w:szCs w:val="22"/>
          </w:rPr>
          <w:t>Queensland Health Food Safety Program</w:t>
        </w:r>
      </w:hyperlink>
    </w:p>
    <w:p w14:paraId="39B2D109" w14:textId="51F7AE61" w:rsidR="008B184C" w:rsidRPr="00B043DB" w:rsidRDefault="00B9566C" w:rsidP="008B184C">
      <w:pPr>
        <w:pStyle w:val="BodyText"/>
        <w:spacing w:before="120"/>
        <w:jc w:val="both"/>
        <w:rPr>
          <w:rStyle w:val="Hyperlink"/>
          <w:b w:val="0"/>
          <w:szCs w:val="22"/>
        </w:rPr>
      </w:pPr>
      <w:hyperlink r:id="rId17" w:history="1">
        <w:r w:rsidR="008B184C" w:rsidRPr="00B043DB">
          <w:rPr>
            <w:rStyle w:val="Hyperlink"/>
            <w:rFonts w:cs="Arial"/>
            <w:b w:val="0"/>
            <w:szCs w:val="22"/>
          </w:rPr>
          <w:t xml:space="preserve">Australasian </w:t>
        </w:r>
        <w:r w:rsidR="008B184C">
          <w:rPr>
            <w:rStyle w:val="Hyperlink"/>
            <w:rFonts w:cs="Arial"/>
            <w:b w:val="0"/>
            <w:szCs w:val="22"/>
          </w:rPr>
          <w:t>Youth</w:t>
        </w:r>
        <w:r w:rsidR="008B184C" w:rsidRPr="00B043DB">
          <w:rPr>
            <w:rStyle w:val="Hyperlink"/>
            <w:rFonts w:cs="Arial"/>
            <w:b w:val="0"/>
            <w:szCs w:val="22"/>
          </w:rPr>
          <w:t xml:space="preserve"> Justice Administrators (A</w:t>
        </w:r>
        <w:r w:rsidR="008B184C">
          <w:rPr>
            <w:rStyle w:val="Hyperlink"/>
            <w:rFonts w:cs="Arial"/>
            <w:b w:val="0"/>
            <w:szCs w:val="22"/>
          </w:rPr>
          <w:t>Y</w:t>
        </w:r>
        <w:r w:rsidR="008B184C" w:rsidRPr="00B043DB">
          <w:rPr>
            <w:rStyle w:val="Hyperlink"/>
            <w:rFonts w:cs="Arial"/>
            <w:b w:val="0"/>
            <w:szCs w:val="22"/>
          </w:rPr>
          <w:t xml:space="preserve">JA) service standards for </w:t>
        </w:r>
        <w:r w:rsidR="008B184C">
          <w:rPr>
            <w:rStyle w:val="Hyperlink"/>
            <w:rFonts w:cs="Arial"/>
            <w:b w:val="0"/>
            <w:szCs w:val="22"/>
          </w:rPr>
          <w:t>youth</w:t>
        </w:r>
        <w:r w:rsidR="008B184C" w:rsidRPr="00B043DB">
          <w:rPr>
            <w:rStyle w:val="Hyperlink"/>
            <w:rFonts w:cs="Arial"/>
            <w:b w:val="0"/>
            <w:szCs w:val="22"/>
          </w:rPr>
          <w:t xml:space="preserve"> custodial facilities</w:t>
        </w:r>
      </w:hyperlink>
    </w:p>
    <w:p w14:paraId="1C0A256E" w14:textId="77777777" w:rsidR="008B184C" w:rsidRDefault="00B9566C" w:rsidP="008B184C">
      <w:pPr>
        <w:pStyle w:val="BodyText"/>
        <w:spacing w:before="120"/>
        <w:jc w:val="both"/>
        <w:rPr>
          <w:rStyle w:val="Hyperlink"/>
          <w:rFonts w:cs="Arial"/>
          <w:b w:val="0"/>
          <w:szCs w:val="22"/>
        </w:rPr>
      </w:pPr>
      <w:hyperlink r:id="rId18" w:history="1">
        <w:r w:rsidR="008B184C" w:rsidRPr="0078654F">
          <w:rPr>
            <w:rStyle w:val="Hyperlink"/>
            <w:rFonts w:cs="Arial"/>
            <w:b w:val="0"/>
            <w:szCs w:val="22"/>
          </w:rPr>
          <w:t>United Nations Rules for the Protection of Young People Deprived of Their Liberty 1990</w:t>
        </w:r>
      </w:hyperlink>
    </w:p>
    <w:p w14:paraId="4C4ABAA9" w14:textId="77777777" w:rsidR="008B184C" w:rsidRDefault="00B9566C" w:rsidP="008B184C">
      <w:pPr>
        <w:pStyle w:val="BodyText"/>
        <w:spacing w:before="120"/>
        <w:jc w:val="both"/>
        <w:rPr>
          <w:rStyle w:val="Hyperlink"/>
          <w:rFonts w:cs="Arial"/>
          <w:b w:val="0"/>
          <w:i/>
          <w:szCs w:val="22"/>
        </w:rPr>
      </w:pPr>
      <w:hyperlink r:id="rId19" w:history="1">
        <w:r w:rsidR="008B184C">
          <w:rPr>
            <w:rStyle w:val="Hyperlink"/>
            <w:rFonts w:cs="Arial"/>
            <w:b w:val="0"/>
            <w:i/>
            <w:szCs w:val="22"/>
          </w:rPr>
          <w:t xml:space="preserve">Human Rights Act 2019  </w:t>
        </w:r>
      </w:hyperlink>
    </w:p>
    <w:p w14:paraId="69E7CD18" w14:textId="77777777" w:rsidR="008B184C" w:rsidRPr="00B043DB" w:rsidRDefault="00B9566C" w:rsidP="008B184C">
      <w:pPr>
        <w:pStyle w:val="BodyText"/>
        <w:spacing w:before="120"/>
        <w:jc w:val="both"/>
      </w:pPr>
      <w:hyperlink r:id="rId20" w:history="1">
        <w:r w:rsidR="008B184C">
          <w:rPr>
            <w:rStyle w:val="Hyperlink"/>
            <w:rFonts w:cs="Arial"/>
            <w:b w:val="0"/>
            <w:szCs w:val="22"/>
          </w:rPr>
          <w:t>Queensland Human Rights Commission</w:t>
        </w:r>
      </w:hyperlink>
    </w:p>
    <w:p w14:paraId="7CB3FA8A" w14:textId="095D5597" w:rsidR="008B184C" w:rsidRPr="00B043DB" w:rsidRDefault="008B184C" w:rsidP="008B184C">
      <w:pPr>
        <w:pStyle w:val="BodyText"/>
        <w:spacing w:before="120"/>
        <w:jc w:val="both"/>
        <w:rPr>
          <w:rStyle w:val="Hyperlink"/>
        </w:rPr>
      </w:pPr>
      <w:r w:rsidRPr="006A683E">
        <w:rPr>
          <w:rFonts w:cs="Arial"/>
          <w:b w:val="0"/>
          <w:szCs w:val="22"/>
        </w:rPr>
        <w:t>Youth Detention Centre Operations Manual</w:t>
      </w:r>
    </w:p>
    <w:p w14:paraId="1F9F84C2" w14:textId="3393C3DC" w:rsidR="008B184C" w:rsidRPr="00B043DB" w:rsidRDefault="008B184C" w:rsidP="008B184C">
      <w:pPr>
        <w:pStyle w:val="BodyText"/>
        <w:spacing w:before="120"/>
        <w:jc w:val="both"/>
        <w:rPr>
          <w:rStyle w:val="Hyperlink"/>
        </w:rPr>
      </w:pPr>
      <w:r w:rsidRPr="006A683E">
        <w:rPr>
          <w:rFonts w:cs="Arial"/>
          <w:b w:val="0"/>
          <w:szCs w:val="22"/>
        </w:rPr>
        <w:t>Youth Justice delegations</w:t>
      </w:r>
    </w:p>
    <w:p w14:paraId="45B4CD6F" w14:textId="5740DB82" w:rsidR="008B184C" w:rsidRPr="00B043DB" w:rsidRDefault="008B184C" w:rsidP="008B184C">
      <w:pPr>
        <w:pStyle w:val="BodyText"/>
        <w:spacing w:before="120" w:after="240"/>
        <w:jc w:val="both"/>
        <w:rPr>
          <w:rStyle w:val="Hyperlink"/>
        </w:rPr>
      </w:pPr>
      <w:r w:rsidRPr="006A683E">
        <w:rPr>
          <w:rFonts w:cs="Arial"/>
          <w:b w:val="0"/>
          <w:szCs w:val="22"/>
        </w:rPr>
        <w:t>Youth Justice policies</w:t>
      </w:r>
    </w:p>
    <w:p w14:paraId="4439F5B0" w14:textId="77777777" w:rsidR="00615C0F" w:rsidRPr="000F3089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69535AB0" w14:textId="77777777" w:rsidR="00106161" w:rsidRDefault="00106161" w:rsidP="00106161">
      <w:pPr>
        <w:pStyle w:val="Heading7"/>
        <w:spacing w:before="0" w:after="0"/>
        <w:rPr>
          <w:rFonts w:ascii="Arial" w:hAnsi="Arial" w:cs="Arial"/>
          <w:color w:val="000000"/>
        </w:rPr>
      </w:pPr>
    </w:p>
    <w:p w14:paraId="7198F215" w14:textId="6E31E5A3" w:rsidR="00AF308E" w:rsidRDefault="006A683E" w:rsidP="00106161">
      <w:pPr>
        <w:pStyle w:val="Heading7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106161">
        <w:rPr>
          <w:rFonts w:ascii="Arial" w:hAnsi="Arial" w:cs="Arial"/>
          <w:color w:val="000000"/>
        </w:rPr>
        <w:t>ob Gee</w:t>
      </w:r>
    </w:p>
    <w:p w14:paraId="04B1A654" w14:textId="77777777" w:rsidR="00AF44CE" w:rsidRDefault="00AF308E" w:rsidP="00106161">
      <w:pPr>
        <w:pStyle w:val="Heading7"/>
        <w:spacing w:before="0" w:after="0"/>
        <w:rPr>
          <w:rFonts w:ascii="Arial" w:hAnsi="Arial" w:cs="Arial"/>
          <w:color w:val="000000"/>
        </w:rPr>
      </w:pPr>
      <w:r w:rsidRPr="000F3089">
        <w:rPr>
          <w:rFonts w:ascii="Arial" w:hAnsi="Arial" w:cs="Arial"/>
          <w:color w:val="000000"/>
        </w:rPr>
        <w:t>Director-General</w:t>
      </w:r>
    </w:p>
    <w:p w14:paraId="66DCCA73" w14:textId="77777777" w:rsidR="00106161" w:rsidRDefault="00106161" w:rsidP="00106161"/>
    <w:p w14:paraId="7DEF3FA4" w14:textId="2E46A2B5" w:rsidR="00106161" w:rsidRPr="00106161" w:rsidRDefault="00106161" w:rsidP="00106161">
      <w:pPr>
        <w:sectPr w:rsidR="00106161" w:rsidRPr="00106161" w:rsidSect="00B9566C">
          <w:headerReference w:type="default" r:id="rId21"/>
          <w:footerReference w:type="default" r:id="rId22"/>
          <w:pgSz w:w="11906" w:h="16838"/>
          <w:pgMar w:top="2195" w:right="1134" w:bottom="1134" w:left="1134" w:header="709" w:footer="408" w:gutter="0"/>
          <w:cols w:space="709"/>
          <w:docGrid w:linePitch="360"/>
        </w:sectPr>
      </w:pPr>
    </w:p>
    <w:p w14:paraId="5E69791A" w14:textId="77777777" w:rsidR="00A72C57" w:rsidRPr="00A72C57" w:rsidRDefault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E2E6" w14:textId="77777777" w:rsidR="00AD559C" w:rsidRDefault="00AD559C">
      <w:r>
        <w:separator/>
      </w:r>
    </w:p>
  </w:endnote>
  <w:endnote w:type="continuationSeparator" w:id="0">
    <w:p w14:paraId="234DCF1D" w14:textId="77777777" w:rsidR="00AD559C" w:rsidRDefault="00AD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500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45AD2" w14:textId="25EC05C6" w:rsidR="00927330" w:rsidRDefault="00927330" w:rsidP="00927330">
        <w:pPr>
          <w:pStyle w:val="Footer"/>
          <w:spacing w:before="24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031BD" w14:textId="7D4966F2" w:rsidR="00927330" w:rsidRDefault="00927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3557" w14:textId="77777777" w:rsidR="00AD559C" w:rsidRDefault="00AD559C">
      <w:r>
        <w:separator/>
      </w:r>
    </w:p>
  </w:footnote>
  <w:footnote w:type="continuationSeparator" w:id="0">
    <w:p w14:paraId="451B8C0B" w14:textId="77777777" w:rsidR="00AD559C" w:rsidRDefault="00AD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F39A" w14:textId="407F3ACA" w:rsidR="00B21459" w:rsidRDefault="00B9566C">
    <w:pPr>
      <w:pStyle w:val="Header"/>
    </w:pPr>
    <w:r w:rsidRPr="00BE5FE7">
      <w:rPr>
        <w:noProof/>
      </w:rPr>
      <w:drawing>
        <wp:anchor distT="0" distB="0" distL="114300" distR="114300" simplePos="0" relativeHeight="251659264" behindDoc="1" locked="0" layoutInCell="1" allowOverlap="1" wp14:anchorId="6BFF21A2" wp14:editId="4E4904B7">
          <wp:simplePos x="0" y="0"/>
          <wp:positionH relativeFrom="page">
            <wp:posOffset>-1363</wp:posOffset>
          </wp:positionH>
          <wp:positionV relativeFrom="paragraph">
            <wp:posOffset>-487196</wp:posOffset>
          </wp:positionV>
          <wp:extent cx="7546626" cy="10675116"/>
          <wp:effectExtent l="0" t="0" r="0" b="0"/>
          <wp:wrapNone/>
          <wp:docPr id="4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474"/>
    <w:multiLevelType w:val="hybridMultilevel"/>
    <w:tmpl w:val="C3AAEC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2ED"/>
    <w:multiLevelType w:val="hybridMultilevel"/>
    <w:tmpl w:val="2E40B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90D03"/>
    <w:multiLevelType w:val="hybridMultilevel"/>
    <w:tmpl w:val="B728F9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C580F39"/>
    <w:multiLevelType w:val="hybridMultilevel"/>
    <w:tmpl w:val="513251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E5EC4E24">
      <w:start w:val="1"/>
      <w:numFmt w:val="bullet"/>
      <w:lvlText w:val="­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25323007"/>
    <w:multiLevelType w:val="hybridMultilevel"/>
    <w:tmpl w:val="B33A4B7A"/>
    <w:lvl w:ilvl="0" w:tplc="36FE25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467E"/>
    <w:multiLevelType w:val="hybridMultilevel"/>
    <w:tmpl w:val="020259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25EF5"/>
    <w:multiLevelType w:val="hybridMultilevel"/>
    <w:tmpl w:val="C158F960"/>
    <w:lvl w:ilvl="0" w:tplc="7AA2F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54C8C"/>
    <w:multiLevelType w:val="hybridMultilevel"/>
    <w:tmpl w:val="A77023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42637"/>
    <w:multiLevelType w:val="multilevel"/>
    <w:tmpl w:val="6930B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3BBA7D27"/>
    <w:multiLevelType w:val="hybridMultilevel"/>
    <w:tmpl w:val="07AC8DA8"/>
    <w:lvl w:ilvl="0" w:tplc="4B30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4444A"/>
    <w:multiLevelType w:val="hybridMultilevel"/>
    <w:tmpl w:val="5E9854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AF28C9"/>
    <w:multiLevelType w:val="multilevel"/>
    <w:tmpl w:val="CAB05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3" w15:restartNumberingAfterBreak="0">
    <w:nsid w:val="5CFD19AB"/>
    <w:multiLevelType w:val="hybridMultilevel"/>
    <w:tmpl w:val="D0E0A7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F77D0"/>
    <w:multiLevelType w:val="hybridMultilevel"/>
    <w:tmpl w:val="30E064E4"/>
    <w:lvl w:ilvl="0" w:tplc="58D676C8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63480"/>
    <w:multiLevelType w:val="hybridMultilevel"/>
    <w:tmpl w:val="946EEB70"/>
    <w:lvl w:ilvl="0" w:tplc="C64A7F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4274B"/>
    <w:multiLevelType w:val="hybridMultilevel"/>
    <w:tmpl w:val="5E206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B3CC9"/>
    <w:multiLevelType w:val="hybridMultilevel"/>
    <w:tmpl w:val="35DECE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546D8"/>
    <w:multiLevelType w:val="hybridMultilevel"/>
    <w:tmpl w:val="1B142BB2"/>
    <w:lvl w:ilvl="0" w:tplc="36FE25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F6A6F"/>
    <w:multiLevelType w:val="hybridMultilevel"/>
    <w:tmpl w:val="E1589E5C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97">
    <w:abstractNumId w:val="11"/>
  </w:num>
  <w:num w:numId="2" w16cid:durableId="252904927">
    <w:abstractNumId w:val="16"/>
  </w:num>
  <w:num w:numId="3" w16cid:durableId="13043110">
    <w:abstractNumId w:val="0"/>
  </w:num>
  <w:num w:numId="4" w16cid:durableId="923607812">
    <w:abstractNumId w:val="7"/>
  </w:num>
  <w:num w:numId="5" w16cid:durableId="1322538516">
    <w:abstractNumId w:val="10"/>
  </w:num>
  <w:num w:numId="6" w16cid:durableId="564880928">
    <w:abstractNumId w:val="1"/>
  </w:num>
  <w:num w:numId="7" w16cid:durableId="2017609253">
    <w:abstractNumId w:val="17"/>
  </w:num>
  <w:num w:numId="8" w16cid:durableId="1440371544">
    <w:abstractNumId w:val="19"/>
  </w:num>
  <w:num w:numId="9" w16cid:durableId="1762020455">
    <w:abstractNumId w:val="6"/>
  </w:num>
  <w:num w:numId="10" w16cid:durableId="477693588">
    <w:abstractNumId w:val="12"/>
  </w:num>
  <w:num w:numId="11" w16cid:durableId="37515122">
    <w:abstractNumId w:val="2"/>
  </w:num>
  <w:num w:numId="12" w16cid:durableId="1983461099">
    <w:abstractNumId w:val="3"/>
  </w:num>
  <w:num w:numId="13" w16cid:durableId="1132361645">
    <w:abstractNumId w:val="14"/>
  </w:num>
  <w:num w:numId="14" w16cid:durableId="48768464">
    <w:abstractNumId w:val="9"/>
  </w:num>
  <w:num w:numId="15" w16cid:durableId="895774941">
    <w:abstractNumId w:val="15"/>
  </w:num>
  <w:num w:numId="16" w16cid:durableId="2047483366">
    <w:abstractNumId w:val="4"/>
  </w:num>
  <w:num w:numId="17" w16cid:durableId="652805064">
    <w:abstractNumId w:val="18"/>
  </w:num>
  <w:num w:numId="18" w16cid:durableId="599416200">
    <w:abstractNumId w:val="8"/>
  </w:num>
  <w:num w:numId="19" w16cid:durableId="600988800">
    <w:abstractNumId w:val="13"/>
  </w:num>
  <w:num w:numId="20" w16cid:durableId="1487162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119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26D3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B47"/>
    <w:rsid w:val="0007559F"/>
    <w:rsid w:val="0007574E"/>
    <w:rsid w:val="00077D38"/>
    <w:rsid w:val="000829FC"/>
    <w:rsid w:val="000850DD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95E28"/>
    <w:rsid w:val="00096B4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2FA7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4252"/>
    <w:rsid w:val="00106161"/>
    <w:rsid w:val="0010628E"/>
    <w:rsid w:val="00106CAC"/>
    <w:rsid w:val="00110BF5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51E4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03A7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5CE6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5ED9"/>
    <w:rsid w:val="002765D7"/>
    <w:rsid w:val="0027697C"/>
    <w:rsid w:val="00277AF1"/>
    <w:rsid w:val="002811EA"/>
    <w:rsid w:val="002813D9"/>
    <w:rsid w:val="002816CF"/>
    <w:rsid w:val="00281A08"/>
    <w:rsid w:val="00281F84"/>
    <w:rsid w:val="00283014"/>
    <w:rsid w:val="00283332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1346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6CE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C6D17"/>
    <w:rsid w:val="003D25AA"/>
    <w:rsid w:val="003D3801"/>
    <w:rsid w:val="003D5897"/>
    <w:rsid w:val="003D5A21"/>
    <w:rsid w:val="003D64FB"/>
    <w:rsid w:val="003D6598"/>
    <w:rsid w:val="003D6890"/>
    <w:rsid w:val="003D70FD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0D88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4DCB"/>
    <w:rsid w:val="00456F37"/>
    <w:rsid w:val="004573DB"/>
    <w:rsid w:val="00460670"/>
    <w:rsid w:val="004606B1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86B"/>
    <w:rsid w:val="004B2A87"/>
    <w:rsid w:val="004B59B6"/>
    <w:rsid w:val="004C23F9"/>
    <w:rsid w:val="004C3C0D"/>
    <w:rsid w:val="004C52F3"/>
    <w:rsid w:val="004C5DC6"/>
    <w:rsid w:val="004C64E0"/>
    <w:rsid w:val="004D05E5"/>
    <w:rsid w:val="004D14F8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3EF0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17C41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ED3"/>
    <w:rsid w:val="00660F23"/>
    <w:rsid w:val="006617F2"/>
    <w:rsid w:val="00661A6C"/>
    <w:rsid w:val="00662DB3"/>
    <w:rsid w:val="00665207"/>
    <w:rsid w:val="0066689B"/>
    <w:rsid w:val="00666D90"/>
    <w:rsid w:val="0066728C"/>
    <w:rsid w:val="006705CF"/>
    <w:rsid w:val="00670F35"/>
    <w:rsid w:val="00673FDF"/>
    <w:rsid w:val="00676628"/>
    <w:rsid w:val="00676CAF"/>
    <w:rsid w:val="006771E9"/>
    <w:rsid w:val="0067778E"/>
    <w:rsid w:val="0068020A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83E"/>
    <w:rsid w:val="006A6CB1"/>
    <w:rsid w:val="006A7C14"/>
    <w:rsid w:val="006B0DA8"/>
    <w:rsid w:val="006B2F0B"/>
    <w:rsid w:val="006B38CE"/>
    <w:rsid w:val="006B4416"/>
    <w:rsid w:val="006B5B47"/>
    <w:rsid w:val="006B5F51"/>
    <w:rsid w:val="006B64DA"/>
    <w:rsid w:val="006B7E8F"/>
    <w:rsid w:val="006C0DAE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5EC5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06FE8"/>
    <w:rsid w:val="00710178"/>
    <w:rsid w:val="00713427"/>
    <w:rsid w:val="00713F81"/>
    <w:rsid w:val="00714FC2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53D"/>
    <w:rsid w:val="007A0BEE"/>
    <w:rsid w:val="007A2A5E"/>
    <w:rsid w:val="007A2BEF"/>
    <w:rsid w:val="007A3D8B"/>
    <w:rsid w:val="007A401A"/>
    <w:rsid w:val="007A57FA"/>
    <w:rsid w:val="007A5855"/>
    <w:rsid w:val="007A693F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4F98"/>
    <w:rsid w:val="007F60E6"/>
    <w:rsid w:val="007F6D99"/>
    <w:rsid w:val="007F6F47"/>
    <w:rsid w:val="007F7701"/>
    <w:rsid w:val="007F7F54"/>
    <w:rsid w:val="008008D0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19E1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184C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E6085"/>
    <w:rsid w:val="008F0777"/>
    <w:rsid w:val="008F3E9F"/>
    <w:rsid w:val="008F600F"/>
    <w:rsid w:val="008F6A56"/>
    <w:rsid w:val="00901BA7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67BC"/>
    <w:rsid w:val="0091749C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558"/>
    <w:rsid w:val="00926A36"/>
    <w:rsid w:val="00926AAD"/>
    <w:rsid w:val="00927330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3DE2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4FC6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42A"/>
    <w:rsid w:val="00A03D81"/>
    <w:rsid w:val="00A0606D"/>
    <w:rsid w:val="00A1080B"/>
    <w:rsid w:val="00A10FBF"/>
    <w:rsid w:val="00A12574"/>
    <w:rsid w:val="00A1409D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4167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4A00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56AF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59C"/>
    <w:rsid w:val="00AD57FB"/>
    <w:rsid w:val="00AD6214"/>
    <w:rsid w:val="00AD6F72"/>
    <w:rsid w:val="00AE03C9"/>
    <w:rsid w:val="00AE41AD"/>
    <w:rsid w:val="00AE4214"/>
    <w:rsid w:val="00AE4239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47361"/>
    <w:rsid w:val="00B52C0E"/>
    <w:rsid w:val="00B5331C"/>
    <w:rsid w:val="00B54622"/>
    <w:rsid w:val="00B549B6"/>
    <w:rsid w:val="00B56D6A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983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6C"/>
    <w:rsid w:val="00B95697"/>
    <w:rsid w:val="00B96CE8"/>
    <w:rsid w:val="00B97B42"/>
    <w:rsid w:val="00B97FED"/>
    <w:rsid w:val="00BA0320"/>
    <w:rsid w:val="00BA0382"/>
    <w:rsid w:val="00BA4B33"/>
    <w:rsid w:val="00BA5D99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0B7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55B2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6F52"/>
    <w:rsid w:val="00CB7A6B"/>
    <w:rsid w:val="00CC2FFE"/>
    <w:rsid w:val="00CC4468"/>
    <w:rsid w:val="00CD0933"/>
    <w:rsid w:val="00CD1B40"/>
    <w:rsid w:val="00CD3E17"/>
    <w:rsid w:val="00CD52BB"/>
    <w:rsid w:val="00CD70EF"/>
    <w:rsid w:val="00CD75B0"/>
    <w:rsid w:val="00CD7622"/>
    <w:rsid w:val="00CD782A"/>
    <w:rsid w:val="00CE1E75"/>
    <w:rsid w:val="00CE5C9E"/>
    <w:rsid w:val="00CE650F"/>
    <w:rsid w:val="00CE6BC3"/>
    <w:rsid w:val="00CE71AA"/>
    <w:rsid w:val="00CE79A3"/>
    <w:rsid w:val="00CE79EC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3252"/>
    <w:rsid w:val="00D445D6"/>
    <w:rsid w:val="00D44FCB"/>
    <w:rsid w:val="00D45505"/>
    <w:rsid w:val="00D45DB5"/>
    <w:rsid w:val="00D47852"/>
    <w:rsid w:val="00D50AFD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703"/>
    <w:rsid w:val="00D81ADE"/>
    <w:rsid w:val="00D8327A"/>
    <w:rsid w:val="00D848D6"/>
    <w:rsid w:val="00D857A1"/>
    <w:rsid w:val="00D8766A"/>
    <w:rsid w:val="00D909C5"/>
    <w:rsid w:val="00D9591F"/>
    <w:rsid w:val="00D97FDB"/>
    <w:rsid w:val="00DA17DF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5881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5D1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6B44"/>
    <w:rsid w:val="00F033B4"/>
    <w:rsid w:val="00F04367"/>
    <w:rsid w:val="00F04618"/>
    <w:rsid w:val="00F04D02"/>
    <w:rsid w:val="00F11A7E"/>
    <w:rsid w:val="00F123F2"/>
    <w:rsid w:val="00F1590C"/>
    <w:rsid w:val="00F16B95"/>
    <w:rsid w:val="00F1747C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4CA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5811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87EEC"/>
    <w:rsid w:val="00F915B8"/>
    <w:rsid w:val="00F916AC"/>
    <w:rsid w:val="00F92D40"/>
    <w:rsid w:val="00F92E98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93B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ECDD6"/>
  <w14:defaultImageDpi w14:val="330"/>
  <w15:docId w15:val="{5AAFE3AD-C499-DB46-A290-E710923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B184C"/>
    <w:rPr>
      <w:color w:val="0000FF"/>
      <w:sz w:val="22"/>
      <w:u w:val="single"/>
    </w:rPr>
  </w:style>
  <w:style w:type="paragraph" w:styleId="ListParagraph">
    <w:name w:val="List Paragraph"/>
    <w:aliases w:val="Bullet List,FooterText,lp1,Colorful List - Accent 11,List Paragraph1,List Paragraph11,Recommendation,Bullet,bullet point list,Bullet point,Bulleted Para,NFP GP Bulleted List,numbered,Paragraphe de liste1,Bulletr List Paragraph,列出段落,列出段落1"/>
    <w:basedOn w:val="Normal"/>
    <w:link w:val="ListParagraphChar"/>
    <w:uiPriority w:val="72"/>
    <w:qFormat/>
    <w:rsid w:val="008B184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47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73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73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7361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901B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881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lp1 Char,Colorful List - Accent 11 Char,List Paragraph1 Char,List Paragraph11 Char,Recommendation Char,Bullet Char,bullet point list Char,Bullet point Char,Bulleted Para Char,NFP GP Bulleted List Char"/>
    <w:link w:val="ListParagraph"/>
    <w:uiPriority w:val="72"/>
    <w:locked/>
    <w:rsid w:val="00CB6F52"/>
    <w:rPr>
      <w:rFonts w:ascii="Arial" w:hAnsi="Arial"/>
      <w:sz w:val="22"/>
      <w:szCs w:val="24"/>
    </w:rPr>
  </w:style>
  <w:style w:type="paragraph" w:styleId="Revision">
    <w:name w:val="Revision"/>
    <w:hidden/>
    <w:uiPriority w:val="71"/>
    <w:semiHidden/>
    <w:rsid w:val="00096B41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2765D7"/>
    <w:rPr>
      <w:rFonts w:ascii="Arial Bold" w:hAnsi="Arial Bold" w:cs="Arial"/>
      <w:b/>
      <w:bCs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2733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ldabuseroyalcommission.gov.au/making-institutions-child-safe" TargetMode="External"/><Relationship Id="rId18" Type="http://schemas.openxmlformats.org/officeDocument/2006/relationships/hyperlink" Target="http://www2.ohchr.org/english/law/pdf/res45_113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dlgrma.qld.gov.au/multicultural-affairs/policy-and-governance/multicultural-queensland-charter" TargetMode="External"/><Relationship Id="rId17" Type="http://schemas.openxmlformats.org/officeDocument/2006/relationships/hyperlink" Target="http://www.juvenile.justice.nsw.gov.au/Documents/updated_october_2012_-_ajja_juvenile_justice_standards_2009_part_1_and_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qld.gov.au/foodsafety/" TargetMode="External"/><Relationship Id="rId20" Type="http://schemas.openxmlformats.org/officeDocument/2006/relationships/hyperlink" Target="https://www.qhrc.qld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hrc.qld.gov.au/your-rights/human-rights-la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YDCPracticeEnquiries@cyjma.qld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qld.gov.au/view/whole/html/asmade/act-2019-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dlc_DocId xmlns="dbefc7fa-1a1d-4432-8b48-0661d01a2bf9">NER3HZ3QZUNC-1648413401-222905</_dlc_DocId>
    <_dlc_DocIdUrl xmlns="dbefc7fa-1a1d-4432-8b48-0661d01a2bf9">
      <Url>https://dsitiaqld.sharepoint.com/sites/DESBT/engagement/customer-experience/communications/_layouts/15/DocIdRedir.aspx?ID=NER3HZ3QZUNC-1648413401-222905</Url>
      <Description>NER3HZ3QZUNC-1648413401-222905</Description>
    </_dlc_DocIdUrl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9F46F-2FB4-4EA6-A89A-AEEEE37F19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42B733-2A0A-4D51-A5CC-94893DFE0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c5cd0b95-ad48-469c-b60b-2c41487abb3e"/>
    <ds:schemaRef ds:uri="6fbbf639-a96b-4cb5-b890-7fc984a8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32F25-11B1-4178-951E-1637291DD60C}">
  <ds:schemaRefs>
    <ds:schemaRef ds:uri="http://schemas.microsoft.com/office/2006/metadata/properties"/>
    <ds:schemaRef ds:uri="http://schemas.microsoft.com/office/2006/documentManagement/types"/>
    <ds:schemaRef ds:uri="0b8dffbd-6425-4760-9d3e-66ce409199d4"/>
    <ds:schemaRef ds:uri="http://purl.org/dc/elements/1.1/"/>
    <ds:schemaRef ds:uri="http://schemas.microsoft.com/office/infopath/2007/PartnerControls"/>
    <ds:schemaRef ds:uri="http://purl.org/dc/dcmitype/"/>
    <ds:schemaRef ds:uri="85c3036c-0ff9-43d2-b8a6-17c53915ea50"/>
    <ds:schemaRef ds:uri="http://schemas.openxmlformats.org/package/2006/metadata/core-properties"/>
    <ds:schemaRef ds:uri="dbefc7fa-1a1d-4432-8b48-0661d01a2bf9"/>
    <ds:schemaRef ds:uri="http://schemas.microsoft.com/sharepoint/v3"/>
    <ds:schemaRef ds:uri="http://www.w3.org/XML/1998/namespace"/>
    <ds:schemaRef ds:uri="http://purl.org/dc/terms/"/>
    <ds:schemaRef ds:uri="c5cd0b95-ad48-469c-b60b-2c41487abb3e"/>
  </ds:schemaRefs>
</ds:datastoreItem>
</file>

<file path=customXml/itemProps4.xml><?xml version="1.0" encoding="utf-8"?>
<ds:datastoreItem xmlns:ds="http://schemas.openxmlformats.org/officeDocument/2006/customXml" ds:itemID="{683C79DC-D575-456E-82FD-B03B154D3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1239</Words>
  <Characters>8250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YD-1-7 Food provision and nutrition services</vt:lpstr>
    </vt:vector>
  </TitlesOfParts>
  <Manager/>
  <Company/>
  <LinksUpToDate>false</LinksUpToDate>
  <CharactersWithSpaces>9471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 1 - 7 Food provision and nutrition services (Youth detention centre operational policy)</dc:title>
  <dc:subject>Food provision and nutrition services in youth detention centres</dc:subject>
  <dc:creator>Queensland Government</dc:creator>
  <cp:keywords>YDC, detention, YJ, youth justice, food, diet, nutrition, meals</cp:keywords>
  <cp:lastModifiedBy>Lara M Williams</cp:lastModifiedBy>
  <cp:revision>3</cp:revision>
  <cp:lastPrinted>2024-05-20T02:57:00Z</cp:lastPrinted>
  <dcterms:created xsi:type="dcterms:W3CDTF">2024-05-20T02:58:00Z</dcterms:created>
  <dcterms:modified xsi:type="dcterms:W3CDTF">2025-02-11T00:02:00Z</dcterms:modified>
  <cp:category>Operational 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0f84359f-63d8-4a55-aca1-30b983d8d8af</vt:lpwstr>
  </property>
</Properties>
</file>