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3199" w:right="3218" w:firstLine="0"/>
        <w:jc w:val="center"/>
        <w:rPr>
          <w:b/>
          <w:sz w:val="24"/>
        </w:rPr>
      </w:pPr>
      <w:r>
        <w:rPr>
          <w:b/>
          <w:spacing w:val="-147"/>
          <w:sz w:val="24"/>
          <w:u w:val="thick"/>
        </w:rPr>
        <w:t>T</w:t>
      </w:r>
      <w:r>
        <w:rPr>
          <w:b/>
          <w:spacing w:val="85"/>
          <w:sz w:val="24"/>
        </w:rPr>
        <w:t> </w:t>
      </w:r>
      <w:r>
        <w:rPr>
          <w:b/>
          <w:sz w:val="24"/>
          <w:u w:val="thick"/>
        </w:rPr>
        <w:t>ERMS OF REFERENCE</w:t>
      </w:r>
    </w:p>
    <w:p>
      <w:pPr>
        <w:spacing w:line="254" w:lineRule="auto" w:before="185"/>
        <w:ind w:left="4103" w:right="477" w:hanging="3688"/>
        <w:jc w:val="left"/>
        <w:rPr>
          <w:b/>
          <w:i/>
          <w:sz w:val="22"/>
        </w:rPr>
      </w:pPr>
      <w:r>
        <w:rPr>
          <w:b/>
          <w:i/>
          <w:sz w:val="22"/>
        </w:rPr>
        <w:t>Taskforce on Coercive Control and Women’s Experience in the Criminal Justice </w:t>
      </w:r>
      <w:r>
        <w:rPr>
          <w:b/>
          <w:i/>
          <w:sz w:val="22"/>
        </w:rPr>
        <w:t>System</w:t>
      </w:r>
    </w:p>
    <w:p>
      <w:pPr>
        <w:pStyle w:val="BodyText"/>
        <w:spacing w:before="167"/>
      </w:pPr>
      <w:r>
        <w:rPr/>
        <w:t>An independent, consultative Taskforce will be established to examine: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181" w:after="0"/>
        <w:ind w:left="820" w:right="118" w:hanging="360"/>
        <w:jc w:val="both"/>
        <w:rPr>
          <w:sz w:val="22"/>
        </w:rPr>
      </w:pPr>
      <w:r>
        <w:rPr>
          <w:sz w:val="22"/>
        </w:rPr>
        <w:t>coercive control and review the need for a specific offence of commit domestic violence;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1" w:lineRule="exact" w:before="0" w:after="0"/>
        <w:ind w:left="819" w:right="0" w:hanging="360"/>
        <w:jc w:val="left"/>
        <w:rPr>
          <w:sz w:val="22"/>
        </w:rPr>
      </w:pPr>
      <w:r>
        <w:rPr>
          <w:sz w:val="22"/>
        </w:rPr>
        <w:t>the experience of women across the criminal justice</w:t>
      </w:r>
      <w:r>
        <w:rPr>
          <w:spacing w:val="-3"/>
          <w:sz w:val="22"/>
        </w:rPr>
        <w:t> </w:t>
      </w:r>
      <w:r>
        <w:rPr>
          <w:sz w:val="22"/>
        </w:rPr>
        <w:t>system.</w:t>
      </w:r>
    </w:p>
    <w:p>
      <w:pPr>
        <w:pStyle w:val="BodyText"/>
        <w:spacing w:line="259" w:lineRule="auto" w:before="181"/>
        <w:ind w:right="114"/>
        <w:jc w:val="both"/>
      </w:pPr>
      <w:r>
        <w:rPr/>
        <w:t>The Taskforce will undertake independent consideration of issues within scope of the review and make recommendations to the Attorney-General and Minister for Justice, Minister for Women and Minister for the Prevention of Domestic and Family Violence (Attorney-General).</w:t>
      </w:r>
    </w:p>
    <w:p>
      <w:pPr>
        <w:pStyle w:val="BodyText"/>
        <w:spacing w:before="158"/>
      </w:pPr>
      <w:r>
        <w:rPr/>
        <w:t>The Taskforce will be comprised of a Chair and other subject matter experts.</w:t>
      </w:r>
    </w:p>
    <w:p>
      <w:pPr>
        <w:pStyle w:val="BodyText"/>
        <w:spacing w:line="259" w:lineRule="auto" w:before="181"/>
        <w:ind w:right="114"/>
        <w:jc w:val="both"/>
      </w:pPr>
      <w:r>
        <w:rPr/>
        <w:t>The Taskforce will be supported by a secretariat provided by the Department of Justice and Attorney-General (DJAG) and will regularly engage with women with a lived experience, including survivors of Domestic, Family and/or Sexual Violence (DFSV).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</w:pPr>
      <w:r>
        <w:rPr/>
        <w:t>Timeframe</w:t>
      </w:r>
    </w:p>
    <w:p>
      <w:pPr>
        <w:pStyle w:val="BodyText"/>
        <w:spacing w:line="256" w:lineRule="auto" w:before="188"/>
        <w:ind w:right="115"/>
        <w:jc w:val="both"/>
      </w:pPr>
      <w:r>
        <w:rPr/>
        <w:t>The Taskforce will provide a report on its findings and recommendations to the Attorney-General as follows: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59" w:lineRule="auto" w:before="164" w:after="0"/>
        <w:ind w:left="666" w:right="113" w:hanging="567"/>
        <w:jc w:val="both"/>
        <w:rPr>
          <w:sz w:val="22"/>
        </w:rPr>
      </w:pPr>
      <w:r>
        <w:rPr>
          <w:sz w:val="22"/>
        </w:rPr>
        <w:t>in relation to how best to legislate against coercive control as a form of domestic and family violence and the need for a new offence of “commit domestic violence”, by </w:t>
      </w:r>
      <w:r>
        <w:rPr>
          <w:b/>
          <w:sz w:val="22"/>
        </w:rPr>
        <w:t>October 2021;</w:t>
      </w:r>
      <w:r>
        <w:rPr>
          <w:b/>
          <w:spacing w:val="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160" w:after="0"/>
        <w:ind w:left="667" w:right="0" w:hanging="568"/>
        <w:jc w:val="left"/>
        <w:rPr>
          <w:sz w:val="22"/>
        </w:rPr>
      </w:pPr>
      <w:r>
        <w:rPr>
          <w:sz w:val="22"/>
        </w:rPr>
        <w:t>in</w:t>
      </w:r>
      <w:r>
        <w:rPr>
          <w:spacing w:val="42"/>
          <w:sz w:val="22"/>
        </w:rPr>
        <w:t> </w:t>
      </w:r>
      <w:r>
        <w:rPr>
          <w:sz w:val="22"/>
        </w:rPr>
        <w:t>relation</w:t>
      </w:r>
      <w:r>
        <w:rPr>
          <w:spacing w:val="41"/>
          <w:sz w:val="22"/>
        </w:rPr>
        <w:t> </w:t>
      </w:r>
      <w:r>
        <w:rPr>
          <w:sz w:val="22"/>
        </w:rPr>
        <w:t>to</w:t>
      </w:r>
      <w:r>
        <w:rPr>
          <w:spacing w:val="43"/>
          <w:sz w:val="22"/>
        </w:rPr>
        <w:t> </w:t>
      </w:r>
      <w:r>
        <w:rPr>
          <w:sz w:val="22"/>
        </w:rPr>
        <w:t>other</w:t>
      </w:r>
      <w:r>
        <w:rPr>
          <w:spacing w:val="40"/>
          <w:sz w:val="22"/>
        </w:rPr>
        <w:t> </w:t>
      </w:r>
      <w:r>
        <w:rPr>
          <w:sz w:val="22"/>
        </w:rPr>
        <w:t>areas</w:t>
      </w:r>
      <w:r>
        <w:rPr>
          <w:spacing w:val="43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women’s</w:t>
      </w:r>
      <w:r>
        <w:rPr>
          <w:spacing w:val="38"/>
          <w:sz w:val="22"/>
        </w:rPr>
        <w:t> </w:t>
      </w:r>
      <w:r>
        <w:rPr>
          <w:sz w:val="22"/>
        </w:rPr>
        <w:t>experience</w:t>
      </w:r>
      <w:r>
        <w:rPr>
          <w:spacing w:val="43"/>
          <w:sz w:val="22"/>
        </w:rPr>
        <w:t> </w:t>
      </w:r>
      <w:r>
        <w:rPr>
          <w:sz w:val="22"/>
        </w:rPr>
        <w:t>in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criminal</w:t>
      </w:r>
      <w:r>
        <w:rPr>
          <w:spacing w:val="41"/>
          <w:sz w:val="22"/>
        </w:rPr>
        <w:t> </w:t>
      </w:r>
      <w:r>
        <w:rPr>
          <w:sz w:val="22"/>
        </w:rPr>
        <w:t>justice</w:t>
      </w:r>
      <w:r>
        <w:rPr>
          <w:spacing w:val="42"/>
          <w:sz w:val="22"/>
        </w:rPr>
        <w:t> </w:t>
      </w:r>
      <w:r>
        <w:rPr>
          <w:sz w:val="22"/>
        </w:rPr>
        <w:t>system,</w:t>
      </w:r>
      <w:r>
        <w:rPr>
          <w:spacing w:val="42"/>
          <w:sz w:val="22"/>
        </w:rPr>
        <w:t> </w:t>
      </w:r>
      <w:r>
        <w:rPr>
          <w:sz w:val="22"/>
        </w:rPr>
        <w:t>by</w:t>
      </w:r>
    </w:p>
    <w:p>
      <w:pPr>
        <w:spacing w:before="18"/>
        <w:ind w:left="666" w:right="0" w:firstLine="0"/>
        <w:jc w:val="left"/>
        <w:rPr>
          <w:sz w:val="22"/>
        </w:rPr>
      </w:pPr>
      <w:r>
        <w:rPr>
          <w:b/>
          <w:sz w:val="22"/>
        </w:rPr>
        <w:t>March 2022</w:t>
      </w:r>
      <w:r>
        <w:rPr>
          <w:sz w:val="22"/>
        </w:rPr>
        <w:t>.</w:t>
      </w:r>
    </w:p>
    <w:p>
      <w:pPr>
        <w:pStyle w:val="Heading1"/>
        <w:spacing w:before="178"/>
      </w:pPr>
      <w:r>
        <w:rPr/>
        <w:t>Scope</w:t>
      </w:r>
    </w:p>
    <w:p>
      <w:pPr>
        <w:pStyle w:val="BodyText"/>
        <w:spacing w:before="188"/>
      </w:pPr>
      <w:r>
        <w:rPr/>
        <w:t>In making recommendations, the Taskforce may consider: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6" w:lineRule="auto" w:before="181" w:after="0"/>
        <w:ind w:left="820" w:right="113" w:hanging="358"/>
        <w:jc w:val="both"/>
        <w:rPr>
          <w:sz w:val="22"/>
        </w:rPr>
      </w:pPr>
      <w:r>
        <w:rPr>
          <w:sz w:val="22"/>
        </w:rPr>
        <w:t>how best to design, implement and successfully operationalise legislation to deal with coercive controlling behaviour in a domestic and family violence context with regard given to the Government’s existing commitments relating to coercive control, training for first responders and public education and</w:t>
      </w:r>
      <w:r>
        <w:rPr>
          <w:spacing w:val="-4"/>
          <w:sz w:val="22"/>
        </w:rPr>
        <w:t> </w:t>
      </w:r>
      <w:r>
        <w:rPr>
          <w:sz w:val="22"/>
        </w:rPr>
        <w:t>awareness;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167" w:after="0"/>
        <w:ind w:left="819" w:right="0" w:hanging="358"/>
        <w:jc w:val="left"/>
        <w:rPr>
          <w:sz w:val="22"/>
        </w:rPr>
      </w:pPr>
      <w:r>
        <w:rPr>
          <w:sz w:val="22"/>
        </w:rPr>
        <w:t>whether a stand-alone offence of domestic violence is</w:t>
      </w:r>
      <w:r>
        <w:rPr>
          <w:spacing w:val="-5"/>
          <w:sz w:val="22"/>
        </w:rPr>
        <w:t> </w:t>
      </w:r>
      <w:r>
        <w:rPr>
          <w:sz w:val="22"/>
        </w:rPr>
        <w:t>required;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4" w:lineRule="auto" w:before="179" w:after="0"/>
        <w:ind w:left="820" w:right="115" w:hanging="358"/>
        <w:jc w:val="both"/>
        <w:rPr>
          <w:sz w:val="22"/>
        </w:rPr>
      </w:pPr>
      <w:r>
        <w:rPr>
          <w:sz w:val="22"/>
        </w:rPr>
        <w:t>actual or perceived barriers which contribute to the low reporting of sexual offences and the high attrition rate throughout the formal legal process of those who do</w:t>
      </w:r>
      <w:r>
        <w:rPr>
          <w:spacing w:val="-23"/>
          <w:sz w:val="22"/>
        </w:rPr>
        <w:t> </w:t>
      </w:r>
      <w:r>
        <w:rPr>
          <w:sz w:val="22"/>
        </w:rPr>
        <w:t>report;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4" w:lineRule="auto" w:before="166" w:after="0"/>
        <w:ind w:left="820" w:right="113" w:hanging="358"/>
        <w:jc w:val="both"/>
        <w:rPr>
          <w:sz w:val="22"/>
        </w:rPr>
      </w:pPr>
      <w:r>
        <w:rPr>
          <w:sz w:val="22"/>
        </w:rPr>
        <w:t>the need for attitudinal and cultural change across Government, as well as at a community, institution </w:t>
      </w:r>
      <w:r>
        <w:rPr>
          <w:spacing w:val="-2"/>
          <w:sz w:val="22"/>
        </w:rPr>
        <w:t>and </w:t>
      </w:r>
      <w:r>
        <w:rPr>
          <w:sz w:val="22"/>
        </w:rPr>
        <w:t>professional level, including media reporting of</w:t>
      </w:r>
      <w:r>
        <w:rPr>
          <w:spacing w:val="-7"/>
          <w:sz w:val="22"/>
        </w:rPr>
        <w:t> </w:t>
      </w:r>
      <w:r>
        <w:rPr>
          <w:sz w:val="22"/>
        </w:rPr>
        <w:t>DFSV;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6" w:lineRule="auto" w:before="166" w:after="0"/>
        <w:ind w:left="820" w:right="114" w:hanging="358"/>
        <w:jc w:val="both"/>
        <w:rPr>
          <w:sz w:val="22"/>
        </w:rPr>
      </w:pPr>
      <w:r>
        <w:rPr>
          <w:sz w:val="22"/>
        </w:rPr>
        <w:t>the unique barriers faced by girls, Aboriginal and Torres Strait Islander women, culturally and linguistically diverse women, incarcerated women, elderly women, women in rural, remote and regional areas and LGBTIQA+ women, when accessing justice as both victims and</w:t>
      </w:r>
      <w:r>
        <w:rPr>
          <w:spacing w:val="-9"/>
          <w:sz w:val="22"/>
        </w:rPr>
        <w:t> </w:t>
      </w:r>
      <w:r>
        <w:rPr>
          <w:sz w:val="22"/>
        </w:rPr>
        <w:t>offenders;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4" w:lineRule="auto" w:before="167" w:after="0"/>
        <w:ind w:left="820" w:right="118" w:hanging="358"/>
        <w:jc w:val="both"/>
        <w:rPr>
          <w:sz w:val="22"/>
        </w:rPr>
      </w:pPr>
      <w:r>
        <w:rPr>
          <w:sz w:val="22"/>
        </w:rPr>
        <w:t>policing and investigative approaches, including the collection of evidence and specialist training and trauma-informed responses to victims and</w:t>
      </w:r>
      <w:r>
        <w:rPr>
          <w:spacing w:val="-9"/>
          <w:sz w:val="22"/>
        </w:rPr>
        <w:t> </w:t>
      </w:r>
      <w:r>
        <w:rPr>
          <w:sz w:val="22"/>
        </w:rPr>
        <w:t>survivors;</w:t>
      </w:r>
    </w:p>
    <w:p>
      <w:pPr>
        <w:spacing w:after="0" w:line="254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1002" w:top="900" w:bottom="1200" w:left="1340" w:right="13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56" w:lineRule="auto" w:before="77" w:after="0"/>
        <w:ind w:left="812" w:right="114" w:hanging="356"/>
        <w:jc w:val="both"/>
        <w:rPr>
          <w:sz w:val="22"/>
        </w:rPr>
      </w:pPr>
      <w:r>
        <w:rPr>
          <w:sz w:val="22"/>
        </w:rPr>
        <w:t>how best to improve capacity and capability across the criminal justice system to understand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respond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particular</w:t>
      </w:r>
      <w:r>
        <w:rPr>
          <w:spacing w:val="-11"/>
          <w:sz w:val="22"/>
        </w:rPr>
        <w:t> </w:t>
      </w:r>
      <w:r>
        <w:rPr>
          <w:sz w:val="22"/>
        </w:rPr>
        <w:t>issues</w:t>
      </w:r>
      <w:r>
        <w:rPr>
          <w:spacing w:val="-10"/>
          <w:sz w:val="22"/>
        </w:rPr>
        <w:t> </w:t>
      </w:r>
      <w:r>
        <w:rPr>
          <w:sz w:val="22"/>
        </w:rPr>
        <w:t>experienced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12"/>
          <w:sz w:val="22"/>
        </w:rPr>
        <w:t> </w:t>
      </w:r>
      <w:r>
        <w:rPr>
          <w:sz w:val="22"/>
        </w:rPr>
        <w:t>women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victims</w:t>
      </w:r>
      <w:r>
        <w:rPr>
          <w:spacing w:val="-12"/>
          <w:sz w:val="22"/>
        </w:rPr>
        <w:t> </w:t>
      </w:r>
      <w:r>
        <w:rPr>
          <w:sz w:val="22"/>
        </w:rPr>
        <w:t>and offenders including for support and advocacy services, police, prosecutions, defence representation, courts and the</w:t>
      </w:r>
      <w:r>
        <w:rPr>
          <w:spacing w:val="-3"/>
          <w:sz w:val="22"/>
        </w:rPr>
        <w:t> </w:t>
      </w:r>
      <w:r>
        <w:rPr>
          <w:sz w:val="22"/>
        </w:rPr>
        <w:t>judiciary;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167" w:after="0"/>
        <w:ind w:left="819" w:right="0" w:hanging="358"/>
        <w:jc w:val="left"/>
        <w:rPr>
          <w:sz w:val="22"/>
        </w:rPr>
      </w:pPr>
      <w:r>
        <w:rPr>
          <w:sz w:val="22"/>
        </w:rPr>
        <w:t>the adequacy of DFSV service system integration with the justice</w:t>
      </w:r>
      <w:r>
        <w:rPr>
          <w:spacing w:val="-7"/>
          <w:sz w:val="22"/>
        </w:rPr>
        <w:t> </w:t>
      </w:r>
      <w:r>
        <w:rPr>
          <w:sz w:val="22"/>
        </w:rPr>
        <w:t>system;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6" w:lineRule="auto" w:before="177" w:after="0"/>
        <w:ind w:left="820" w:right="116" w:hanging="358"/>
        <w:jc w:val="both"/>
        <w:rPr>
          <w:sz w:val="22"/>
        </w:rPr>
      </w:pPr>
      <w:r>
        <w:rPr>
          <w:sz w:val="22"/>
        </w:rPr>
        <w:t>other legislative and policy issues, including in relation to the criminal justice system and the interface between the criminal justice and domestic and family violence and sexual violence systems; and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4" w:lineRule="auto" w:before="163" w:after="0"/>
        <w:ind w:left="820" w:right="114" w:hanging="360"/>
        <w:jc w:val="both"/>
        <w:rPr>
          <w:sz w:val="22"/>
        </w:rPr>
      </w:pPr>
      <w:r>
        <w:rPr>
          <w:sz w:val="22"/>
        </w:rPr>
        <w:t>any other policy, legislative or cultural reform relevant to the experience of girls and women as they engage with the criminal justice</w:t>
      </w:r>
      <w:r>
        <w:rPr>
          <w:spacing w:val="-10"/>
          <w:sz w:val="22"/>
        </w:rPr>
        <w:t> </w:t>
      </w:r>
      <w:r>
        <w:rPr>
          <w:sz w:val="22"/>
        </w:rPr>
        <w:t>system.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1"/>
      </w:pPr>
      <w:r>
        <w:rPr/>
        <w:t>Guiding principles and considerations</w:t>
      </w:r>
    </w:p>
    <w:p>
      <w:pPr>
        <w:pStyle w:val="BodyText"/>
        <w:spacing w:line="254" w:lineRule="auto" w:before="190"/>
        <w:ind w:right="477"/>
      </w:pPr>
      <w:r>
        <w:rPr/>
        <w:t>In undertaking the Review, the Taskforce should have regard to the principles and considerations related to:</w:t>
      </w:r>
    </w:p>
    <w:p>
      <w:pPr>
        <w:pStyle w:val="ListParagraph"/>
        <w:numPr>
          <w:ilvl w:val="0"/>
          <w:numId w:val="3"/>
        </w:numPr>
        <w:tabs>
          <w:tab w:pos="1179" w:val="left" w:leader="none"/>
          <w:tab w:pos="1180" w:val="left" w:leader="none"/>
        </w:tabs>
        <w:spacing w:line="240" w:lineRule="auto" w:before="170" w:after="0"/>
        <w:ind w:left="1179" w:right="0" w:hanging="720"/>
        <w:jc w:val="left"/>
        <w:rPr>
          <w:sz w:val="22"/>
        </w:rPr>
      </w:pPr>
      <w:r>
        <w:rPr>
          <w:sz w:val="22"/>
        </w:rPr>
        <w:t>keeping victims safe and holding perpetrators to</w:t>
      </w:r>
      <w:r>
        <w:rPr>
          <w:spacing w:val="-11"/>
          <w:sz w:val="22"/>
        </w:rPr>
        <w:t> </w:t>
      </w:r>
      <w:r>
        <w:rPr>
          <w:sz w:val="22"/>
        </w:rPr>
        <w:t>account;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1181" w:val="left" w:leader="none"/>
        </w:tabs>
        <w:spacing w:line="259" w:lineRule="auto" w:before="18" w:after="0"/>
        <w:ind w:left="1180" w:right="117" w:hanging="720"/>
        <w:jc w:val="left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trauma-informed,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evidence-based</w:t>
      </w:r>
      <w:r>
        <w:rPr>
          <w:spacing w:val="-12"/>
          <w:sz w:val="22"/>
        </w:rPr>
        <w:t> </w:t>
      </w:r>
      <w:r>
        <w:rPr>
          <w:sz w:val="22"/>
        </w:rPr>
        <w:t>approach</w:t>
      </w:r>
      <w:r>
        <w:rPr>
          <w:spacing w:val="-15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takes</w:t>
      </w:r>
      <w:r>
        <w:rPr>
          <w:spacing w:val="-13"/>
          <w:sz w:val="22"/>
        </w:rPr>
        <w:t> </w:t>
      </w:r>
      <w:r>
        <w:rPr>
          <w:sz w:val="22"/>
        </w:rPr>
        <w:t>into</w:t>
      </w:r>
      <w:r>
        <w:rPr>
          <w:spacing w:val="-12"/>
          <w:sz w:val="22"/>
        </w:rPr>
        <w:t> </w:t>
      </w:r>
      <w:r>
        <w:rPr>
          <w:sz w:val="22"/>
        </w:rPr>
        <w:t>consideration</w:t>
      </w:r>
      <w:r>
        <w:rPr>
          <w:spacing w:val="-13"/>
          <w:sz w:val="22"/>
        </w:rPr>
        <w:t> </w:t>
      </w:r>
      <w:r>
        <w:rPr>
          <w:sz w:val="22"/>
        </w:rPr>
        <w:t>the lived experience of women who are involved in the criminal justice</w:t>
      </w:r>
      <w:r>
        <w:rPr>
          <w:spacing w:val="-12"/>
          <w:sz w:val="22"/>
        </w:rPr>
        <w:t> </w:t>
      </w:r>
      <w:r>
        <w:rPr>
          <w:sz w:val="22"/>
        </w:rPr>
        <w:t>system;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  <w:rPr>
          <w:sz w:val="22"/>
        </w:rPr>
      </w:pPr>
      <w:r>
        <w:rPr>
          <w:sz w:val="22"/>
        </w:rPr>
        <w:t>just outcomes by balancing the interests of victims and accused</w:t>
      </w:r>
      <w:r>
        <w:rPr>
          <w:spacing w:val="-10"/>
          <w:sz w:val="22"/>
        </w:rPr>
        <w:t> </w:t>
      </w:r>
      <w:r>
        <w:rPr>
          <w:sz w:val="22"/>
        </w:rPr>
        <w:t>persons;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56" w:lineRule="auto" w:before="20" w:after="0"/>
        <w:ind w:left="1180" w:right="117" w:hanging="720"/>
        <w:jc w:val="both"/>
        <w:rPr>
          <w:sz w:val="22"/>
        </w:rPr>
      </w:pPr>
      <w:r>
        <w:rPr>
          <w:sz w:val="22"/>
        </w:rPr>
        <w:t>efficacy, efficiency and value for money, including in relation to current</w:t>
      </w:r>
      <w:r>
        <w:rPr>
          <w:spacing w:val="-35"/>
          <w:sz w:val="22"/>
        </w:rPr>
        <w:t> </w:t>
      </w:r>
      <w:r>
        <w:rPr>
          <w:sz w:val="22"/>
        </w:rPr>
        <w:t>investment across the</w:t>
      </w:r>
      <w:r>
        <w:rPr>
          <w:spacing w:val="-3"/>
          <w:sz w:val="22"/>
        </w:rPr>
        <w:t> </w:t>
      </w:r>
      <w:r>
        <w:rPr>
          <w:sz w:val="22"/>
        </w:rPr>
        <w:t>system;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59" w:lineRule="auto" w:before="4" w:after="0"/>
        <w:ind w:left="1180" w:right="116" w:hanging="720"/>
        <w:jc w:val="both"/>
        <w:rPr>
          <w:sz w:val="22"/>
        </w:rPr>
      </w:pPr>
      <w:r>
        <w:rPr>
          <w:sz w:val="22"/>
        </w:rPr>
        <w:t>consideration of the Queensland Government’s current domestic and family violence, sexual violence prevention and criminal justice system reform program and achievements;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59" w:lineRule="auto" w:before="0" w:after="0"/>
        <w:ind w:left="1180" w:right="119" w:hanging="720"/>
        <w:jc w:val="both"/>
        <w:rPr>
          <w:sz w:val="22"/>
        </w:rPr>
      </w:pPr>
      <w:r>
        <w:rPr>
          <w:sz w:val="22"/>
        </w:rPr>
        <w:t>the diversity of women involved in the criminal justice system and their individual experiences;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59" w:lineRule="auto" w:before="0" w:after="0"/>
        <w:ind w:left="1180" w:right="115" w:hanging="720"/>
        <w:jc w:val="both"/>
        <w:rPr>
          <w:sz w:val="22"/>
        </w:rPr>
      </w:pPr>
      <w:r>
        <w:rPr>
          <w:sz w:val="22"/>
        </w:rPr>
        <w:t>the opportunity to learn from, leverage and build upon local, national and international research, evidence and best practice</w:t>
      </w:r>
      <w:r>
        <w:rPr>
          <w:spacing w:val="1"/>
          <w:sz w:val="22"/>
        </w:rPr>
        <w:t> </w:t>
      </w:r>
      <w:r>
        <w:rPr>
          <w:sz w:val="22"/>
        </w:rPr>
        <w:t>approaches;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59" w:lineRule="auto" w:before="0" w:after="0"/>
        <w:ind w:left="1180" w:right="116" w:hanging="720"/>
        <w:jc w:val="both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need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protect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promote</w:t>
      </w:r>
      <w:r>
        <w:rPr>
          <w:spacing w:val="-7"/>
          <w:sz w:val="22"/>
        </w:rPr>
        <w:t> </w:t>
      </w:r>
      <w:r>
        <w:rPr>
          <w:sz w:val="22"/>
        </w:rPr>
        <w:t>human</w:t>
      </w:r>
      <w:r>
        <w:rPr>
          <w:spacing w:val="-9"/>
          <w:sz w:val="22"/>
        </w:rPr>
        <w:t> </w:t>
      </w:r>
      <w:r>
        <w:rPr>
          <w:sz w:val="22"/>
        </w:rPr>
        <w:t>rights,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rights</w:t>
      </w:r>
      <w:r>
        <w:rPr>
          <w:spacing w:val="-7"/>
          <w:sz w:val="22"/>
        </w:rPr>
        <w:t> </w:t>
      </w:r>
      <w:r>
        <w:rPr>
          <w:sz w:val="22"/>
        </w:rPr>
        <w:t>protected</w:t>
      </w:r>
      <w:r>
        <w:rPr>
          <w:spacing w:val="-8"/>
          <w:sz w:val="22"/>
        </w:rPr>
        <w:t> </w:t>
      </w:r>
      <w:r>
        <w:rPr>
          <w:sz w:val="22"/>
        </w:rPr>
        <w:t>under the </w:t>
      </w:r>
      <w:r>
        <w:rPr>
          <w:i/>
          <w:sz w:val="22"/>
        </w:rPr>
        <w:t>Human Rights Act 2019</w:t>
      </w:r>
      <w:r>
        <w:rPr>
          <w:sz w:val="22"/>
        </w:rPr>
        <w:t>;</w:t>
      </w:r>
      <w:r>
        <w:rPr>
          <w:spacing w:val="3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51" w:lineRule="exact" w:before="0" w:after="0"/>
        <w:ind w:left="1179" w:right="0" w:hanging="720"/>
        <w:jc w:val="both"/>
        <w:rPr>
          <w:sz w:val="22"/>
        </w:rPr>
      </w:pPr>
      <w:r>
        <w:rPr>
          <w:sz w:val="22"/>
        </w:rPr>
        <w:t>any other related matters the Taskforce considers</w:t>
      </w:r>
      <w:r>
        <w:rPr>
          <w:spacing w:val="-10"/>
          <w:sz w:val="22"/>
        </w:rPr>
        <w:t> </w:t>
      </w:r>
      <w:r>
        <w:rPr>
          <w:sz w:val="22"/>
        </w:rPr>
        <w:t>relevant.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1"/>
        <w:spacing w:before="1"/>
      </w:pPr>
      <w:r>
        <w:rPr/>
        <w:t>Consultation</w:t>
      </w:r>
    </w:p>
    <w:p>
      <w:pPr>
        <w:pStyle w:val="BodyText"/>
        <w:spacing w:before="185"/>
      </w:pPr>
      <w:r>
        <w:rPr/>
        <w:t>The</w:t>
      </w:r>
      <w:r>
        <w:rPr>
          <w:spacing w:val="-13"/>
        </w:rPr>
        <w:t> </w:t>
      </w:r>
      <w:r>
        <w:rPr/>
        <w:t>Taskforce’s</w:t>
      </w:r>
      <w:r>
        <w:rPr>
          <w:spacing w:val="-15"/>
        </w:rPr>
        <w:t> </w:t>
      </w:r>
      <w:r>
        <w:rPr/>
        <w:t>examination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informed</w:t>
      </w:r>
      <w:r>
        <w:rPr>
          <w:spacing w:val="-15"/>
        </w:rPr>
        <w:t> </w:t>
      </w:r>
      <w:r>
        <w:rPr/>
        <w:t>by</w:t>
      </w:r>
      <w:r>
        <w:rPr>
          <w:spacing w:val="-12"/>
        </w:rPr>
        <w:t> </w:t>
      </w:r>
      <w:r>
        <w:rPr/>
        <w:t>broad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wide-ranging</w:t>
      </w:r>
      <w:r>
        <w:rPr>
          <w:spacing w:val="-15"/>
        </w:rPr>
        <w:t> </w:t>
      </w:r>
      <w:r>
        <w:rPr/>
        <w:t>consultation</w:t>
      </w:r>
      <w:r>
        <w:rPr>
          <w:spacing w:val="-12"/>
        </w:rPr>
        <w:t> </w:t>
      </w:r>
      <w:r>
        <w:rPr/>
        <w:t>with: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54" w:lineRule="auto" w:before="184" w:after="0"/>
        <w:ind w:left="812" w:right="117" w:hanging="356"/>
        <w:jc w:val="both"/>
        <w:rPr>
          <w:sz w:val="22"/>
        </w:rPr>
      </w:pPr>
      <w:r>
        <w:rPr>
          <w:sz w:val="22"/>
        </w:rPr>
        <w:t>DFSV survivors and victims, and women with personal experience of the criminal justice</w:t>
      </w:r>
      <w:r>
        <w:rPr>
          <w:spacing w:val="-2"/>
          <w:sz w:val="22"/>
        </w:rPr>
        <w:t> </w:t>
      </w:r>
      <w:r>
        <w:rPr>
          <w:sz w:val="22"/>
        </w:rPr>
        <w:t>system;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40" w:lineRule="auto" w:before="167" w:after="0"/>
        <w:ind w:left="812" w:right="0" w:hanging="356"/>
        <w:jc w:val="left"/>
        <w:rPr>
          <w:sz w:val="22"/>
        </w:rPr>
      </w:pPr>
      <w:r>
        <w:rPr>
          <w:sz w:val="22"/>
        </w:rPr>
        <w:t>DFSV service providers and</w:t>
      </w:r>
      <w:r>
        <w:rPr>
          <w:spacing w:val="-2"/>
          <w:sz w:val="22"/>
        </w:rPr>
        <w:t> </w:t>
      </w:r>
      <w:r>
        <w:rPr>
          <w:sz w:val="22"/>
        </w:rPr>
        <w:t>networks;</w:t>
      </w:r>
    </w:p>
    <w:p>
      <w:pPr>
        <w:pStyle w:val="ListParagraph"/>
        <w:numPr>
          <w:ilvl w:val="0"/>
          <w:numId w:val="4"/>
        </w:numPr>
        <w:tabs>
          <w:tab w:pos="814" w:val="left" w:leader="none"/>
        </w:tabs>
        <w:spacing w:line="240" w:lineRule="auto" w:before="179" w:after="0"/>
        <w:ind w:left="813" w:right="0" w:hanging="357"/>
        <w:jc w:val="left"/>
        <w:rPr>
          <w:sz w:val="22"/>
        </w:rPr>
      </w:pPr>
      <w:r>
        <w:rPr>
          <w:sz w:val="22"/>
        </w:rPr>
        <w:t>other relevant advocacy groups, including the Queensland Police</w:t>
      </w:r>
      <w:r>
        <w:rPr>
          <w:spacing w:val="-9"/>
          <w:sz w:val="22"/>
        </w:rPr>
        <w:t> </w:t>
      </w:r>
      <w:r>
        <w:rPr>
          <w:sz w:val="22"/>
        </w:rPr>
        <w:t>Union;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54" w:lineRule="auto" w:before="184" w:after="0"/>
        <w:ind w:left="812" w:right="115" w:hanging="356"/>
        <w:jc w:val="both"/>
        <w:rPr>
          <w:sz w:val="22"/>
        </w:rPr>
      </w:pPr>
      <w:r>
        <w:rPr>
          <w:sz w:val="22"/>
        </w:rPr>
        <w:t>prosecution and policing agencies, including the Queensland Police Service and Director of Public Prosecutions;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40" w:lineRule="auto" w:before="167" w:after="0"/>
        <w:ind w:left="812" w:right="0" w:hanging="356"/>
        <w:jc w:val="left"/>
        <w:rPr>
          <w:sz w:val="22"/>
        </w:rPr>
      </w:pPr>
      <w:r>
        <w:rPr>
          <w:sz w:val="22"/>
        </w:rPr>
        <w:t>the Domestic and Family Violence Prevention</w:t>
      </w:r>
      <w:r>
        <w:rPr>
          <w:spacing w:val="-3"/>
          <w:sz w:val="22"/>
        </w:rPr>
        <w:t> </w:t>
      </w:r>
      <w:r>
        <w:rPr>
          <w:sz w:val="22"/>
        </w:rPr>
        <w:t>Council;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  <w:tab w:pos="813" w:val="left" w:leader="none"/>
        </w:tabs>
        <w:spacing w:line="240" w:lineRule="auto" w:before="179" w:after="0"/>
        <w:ind w:left="812" w:right="0" w:hanging="356"/>
        <w:jc w:val="left"/>
        <w:rPr>
          <w:sz w:val="22"/>
        </w:rPr>
      </w:pPr>
      <w:r>
        <w:rPr>
          <w:sz w:val="22"/>
        </w:rPr>
        <w:t>government departments, agencies, local governments and relevant statutory</w:t>
      </w:r>
      <w:r>
        <w:rPr>
          <w:spacing w:val="-16"/>
          <w:sz w:val="22"/>
        </w:rPr>
        <w:t> </w:t>
      </w:r>
      <w:r>
        <w:rPr>
          <w:sz w:val="22"/>
        </w:rPr>
        <w:t>bodies;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2" w:top="900" w:bottom="1200" w:left="1340" w:right="1320"/>
        </w:sectPr>
      </w:pP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56" w:lineRule="auto" w:before="77" w:after="0"/>
        <w:ind w:left="812" w:right="116" w:hanging="356"/>
        <w:jc w:val="left"/>
        <w:rPr>
          <w:sz w:val="22"/>
        </w:rPr>
      </w:pPr>
      <w:r>
        <w:rPr>
          <w:sz w:val="22"/>
        </w:rPr>
        <w:t>other governance bodies supporting the Queensland Government’s domestic and family violence and sexual violence reform</w:t>
      </w:r>
      <w:r>
        <w:rPr>
          <w:spacing w:val="1"/>
          <w:sz w:val="22"/>
        </w:rPr>
        <w:t> </w:t>
      </w:r>
      <w:r>
        <w:rPr>
          <w:sz w:val="22"/>
        </w:rPr>
        <w:t>agenda;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40" w:lineRule="auto" w:before="162" w:after="0"/>
        <w:ind w:left="812" w:right="0" w:hanging="356"/>
        <w:jc w:val="left"/>
        <w:rPr>
          <w:sz w:val="22"/>
        </w:rPr>
      </w:pPr>
      <w:r>
        <w:rPr>
          <w:sz w:val="22"/>
        </w:rPr>
        <w:t>legal stakeholders and</w:t>
      </w:r>
      <w:r>
        <w:rPr>
          <w:spacing w:val="-3"/>
          <w:sz w:val="22"/>
        </w:rPr>
        <w:t> </w:t>
      </w:r>
      <w:r>
        <w:rPr>
          <w:sz w:val="22"/>
        </w:rPr>
        <w:t>practitioners;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  <w:tab w:pos="814" w:val="left" w:leader="none"/>
        </w:tabs>
        <w:spacing w:line="240" w:lineRule="auto" w:before="179" w:after="0"/>
        <w:ind w:left="813" w:right="0" w:hanging="357"/>
        <w:jc w:val="left"/>
        <w:rPr>
          <w:sz w:val="22"/>
        </w:rPr>
      </w:pPr>
      <w:r>
        <w:rPr>
          <w:sz w:val="22"/>
        </w:rPr>
        <w:t>the judiciary, including the State</w:t>
      </w:r>
      <w:r>
        <w:rPr>
          <w:spacing w:val="-9"/>
          <w:sz w:val="22"/>
        </w:rPr>
        <w:t> </w:t>
      </w:r>
      <w:r>
        <w:rPr>
          <w:sz w:val="22"/>
        </w:rPr>
        <w:t>Coroner;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  <w:tab w:pos="814" w:val="left" w:leader="none"/>
        </w:tabs>
        <w:spacing w:line="240" w:lineRule="auto" w:before="182" w:after="0"/>
        <w:ind w:left="813" w:right="0" w:hanging="357"/>
        <w:jc w:val="left"/>
        <w:rPr>
          <w:sz w:val="22"/>
        </w:rPr>
      </w:pPr>
      <w:r>
        <w:rPr>
          <w:sz w:val="22"/>
        </w:rPr>
        <w:t>the public generally;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4"/>
        </w:numPr>
        <w:tabs>
          <w:tab w:pos="814" w:val="left" w:leader="none"/>
        </w:tabs>
        <w:spacing w:line="256" w:lineRule="auto" w:before="181" w:after="0"/>
        <w:ind w:left="812" w:right="115" w:hanging="356"/>
        <w:jc w:val="left"/>
        <w:rPr>
          <w:sz w:val="22"/>
        </w:rPr>
      </w:pPr>
      <w:r>
        <w:rPr>
          <w:sz w:val="22"/>
        </w:rPr>
        <w:t>any other group or individual, in or outside Queensland, that the Taskforce considers relevant.</w:t>
      </w:r>
    </w:p>
    <w:p>
      <w:pPr>
        <w:pStyle w:val="BodyText"/>
        <w:spacing w:line="256" w:lineRule="auto" w:before="164"/>
        <w:ind w:right="477"/>
      </w:pPr>
      <w:r>
        <w:rPr/>
        <w:t>Consultation may be undertaken by the Taskforce in any form, including for example the release of discussion/issues papers and use of focus groups.(</w:t>
      </w:r>
      <w:r>
        <w:rPr>
          <w:b/>
        </w:rPr>
        <w:t>End</w:t>
      </w:r>
      <w:r>
        <w:rPr/>
        <w:t>)</w:t>
      </w:r>
    </w:p>
    <w:sectPr>
      <w:pgSz w:w="11910" w:h="16840"/>
      <w:pgMar w:header="0" w:footer="1002" w:top="90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799988pt;margin-top:780.799622pt;width:11.6pt;height:13.05pt;mso-position-horizontal-relative:page;mso-position-vertical-relative:page;z-index:-2517626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812" w:hanging="356"/>
        <w:jc w:val="left"/>
      </w:pPr>
      <w:rPr>
        <w:rFonts w:hint="default" w:ascii="Arial" w:hAnsi="Arial" w:eastAsia="Arial" w:cs="Arial"/>
        <w:spacing w:val="-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2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5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7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3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8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1" w:hanging="356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1179" w:hanging="720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3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9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3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666" w:hanging="568"/>
        <w:jc w:val="left"/>
      </w:pPr>
      <w:rPr>
        <w:rFonts w:hint="default" w:ascii="Arial" w:hAnsi="Arial" w:eastAsia="Arial" w:cs="Arial"/>
        <w:spacing w:val="-2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820" w:hanging="357"/>
      </w:pPr>
      <w:rPr>
        <w:rFonts w:hint="default" w:ascii="Symbol" w:hAnsi="Symbol" w:eastAsia="Symbol" w:cs="Symbo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756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2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8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5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1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7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3" w:hanging="35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12" w:hanging="356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Coercive Control; Women; Criminal Justice System;</cp:keywords>
  <dc:subject>Coercive Control and Women's Experience in the Criminal Justice System</dc:subject>
  <dc:title>Taskforce on Coercive Control and Women's Experience in the Criminal Justice System - Terms of Reference</dc:title>
  <dcterms:created xsi:type="dcterms:W3CDTF">2021-03-12T00:51:04Z</dcterms:created>
  <dcterms:modified xsi:type="dcterms:W3CDTF">2021-03-12T00:51:04Z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2021-03-12T00:00:00Z</vt:filetime>
  </property>
</Properties>
</file>