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9AE3" w14:textId="1081DD72" w:rsidR="00FD7F3E" w:rsidRPr="00FD7F3E" w:rsidRDefault="00DD007C" w:rsidP="00102FDF">
      <w:pPr>
        <w:spacing w:before="120" w:after="12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32"/>
          <w:szCs w:val="44"/>
          <w14:ligatures w14:val="standardContextual"/>
        </w:rPr>
        <w:t>Outlook Services: Facilities and site</w:t>
      </w:r>
      <w:r w:rsidR="004221F3">
        <w:rPr>
          <w:rFonts w:ascii="MetaNormal-Roman" w:eastAsiaTheme="minorEastAsia" w:hAnsi="MetaNormal-Roman"/>
          <w:b/>
          <w:bCs/>
          <w:color w:val="055772" w:themeColor="accent1"/>
          <w:kern w:val="2"/>
          <w:sz w:val="32"/>
          <w:szCs w:val="44"/>
          <w14:ligatures w14:val="standardContextual"/>
        </w:rPr>
        <w:t>-</w:t>
      </w: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32"/>
          <w:szCs w:val="44"/>
          <w14:ligatures w14:val="standardContextual"/>
        </w:rPr>
        <w:t>base</w:t>
      </w:r>
      <w:r w:rsidR="00B46F20">
        <w:rPr>
          <w:rFonts w:ascii="MetaNormal-Roman" w:eastAsiaTheme="minorEastAsia" w:hAnsi="MetaNormal-Roman"/>
          <w:b/>
          <w:bCs/>
          <w:color w:val="055772" w:themeColor="accent1"/>
          <w:kern w:val="2"/>
          <w:sz w:val="32"/>
          <w:szCs w:val="44"/>
          <w14:ligatures w14:val="standardContextual"/>
        </w:rPr>
        <w:t>d</w:t>
      </w: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32"/>
          <w:szCs w:val="44"/>
          <w14:ligatures w14:val="standardContextual"/>
        </w:rPr>
        <w:t xml:space="preserve"> services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br/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br/>
      </w:r>
      <w:bookmarkStart w:id="0" w:name="_Hlk169707683"/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Outlook Services has 3 facilities across </w:t>
      </w:r>
      <w:r w:rsidR="00C26740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Queensland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.</w:t>
      </w:r>
      <w:r w:rsidR="00C26740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These </w:t>
      </w:r>
      <w:r w:rsidR="00C26740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facilities 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are designed to service and support government departments and community organisations by offering a variety of programming, </w:t>
      </w:r>
      <w:r w:rsidR="00F02386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conferencing,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and accommodation facilities.</w:t>
      </w:r>
    </w:p>
    <w:p w14:paraId="5F2D8041" w14:textId="2185AB1E" w:rsidR="00DD007C" w:rsidRPr="00FD7F3E" w:rsidRDefault="00DD007C" w:rsidP="00102FDF">
      <w:pPr>
        <w:spacing w:before="120" w:after="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 xml:space="preserve">The </w:t>
      </w:r>
      <w:r w:rsidR="002834A4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n</w:t>
      </w: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 xml:space="preserve">orthern </w:t>
      </w:r>
      <w:r w:rsidR="002834A4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o</w:t>
      </w: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utlook</w:t>
      </w:r>
      <w:r w:rsid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: Redlynch, Cairns</w:t>
      </w:r>
    </w:p>
    <w:p w14:paraId="19CFC4DD" w14:textId="2B23FBC7" w:rsidR="00DD007C" w:rsidRPr="00FD7F3E" w:rsidRDefault="00DD007C" w:rsidP="00102FDF">
      <w:pPr>
        <w:spacing w:after="12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646 Redlynch Intake Road, Redlynch, QLD, 4870.</w:t>
      </w:r>
    </w:p>
    <w:p w14:paraId="5FADF3BE" w14:textId="6EF4C90E" w:rsidR="00267C5D" w:rsidRPr="00FD7F3E" w:rsidRDefault="00267C5D" w:rsidP="00102FDF">
      <w:pPr>
        <w:spacing w:before="120" w:after="12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The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n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orthern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o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utlook is an 80-hectare, conservation liste</w:t>
      </w:r>
      <w:r w:rsidR="00932320">
        <w:rPr>
          <w:rFonts w:ascii="MetaNormal-Roman" w:eastAsiaTheme="minorEastAsia" w:hAnsi="MetaNormal-Roman"/>
          <w:kern w:val="2"/>
          <w:szCs w:val="24"/>
          <w14:ligatures w14:val="standardContextual"/>
        </w:rPr>
        <w:t>d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property located in Redlynch, a suburb 10 kilometres from Cairns CBD. The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n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orthern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o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utlook </w:t>
      </w:r>
      <w:r w:rsidR="00D640A4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programs 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specialise in developmental group work, adventure intervention programs, intentional group work facilitation, and instructor competencies aimed at supporting agencies to independently deliver programs. </w:t>
      </w:r>
    </w:p>
    <w:p w14:paraId="11D903E7" w14:textId="79A08682" w:rsidR="00267C5D" w:rsidRPr="00FD7F3E" w:rsidRDefault="00267C5D" w:rsidP="00102FDF">
      <w:pPr>
        <w:spacing w:before="120" w:after="120" w:line="240" w:lineRule="auto"/>
        <w:ind w:right="-24"/>
        <w:jc w:val="both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Across the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n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orthern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o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utlook property there are problem-solving, </w:t>
      </w:r>
      <w:r w:rsidR="00F02386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indoor,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and outdoor ropes activities, and nature trail and creek walks. The </w:t>
      </w:r>
      <w:r w:rsidR="00D640A4">
        <w:rPr>
          <w:rFonts w:ascii="MetaNormal-Roman" w:eastAsiaTheme="minorEastAsia" w:hAnsi="MetaNormal-Roman"/>
          <w:kern w:val="2"/>
          <w:szCs w:val="24"/>
          <w14:ligatures w14:val="standardContextual"/>
        </w:rPr>
        <w:t>property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has camping facilities, training rooms and an outdoor conference space to support staff development, and group program design and delivery.  </w:t>
      </w:r>
    </w:p>
    <w:p w14:paraId="313EFCD0" w14:textId="56341D0C" w:rsidR="00DD007C" w:rsidRPr="00FD7F3E" w:rsidRDefault="00DD007C" w:rsidP="00102FDF">
      <w:pPr>
        <w:spacing w:before="120" w:after="12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 xml:space="preserve">The </w:t>
      </w:r>
      <w:r w:rsidR="002834A4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s</w:t>
      </w: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outhern</w:t>
      </w:r>
      <w:r w:rsidR="002834A4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 xml:space="preserve"> o</w:t>
      </w: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utlook</w:t>
      </w:r>
      <w:r w:rsidR="002C5F63">
        <w:rPr>
          <w:rFonts w:ascii="MetaNormal-Roman" w:eastAsiaTheme="minorEastAsia" w:hAnsi="MetaNormal-Roman"/>
          <w:color w:val="055772" w:themeColor="accent1"/>
          <w:kern w:val="2"/>
          <w:sz w:val="28"/>
          <w:szCs w:val="36"/>
          <w14:ligatures w14:val="standardContextual"/>
        </w:rPr>
        <w:t>:</w:t>
      </w:r>
      <w:r w:rsidR="002C5F63" w:rsidRPr="004221F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 xml:space="preserve"> Boonah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br/>
        <w:t>4001 Ipswich-Boonah Road, Boonah, QLD, 4310.</w:t>
      </w:r>
    </w:p>
    <w:p w14:paraId="2EE82A28" w14:textId="301BB233" w:rsidR="00DD007C" w:rsidRPr="00FD7F3E" w:rsidRDefault="00DD007C" w:rsidP="00102FDF">
      <w:pPr>
        <w:spacing w:before="120" w:after="12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The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s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outhern </w:t>
      </w:r>
      <w:r w:rsidR="002834A4">
        <w:rPr>
          <w:rFonts w:ascii="MetaNormal-Roman" w:eastAsiaTheme="minorEastAsia" w:hAnsi="MetaNormal-Roman"/>
          <w:kern w:val="2"/>
          <w:szCs w:val="24"/>
          <w14:ligatures w14:val="standardContextual"/>
        </w:rPr>
        <w:t>o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utlook is a </w:t>
      </w:r>
      <w:r w:rsidR="00C26740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26-hectare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site located in Boonah, approximately 80km south-west of Brisbane city. Its primary function is the delivery of programs targeted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to</w:t>
      </w:r>
      <w:r w:rsidR="005332C3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learning and growth outcomes for young people in, or at risk of entering, the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y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outh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j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ustice system and to provide group-work training to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y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outh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j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ustice staff.</w:t>
      </w:r>
    </w:p>
    <w:p w14:paraId="7759E842" w14:textId="012A5E2E" w:rsidR="00743DE2" w:rsidRPr="00FD7F3E" w:rsidRDefault="00DD007C" w:rsidP="00102FDF">
      <w:pPr>
        <w:spacing w:before="120" w:after="120" w:line="240" w:lineRule="auto"/>
        <w:ind w:right="-24"/>
        <w:jc w:val="both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Across the property there are multiple problem-solving and ropes activities along with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seven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air-conditioned accommodation facilities for up to 100 guests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, in addition to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multiple indoor and outdoor meeting and conference spaces.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Catering options available upon request.</w:t>
      </w:r>
    </w:p>
    <w:p w14:paraId="354E7EAA" w14:textId="5732BA13" w:rsidR="00DD007C" w:rsidRPr="00FD7F3E" w:rsidRDefault="00DD007C" w:rsidP="00102FDF">
      <w:pPr>
        <w:spacing w:before="120" w:after="120" w:line="240" w:lineRule="auto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The Southern Outlook</w:t>
      </w:r>
      <w:r w:rsidR="002C5F63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>: Lake Perseverance</w:t>
      </w:r>
      <w:r w:rsidR="00926081">
        <w:rPr>
          <w:rFonts w:ascii="MetaNormal-Roman" w:eastAsiaTheme="minorEastAsia" w:hAnsi="MetaNormal-Roman"/>
          <w:b/>
          <w:bCs/>
          <w:color w:val="055772" w:themeColor="accent1"/>
          <w:kern w:val="2"/>
          <w:sz w:val="28"/>
          <w:szCs w:val="36"/>
          <w14:ligatures w14:val="standardContextual"/>
        </w:rPr>
        <w:t xml:space="preserve"> Centre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br/>
        <w:t>854 Perseverance Dam Road, Crows Nest, QLD, 4355.</w:t>
      </w:r>
    </w:p>
    <w:p w14:paraId="1F5E09CA" w14:textId="39476C37" w:rsidR="00DD007C" w:rsidRPr="00FD7F3E" w:rsidRDefault="00DD007C" w:rsidP="00102FDF">
      <w:pPr>
        <w:spacing w:before="120" w:after="120" w:line="240" w:lineRule="auto"/>
        <w:ind w:right="9"/>
        <w:jc w:val="both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Lake Perseverance, located near Crows Nest, is a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two-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hectare site that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is located approximately 50 kilometres north of Toowoomba. Lake Perseverance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backs on to the picturesque Lake Perseverance dam</w:t>
      </w:r>
      <w:r w:rsidR="00102FDF">
        <w:rPr>
          <w:rFonts w:ascii="MetaNormal-Roman" w:eastAsiaTheme="minorEastAsia" w:hAnsi="MetaNormal-Roman"/>
          <w:kern w:val="2"/>
          <w:szCs w:val="24"/>
          <w14:ligatures w14:val="standardContextual"/>
        </w:rPr>
        <w:t>. I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ts primary function is the delivery of programs targeted for learning and growth outcomes for young people in, or at risk of entering, the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y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outh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j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ustice system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. Lake Perseverance also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provide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s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group-work training to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y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outh </w:t>
      </w:r>
      <w:r w:rsidR="005332C3">
        <w:rPr>
          <w:rFonts w:ascii="MetaNormal-Roman" w:eastAsiaTheme="minorEastAsia" w:hAnsi="MetaNormal-Roman"/>
          <w:kern w:val="2"/>
          <w:szCs w:val="24"/>
          <w14:ligatures w14:val="standardContextual"/>
        </w:rPr>
        <w:t>j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ustice staff 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and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a wide range of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community 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organisations.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</w:t>
      </w:r>
    </w:p>
    <w:p w14:paraId="75AA4F8A" w14:textId="040F5E3D" w:rsidR="00DD007C" w:rsidRPr="00FD7F3E" w:rsidRDefault="00DD007C" w:rsidP="00102FDF">
      <w:pPr>
        <w:spacing w:before="120" w:after="120" w:line="240" w:lineRule="auto"/>
        <w:ind w:right="-24"/>
        <w:jc w:val="both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Across the property there are areas for problem-solving, orienteering, archery, abseiling, canoeing and ropes activities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. With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12 air-conditioned cabin style accommodation facilities and a large recreation hall</w:t>
      </w:r>
      <w:r w:rsidR="00743DE2"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>, this</w:t>
      </w:r>
      <w:r w:rsidRPr="00FD7F3E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site can accommodate up to 100 guests, with catering options available upon request.</w:t>
      </w:r>
    </w:p>
    <w:bookmarkEnd w:id="0"/>
    <w:p w14:paraId="5E19716E" w14:textId="4637D085" w:rsidR="00862C09" w:rsidRPr="00862C09" w:rsidRDefault="00862C09" w:rsidP="00102FDF">
      <w:pPr>
        <w:spacing w:before="120" w:after="120" w:line="240" w:lineRule="auto"/>
      </w:pPr>
    </w:p>
    <w:sectPr w:rsidR="00862C09" w:rsidRPr="00862C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3258" w14:textId="77777777" w:rsidR="00117451" w:rsidRDefault="00117451" w:rsidP="00DD007C">
      <w:pPr>
        <w:spacing w:after="0" w:line="240" w:lineRule="auto"/>
      </w:pPr>
      <w:r>
        <w:separator/>
      </w:r>
    </w:p>
  </w:endnote>
  <w:endnote w:type="continuationSeparator" w:id="0">
    <w:p w14:paraId="0A244A38" w14:textId="77777777" w:rsidR="00117451" w:rsidRDefault="00117451" w:rsidP="00DD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7686" w14:textId="77777777" w:rsidR="00117451" w:rsidRDefault="00117451" w:rsidP="00DD007C">
      <w:pPr>
        <w:spacing w:after="0" w:line="240" w:lineRule="auto"/>
      </w:pPr>
      <w:r>
        <w:separator/>
      </w:r>
    </w:p>
  </w:footnote>
  <w:footnote w:type="continuationSeparator" w:id="0">
    <w:p w14:paraId="2F757A83" w14:textId="77777777" w:rsidR="00117451" w:rsidRDefault="00117451" w:rsidP="00DD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26B3" w14:textId="0DD0BC2F" w:rsidR="00DD007C" w:rsidRDefault="00DD00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00D2D" wp14:editId="0359CC15">
          <wp:simplePos x="0" y="0"/>
          <wp:positionH relativeFrom="page">
            <wp:align>right</wp:align>
          </wp:positionH>
          <wp:positionV relativeFrom="paragraph">
            <wp:posOffset>-449683</wp:posOffset>
          </wp:positionV>
          <wp:extent cx="7541895" cy="1209675"/>
          <wp:effectExtent l="0" t="0" r="1905" b="9525"/>
          <wp:wrapThrough wrapText="bothSides">
            <wp:wrapPolygon edited="0">
              <wp:start x="0" y="0"/>
              <wp:lineTo x="0" y="21430"/>
              <wp:lineTo x="21551" y="21430"/>
              <wp:lineTo x="215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C"/>
    <w:rsid w:val="00017850"/>
    <w:rsid w:val="000D3F9A"/>
    <w:rsid w:val="00102FDF"/>
    <w:rsid w:val="00105F90"/>
    <w:rsid w:val="00114454"/>
    <w:rsid w:val="00117451"/>
    <w:rsid w:val="001F6DE2"/>
    <w:rsid w:val="00267C5D"/>
    <w:rsid w:val="002834A4"/>
    <w:rsid w:val="002C5F63"/>
    <w:rsid w:val="002F6723"/>
    <w:rsid w:val="00343CFC"/>
    <w:rsid w:val="004221F3"/>
    <w:rsid w:val="005332C3"/>
    <w:rsid w:val="00743DE2"/>
    <w:rsid w:val="008165C0"/>
    <w:rsid w:val="00862C09"/>
    <w:rsid w:val="00926081"/>
    <w:rsid w:val="00932320"/>
    <w:rsid w:val="009E2EAD"/>
    <w:rsid w:val="00A21DBB"/>
    <w:rsid w:val="00B46F20"/>
    <w:rsid w:val="00BC6E5D"/>
    <w:rsid w:val="00C12EC2"/>
    <w:rsid w:val="00C26740"/>
    <w:rsid w:val="00D640A4"/>
    <w:rsid w:val="00DD007C"/>
    <w:rsid w:val="00E35CC5"/>
    <w:rsid w:val="00E400F4"/>
    <w:rsid w:val="00E74F39"/>
    <w:rsid w:val="00F02386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FA9D"/>
  <w15:chartTrackingRefBased/>
  <w15:docId w15:val="{A9490338-D77A-4F70-A427-5ABF4610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405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7C"/>
  </w:style>
  <w:style w:type="paragraph" w:styleId="Footer">
    <w:name w:val="footer"/>
    <w:basedOn w:val="Normal"/>
    <w:link w:val="FooterChar"/>
    <w:uiPriority w:val="99"/>
    <w:unhideWhenUsed/>
    <w:rsid w:val="00DD0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7C"/>
  </w:style>
  <w:style w:type="character" w:customStyle="1" w:styleId="Heading1Char">
    <w:name w:val="Heading 1 Char"/>
    <w:basedOn w:val="DefaultParagraphFont"/>
    <w:link w:val="Heading1"/>
    <w:uiPriority w:val="9"/>
    <w:rsid w:val="00C26740"/>
    <w:rPr>
      <w:rFonts w:asciiTheme="majorHAnsi" w:eastAsiaTheme="majorEastAsia" w:hAnsiTheme="majorHAnsi" w:cstheme="majorBidi"/>
      <w:color w:val="034055" w:themeColor="accent1" w:themeShade="BF"/>
      <w:kern w:val="0"/>
      <w:sz w:val="32"/>
      <w:szCs w:val="32"/>
      <w14:ligatures w14:val="none"/>
    </w:rPr>
  </w:style>
  <w:style w:type="paragraph" w:styleId="Revision">
    <w:name w:val="Revision"/>
    <w:hidden/>
    <w:uiPriority w:val="99"/>
    <w:semiHidden/>
    <w:rsid w:val="00C2674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43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DE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DE2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F6723"/>
    <w:rPr>
      <w:color w:val="4AA6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J Visual Identit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55772"/>
      </a:accent1>
      <a:accent2>
        <a:srgbClr val="4AA6C0"/>
      </a:accent2>
      <a:accent3>
        <a:srgbClr val="E86E25"/>
      </a:accent3>
      <a:accent4>
        <a:srgbClr val="F89A44"/>
      </a:accent4>
      <a:accent5>
        <a:srgbClr val="8AB83F"/>
      </a:accent5>
      <a:accent6>
        <a:srgbClr val="FEC026"/>
      </a:accent6>
      <a:hlink>
        <a:srgbClr val="4AA6C0"/>
      </a:hlink>
      <a:folHlink>
        <a:srgbClr val="0557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NER3HZ3QZUNC-1648413401-224341</_dlc_DocId>
    <_dlc_DocIdUrl xmlns="dbefc7fa-1a1d-4432-8b48-0661d01a2bf9">
      <Url>https://dsitiaqld.sharepoint.com/sites/DESBT/engagement/customer-experience/communications/_layouts/15/DocIdRedir.aspx?ID=NER3HZ3QZUNC-1648413401-224341</Url>
      <Description>NER3HZ3QZUNC-1648413401-224341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4605A-037D-4BBC-B6C8-A1BC9E6FDA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F382AF-7182-49F3-9981-24A480464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B9D18-5816-458C-920D-8B117918E76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fbbf639-a96b-4cb5-b890-7fc984a8433e"/>
    <ds:schemaRef ds:uri="c5cd0b95-ad48-469c-b60b-2c41487abb3e"/>
    <ds:schemaRef ds:uri="http://purl.org/dc/terms/"/>
    <ds:schemaRef ds:uri="http://schemas.microsoft.com/office/2006/documentManagement/types"/>
    <ds:schemaRef ds:uri="dbefc7fa-1a1d-4432-8b48-0661d01a2bf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85ABC-68E4-4C2E-A110-E490919256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Halling</dc:creator>
  <cp:keywords/>
  <dc:description/>
  <cp:lastModifiedBy>Karen Ashton</cp:lastModifiedBy>
  <cp:revision>3</cp:revision>
  <dcterms:created xsi:type="dcterms:W3CDTF">2024-06-20T02:24:00Z</dcterms:created>
  <dcterms:modified xsi:type="dcterms:W3CDTF">2024-06-20T02:25:00Z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9c74f033-5598-4d0e-81d8-5ccd4b96daa9</vt:lpwstr>
  </property>
  <property fmtid="{D5CDD505-2E9C-101B-9397-08002B2CF9AE}" pid="4" name="MediaServiceImageTags">
    <vt:lpwstr/>
  </property>
</Properties>
</file>