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1D9617B" w14:textId="6CD16F14" w:rsidR="00321AC7" w:rsidRPr="0013221D" w:rsidRDefault="00321AC7" w:rsidP="0013221D">
      <w:pPr>
        <w:spacing w:after="240" w:line="200" w:lineRule="exact"/>
        <w:rPr>
          <w:rFonts w:ascii="Arial" w:eastAsia="Times New Roman" w:hAnsi="Arial"/>
          <w:sz w:val="24"/>
        </w:rPr>
      </w:pPr>
    </w:p>
    <w:p w14:paraId="3A3CC05F" w14:textId="77777777" w:rsidR="00321AC7" w:rsidRPr="0013221D" w:rsidRDefault="00321AC7" w:rsidP="0013221D">
      <w:pPr>
        <w:spacing w:after="240" w:line="0" w:lineRule="atLeast"/>
        <w:ind w:left="4"/>
        <w:rPr>
          <w:rFonts w:ascii="Arial" w:eastAsia="Arial" w:hAnsi="Arial"/>
          <w:b/>
          <w:color w:val="055772"/>
          <w:sz w:val="48"/>
          <w:szCs w:val="48"/>
        </w:rPr>
      </w:pPr>
      <w:r w:rsidRPr="0013221D">
        <w:rPr>
          <w:rFonts w:ascii="Arial" w:eastAsia="Arial" w:hAnsi="Arial"/>
          <w:b/>
          <w:color w:val="055772"/>
          <w:sz w:val="48"/>
          <w:szCs w:val="48"/>
        </w:rPr>
        <w:t>YLS/CMI™2.0: Education/Employment</w:t>
      </w:r>
    </w:p>
    <w:p w14:paraId="4C886DCA" w14:textId="77777777" w:rsidR="00321AC7" w:rsidRPr="0013221D" w:rsidRDefault="00321AC7" w:rsidP="0013221D">
      <w:pPr>
        <w:spacing w:after="240" w:line="262" w:lineRule="auto"/>
        <w:ind w:left="4" w:right="246"/>
        <w:rPr>
          <w:rFonts w:ascii="Arial" w:eastAsia="Arial" w:hAnsi="Arial"/>
          <w:sz w:val="22"/>
        </w:rPr>
      </w:pPr>
      <w:r w:rsidRPr="0013221D">
        <w:rPr>
          <w:rFonts w:ascii="Arial" w:eastAsia="Arial" w:hAnsi="Arial"/>
          <w:sz w:val="22"/>
        </w:rPr>
        <w:t>This brief aims to provide information for all Youth Justice staff about what works for young people when addressing assessed need in the Education/Employment domain of the Youth Level of Service/Case Management Inventory (YLS/CMI™) 2.0.</w:t>
      </w:r>
    </w:p>
    <w:p w14:paraId="03EA4922" w14:textId="77777777" w:rsidR="00321AC7" w:rsidRPr="0013221D" w:rsidRDefault="00321AC7" w:rsidP="0013221D">
      <w:pPr>
        <w:spacing w:after="240" w:line="0" w:lineRule="atLeast"/>
        <w:ind w:left="4"/>
        <w:rPr>
          <w:rFonts w:ascii="Arial" w:eastAsia="Arial" w:hAnsi="Arial"/>
          <w:b/>
          <w:color w:val="F89A44"/>
          <w:sz w:val="30"/>
          <w:szCs w:val="30"/>
        </w:rPr>
      </w:pPr>
      <w:r w:rsidRPr="0013221D">
        <w:rPr>
          <w:rFonts w:ascii="Arial" w:eastAsia="Arial" w:hAnsi="Arial"/>
          <w:b/>
          <w:color w:val="F89A44"/>
          <w:sz w:val="30"/>
          <w:szCs w:val="30"/>
        </w:rPr>
        <w:t>High need in Education/Employment: What does this mean?</w:t>
      </w:r>
    </w:p>
    <w:p w14:paraId="148F9E5B" w14:textId="77777777" w:rsidR="00321AC7" w:rsidRPr="0013221D" w:rsidRDefault="00321AC7" w:rsidP="0013221D">
      <w:pPr>
        <w:spacing w:after="240" w:line="0" w:lineRule="atLeast"/>
        <w:ind w:left="4"/>
        <w:rPr>
          <w:rFonts w:ascii="Arial" w:eastAsia="Arial" w:hAnsi="Arial"/>
          <w:sz w:val="22"/>
        </w:rPr>
      </w:pPr>
      <w:r w:rsidRPr="0013221D">
        <w:rPr>
          <w:rFonts w:ascii="Arial" w:eastAsia="Arial" w:hAnsi="Arial"/>
          <w:sz w:val="22"/>
        </w:rPr>
        <w:t>Young people who have high need in the Education/Employment domain of the YLS/CMI™:</w:t>
      </w:r>
    </w:p>
    <w:p w14:paraId="6E971AA2" w14:textId="77777777" w:rsidR="00321AC7" w:rsidRPr="0013221D" w:rsidRDefault="00321AC7" w:rsidP="0013221D">
      <w:pPr>
        <w:pStyle w:val="ListParagraph"/>
        <w:numPr>
          <w:ilvl w:val="0"/>
          <w:numId w:val="4"/>
        </w:numPr>
        <w:tabs>
          <w:tab w:val="left" w:pos="364"/>
        </w:tabs>
        <w:spacing w:after="240" w:line="247" w:lineRule="auto"/>
        <w:ind w:right="406"/>
        <w:rPr>
          <w:rFonts w:ascii="Arial" w:eastAsia="Arial" w:hAnsi="Arial"/>
          <w:sz w:val="22"/>
        </w:rPr>
      </w:pPr>
      <w:r w:rsidRPr="0013221D">
        <w:rPr>
          <w:rFonts w:ascii="Arial" w:eastAsia="Arial" w:hAnsi="Arial"/>
          <w:sz w:val="22"/>
        </w:rPr>
        <w:t>Will often skip school, be completely disengaged, or ‘stuck’ in cycles of frequent school suspensions and at risk of expulsion.</w:t>
      </w:r>
    </w:p>
    <w:p w14:paraId="45B4A564" w14:textId="5DF4288D" w:rsidR="00321AC7" w:rsidRPr="0013221D" w:rsidRDefault="00321AC7" w:rsidP="0013221D">
      <w:pPr>
        <w:pStyle w:val="ListParagraph"/>
        <w:numPr>
          <w:ilvl w:val="0"/>
          <w:numId w:val="4"/>
        </w:numPr>
        <w:tabs>
          <w:tab w:val="left" w:pos="364"/>
        </w:tabs>
        <w:spacing w:after="240" w:line="0" w:lineRule="atLeast"/>
        <w:rPr>
          <w:rFonts w:ascii="Arial" w:eastAsia="Arial" w:hAnsi="Arial"/>
          <w:sz w:val="22"/>
        </w:rPr>
      </w:pPr>
      <w:r w:rsidRPr="0013221D">
        <w:rPr>
          <w:rFonts w:ascii="Arial" w:eastAsia="Arial" w:hAnsi="Arial"/>
          <w:sz w:val="22"/>
        </w:rPr>
        <w:t>Have minimal or no realistic career aspirations.</w:t>
      </w:r>
    </w:p>
    <w:p w14:paraId="4B079DDE" w14:textId="6AF984FA" w:rsidR="00321AC7" w:rsidRPr="0013221D" w:rsidRDefault="00321AC7" w:rsidP="0013221D">
      <w:pPr>
        <w:pStyle w:val="ListParagraph"/>
        <w:numPr>
          <w:ilvl w:val="0"/>
          <w:numId w:val="4"/>
        </w:numPr>
        <w:tabs>
          <w:tab w:val="left" w:pos="364"/>
        </w:tabs>
        <w:spacing w:after="240" w:line="244" w:lineRule="auto"/>
        <w:ind w:right="606"/>
        <w:rPr>
          <w:rFonts w:ascii="Arial" w:eastAsia="Arial" w:hAnsi="Arial"/>
          <w:sz w:val="22"/>
        </w:rPr>
      </w:pPr>
      <w:r w:rsidRPr="0013221D">
        <w:rPr>
          <w:rFonts w:ascii="Arial" w:eastAsia="Arial" w:hAnsi="Arial"/>
          <w:sz w:val="22"/>
        </w:rPr>
        <w:t>May lack emotional regulation and impulse control skills that result in disruptive behaviours that would affect their participation in education/employment (Consider how these factors may interrelate with other criminogenic need areas).</w:t>
      </w:r>
    </w:p>
    <w:p w14:paraId="00348132" w14:textId="109A70E9" w:rsidR="00321AC7" w:rsidRPr="0013221D" w:rsidRDefault="00321AC7" w:rsidP="0013221D">
      <w:pPr>
        <w:pStyle w:val="ListParagraph"/>
        <w:numPr>
          <w:ilvl w:val="0"/>
          <w:numId w:val="4"/>
        </w:numPr>
        <w:tabs>
          <w:tab w:val="left" w:pos="364"/>
        </w:tabs>
        <w:spacing w:after="240" w:line="262" w:lineRule="auto"/>
        <w:ind w:right="866"/>
        <w:rPr>
          <w:rFonts w:ascii="Arial" w:eastAsia="Arial" w:hAnsi="Arial"/>
          <w:sz w:val="22"/>
        </w:rPr>
      </w:pPr>
      <w:r w:rsidRPr="0013221D">
        <w:rPr>
          <w:rFonts w:ascii="Arial" w:eastAsia="Arial" w:hAnsi="Arial"/>
          <w:sz w:val="22"/>
        </w:rPr>
        <w:t>May have developmental delays associated with speech and language or cognitive impairment, or generally be academically behind same aged peers due to frequent disruptions to schooling in earlier years.</w:t>
      </w:r>
    </w:p>
    <w:p w14:paraId="1C14FCCE" w14:textId="0EE25E9D" w:rsidR="00321AC7" w:rsidRPr="0013221D" w:rsidRDefault="00321AC7" w:rsidP="0013221D">
      <w:pPr>
        <w:spacing w:after="240" w:line="0" w:lineRule="atLeast"/>
        <w:ind w:left="4"/>
        <w:rPr>
          <w:rFonts w:ascii="Arial" w:eastAsia="Arial" w:hAnsi="Arial"/>
          <w:b/>
          <w:color w:val="F89A44"/>
          <w:sz w:val="30"/>
          <w:szCs w:val="30"/>
        </w:rPr>
      </w:pPr>
      <w:r w:rsidRPr="0013221D">
        <w:rPr>
          <w:rFonts w:ascii="Arial" w:eastAsia="Arial" w:hAnsi="Arial"/>
          <w:b/>
          <w:color w:val="F89A44"/>
          <w:sz w:val="30"/>
          <w:szCs w:val="30"/>
        </w:rPr>
        <w:t>Why do young people disengage from school?</w:t>
      </w:r>
    </w:p>
    <w:p w14:paraId="03DEC98B" w14:textId="2B071FA4" w:rsidR="00321AC7" w:rsidRPr="0013221D" w:rsidRDefault="00321AC7" w:rsidP="0013221D">
      <w:pPr>
        <w:spacing w:after="240" w:line="268" w:lineRule="auto"/>
        <w:ind w:left="4" w:right="386"/>
        <w:rPr>
          <w:rFonts w:ascii="Arial" w:eastAsia="Arial" w:hAnsi="Arial"/>
          <w:b/>
          <w:color w:val="055772"/>
          <w:sz w:val="26"/>
          <w:szCs w:val="26"/>
        </w:rPr>
      </w:pPr>
      <w:r w:rsidRPr="0013221D">
        <w:rPr>
          <w:rFonts w:ascii="Arial" w:eastAsia="Arial" w:hAnsi="Arial"/>
          <w:b/>
          <w:color w:val="055772"/>
          <w:sz w:val="26"/>
          <w:szCs w:val="26"/>
        </w:rPr>
        <w:t xml:space="preserve">Disengagement from school is often a result of </w:t>
      </w:r>
      <w:hyperlink r:id="rId11" w:history="1">
        <w:r w:rsidRPr="0013221D">
          <w:rPr>
            <w:rFonts w:ascii="Arial" w:eastAsia="Arial" w:hAnsi="Arial"/>
            <w:b/>
            <w:color w:val="055772"/>
            <w:sz w:val="26"/>
            <w:szCs w:val="26"/>
            <w:u w:val="single"/>
          </w:rPr>
          <w:t>interrelated relationships between a</w:t>
        </w:r>
      </w:hyperlink>
      <w:r w:rsidRPr="0013221D">
        <w:rPr>
          <w:rFonts w:ascii="Arial" w:eastAsia="Arial" w:hAnsi="Arial"/>
          <w:b/>
          <w:color w:val="055772"/>
          <w:sz w:val="26"/>
          <w:szCs w:val="26"/>
        </w:rPr>
        <w:t xml:space="preserve"> young persons’ individual characteristics, their risk factors and the home and school environment.</w:t>
      </w:r>
    </w:p>
    <w:p w14:paraId="6C5BF6E2" w14:textId="5E83935F" w:rsidR="00321AC7" w:rsidRPr="0013221D" w:rsidRDefault="00321AC7" w:rsidP="0013221D">
      <w:pPr>
        <w:spacing w:after="240" w:line="247" w:lineRule="auto"/>
        <w:ind w:left="4" w:right="86"/>
        <w:rPr>
          <w:rFonts w:ascii="Arial" w:eastAsia="Arial" w:hAnsi="Arial"/>
          <w:sz w:val="22"/>
        </w:rPr>
      </w:pPr>
      <w:r w:rsidRPr="0013221D">
        <w:rPr>
          <w:rFonts w:ascii="Arial" w:eastAsia="Arial" w:hAnsi="Arial"/>
          <w:sz w:val="22"/>
        </w:rPr>
        <w:t>Disengagement from school is</w:t>
      </w:r>
      <w:r w:rsidRPr="0013221D">
        <w:rPr>
          <w:rFonts w:ascii="Arial" w:eastAsia="Arial" w:hAnsi="Arial"/>
          <w:color w:val="0563C1"/>
          <w:sz w:val="22"/>
        </w:rPr>
        <w:t xml:space="preserve"> </w:t>
      </w:r>
      <w:hyperlink r:id="rId12" w:history="1">
        <w:r w:rsidRPr="0013221D">
          <w:rPr>
            <w:rFonts w:ascii="Arial" w:eastAsia="Arial" w:hAnsi="Arial"/>
            <w:color w:val="0563C1"/>
            <w:sz w:val="22"/>
            <w:u w:val="single"/>
          </w:rPr>
          <w:t>strongly linked with the home and family context</w:t>
        </w:r>
        <w:r w:rsidRPr="0013221D">
          <w:rPr>
            <w:rFonts w:ascii="Arial" w:eastAsia="Arial" w:hAnsi="Arial"/>
            <w:sz w:val="22"/>
            <w:u w:val="single"/>
          </w:rPr>
          <w:t xml:space="preserve"> </w:t>
        </w:r>
      </w:hyperlink>
      <w:r w:rsidRPr="0013221D">
        <w:rPr>
          <w:rFonts w:ascii="Arial" w:eastAsia="Arial" w:hAnsi="Arial"/>
          <w:sz w:val="22"/>
        </w:rPr>
        <w:t>and the degree to which parents can economically, socially, and emotionally support children and young people to engage at school. Attitudes to education within the home or social environment can also lead to early disengagement when education is</w:t>
      </w:r>
      <w:r w:rsidRPr="0013221D">
        <w:rPr>
          <w:rFonts w:ascii="Arial" w:eastAsia="Arial" w:hAnsi="Arial"/>
          <w:color w:val="0563C1"/>
          <w:sz w:val="22"/>
        </w:rPr>
        <w:t xml:space="preserve"> </w:t>
      </w:r>
      <w:hyperlink r:id="rId13" w:history="1">
        <w:r w:rsidRPr="0013221D">
          <w:rPr>
            <w:rFonts w:ascii="Arial" w:eastAsia="Arial" w:hAnsi="Arial"/>
            <w:color w:val="0563C1"/>
            <w:sz w:val="22"/>
            <w:u w:val="single"/>
          </w:rPr>
          <w:t>considered irrelevant</w:t>
        </w:r>
        <w:r w:rsidRPr="0013221D">
          <w:rPr>
            <w:rFonts w:ascii="Arial" w:eastAsia="Arial" w:hAnsi="Arial"/>
            <w:sz w:val="22"/>
            <w:u w:val="single"/>
          </w:rPr>
          <w:t xml:space="preserve"> </w:t>
        </w:r>
      </w:hyperlink>
      <w:r w:rsidRPr="0013221D">
        <w:rPr>
          <w:rFonts w:ascii="Arial" w:eastAsia="Arial" w:hAnsi="Arial"/>
          <w:sz w:val="22"/>
        </w:rPr>
        <w:t>to daily life.</w:t>
      </w:r>
      <w:r w:rsidRPr="0013221D">
        <w:rPr>
          <w:rFonts w:ascii="Arial" w:eastAsia="Arial" w:hAnsi="Arial"/>
          <w:color w:val="0563C1"/>
          <w:sz w:val="22"/>
        </w:rPr>
        <w:t xml:space="preserve"> </w:t>
      </w:r>
      <w:hyperlink r:id="rId14" w:history="1">
        <w:r w:rsidRPr="0013221D">
          <w:rPr>
            <w:rFonts w:ascii="Arial" w:eastAsia="Arial" w:hAnsi="Arial"/>
            <w:color w:val="0563C1"/>
            <w:sz w:val="22"/>
            <w:u w:val="single"/>
          </w:rPr>
          <w:t>Transiency and having multiple school enrolments</w:t>
        </w:r>
        <w:r w:rsidRPr="0013221D">
          <w:rPr>
            <w:rFonts w:ascii="Arial" w:eastAsia="Arial" w:hAnsi="Arial"/>
            <w:sz w:val="22"/>
            <w:u w:val="single"/>
          </w:rPr>
          <w:t xml:space="preserve"> </w:t>
        </w:r>
      </w:hyperlink>
      <w:r w:rsidRPr="0013221D">
        <w:rPr>
          <w:rFonts w:ascii="Arial" w:eastAsia="Arial" w:hAnsi="Arial"/>
          <w:sz w:val="22"/>
        </w:rPr>
        <w:t>(more than three) has a significant impact on young peoples’ education experience, with transition periods being a particularly challenging time for many young people.</w:t>
      </w:r>
    </w:p>
    <w:p w14:paraId="72BD0FE4" w14:textId="1E28DF10" w:rsidR="00321AC7" w:rsidRPr="0013221D" w:rsidRDefault="00321AC7" w:rsidP="0013221D">
      <w:pPr>
        <w:spacing w:after="240" w:line="250" w:lineRule="auto"/>
        <w:ind w:left="4" w:right="86"/>
        <w:rPr>
          <w:rFonts w:ascii="Arial" w:eastAsia="Arial" w:hAnsi="Arial"/>
          <w:sz w:val="22"/>
        </w:rPr>
      </w:pPr>
      <w:r w:rsidRPr="0013221D">
        <w:rPr>
          <w:rFonts w:ascii="Arial" w:eastAsia="Arial" w:hAnsi="Arial"/>
          <w:sz w:val="22"/>
        </w:rPr>
        <w:t>When young people do not have the skills or ability to appropriately manage their behaviours, the educational environment becomes challenging and may result in exclusions from school. These behaviours may include</w:t>
      </w:r>
      <w:r w:rsidRPr="0013221D">
        <w:rPr>
          <w:rFonts w:ascii="Arial" w:eastAsia="Arial" w:hAnsi="Arial"/>
          <w:color w:val="0563C1"/>
          <w:sz w:val="22"/>
        </w:rPr>
        <w:t xml:space="preserve"> </w:t>
      </w:r>
      <w:hyperlink r:id="rId15" w:history="1">
        <w:r w:rsidRPr="0013221D">
          <w:rPr>
            <w:rFonts w:ascii="Arial" w:eastAsia="Arial" w:hAnsi="Arial"/>
            <w:color w:val="0563C1"/>
            <w:sz w:val="22"/>
            <w:u w:val="single"/>
          </w:rPr>
          <w:t>impulsivity</w:t>
        </w:r>
        <w:r w:rsidRPr="0013221D">
          <w:rPr>
            <w:rFonts w:ascii="Arial" w:eastAsia="Arial" w:hAnsi="Arial"/>
            <w:sz w:val="22"/>
            <w:u w:val="single"/>
          </w:rPr>
          <w:t xml:space="preserve">, </w:t>
        </w:r>
      </w:hyperlink>
      <w:r w:rsidRPr="0013221D">
        <w:rPr>
          <w:rFonts w:ascii="Arial" w:eastAsia="Arial" w:hAnsi="Arial"/>
          <w:sz w:val="22"/>
        </w:rPr>
        <w:t>aggression, poor concentration and poor social skills. Mental health issues may also contribute to behavioural responses that impact on the educational experience.</w:t>
      </w:r>
    </w:p>
    <w:p w14:paraId="5536602D" w14:textId="0B33AF5E" w:rsidR="00321AC7" w:rsidRPr="0013221D" w:rsidRDefault="00321AC7" w:rsidP="0013221D">
      <w:pPr>
        <w:spacing w:after="240" w:line="0" w:lineRule="atLeast"/>
        <w:ind w:left="4"/>
        <w:rPr>
          <w:rFonts w:ascii="Arial" w:eastAsia="Arial" w:hAnsi="Arial"/>
          <w:b/>
          <w:color w:val="F89A44"/>
          <w:sz w:val="30"/>
          <w:szCs w:val="30"/>
        </w:rPr>
      </w:pPr>
      <w:r w:rsidRPr="0013221D">
        <w:rPr>
          <w:rFonts w:ascii="Arial" w:eastAsia="Arial" w:hAnsi="Arial"/>
          <w:b/>
          <w:color w:val="F89A44"/>
          <w:sz w:val="30"/>
          <w:szCs w:val="30"/>
        </w:rPr>
        <w:t>How to address high need in Education/Employment?</w:t>
      </w:r>
    </w:p>
    <w:p w14:paraId="2214756B" w14:textId="279D3BD1" w:rsidR="00321AC7" w:rsidRPr="0013221D" w:rsidRDefault="00321AC7" w:rsidP="0013221D">
      <w:pPr>
        <w:spacing w:after="240" w:line="300" w:lineRule="auto"/>
        <w:ind w:left="4" w:right="426"/>
        <w:rPr>
          <w:rFonts w:ascii="Arial" w:eastAsia="Arial" w:hAnsi="Arial"/>
          <w:b/>
          <w:color w:val="055772"/>
          <w:sz w:val="26"/>
          <w:szCs w:val="26"/>
        </w:rPr>
      </w:pPr>
      <w:r w:rsidRPr="0013221D">
        <w:rPr>
          <w:rFonts w:ascii="Arial" w:eastAsia="Arial" w:hAnsi="Arial"/>
          <w:b/>
          <w:color w:val="055772"/>
          <w:sz w:val="26"/>
          <w:szCs w:val="26"/>
        </w:rPr>
        <w:t xml:space="preserve">Addressing high need in Education/Employment means helping the young person to develop a desire to attend school or work and to </w:t>
      </w:r>
      <w:r w:rsidR="0013221D">
        <w:rPr>
          <w:rFonts w:ascii="Arial" w:eastAsia="Arial" w:hAnsi="Arial"/>
          <w:b/>
          <w:color w:val="055772"/>
          <w:sz w:val="26"/>
          <w:szCs w:val="26"/>
        </w:rPr>
        <w:t>a</w:t>
      </w:r>
      <w:r w:rsidRPr="0013221D">
        <w:rPr>
          <w:rFonts w:ascii="Arial" w:eastAsia="Arial" w:hAnsi="Arial"/>
          <w:b/>
          <w:color w:val="055772"/>
          <w:sz w:val="26"/>
          <w:szCs w:val="26"/>
        </w:rPr>
        <w:t>ddress any barriers to participation.</w:t>
      </w:r>
    </w:p>
    <w:p w14:paraId="05E93FE6" w14:textId="77777777" w:rsidR="00321AC7" w:rsidRPr="0013221D" w:rsidRDefault="00321AC7" w:rsidP="0013221D">
      <w:pPr>
        <w:spacing w:after="240" w:line="300" w:lineRule="auto"/>
        <w:ind w:left="4" w:right="426"/>
        <w:rPr>
          <w:rFonts w:ascii="Arial" w:eastAsia="Arial" w:hAnsi="Arial"/>
          <w:b/>
          <w:color w:val="055772"/>
          <w:sz w:val="26"/>
          <w:szCs w:val="26"/>
        </w:rPr>
        <w:sectPr w:rsidR="00321AC7" w:rsidRPr="0013221D" w:rsidSect="007C1280">
          <w:headerReference w:type="default" r:id="rId16"/>
          <w:pgSz w:w="11900" w:h="16838"/>
          <w:pgMar w:top="1440" w:right="1440" w:bottom="1440" w:left="1016" w:header="0" w:footer="0" w:gutter="0"/>
          <w:cols w:space="0" w:equalWidth="0">
            <w:col w:w="9450"/>
          </w:cols>
          <w:docGrid w:linePitch="360"/>
        </w:sectPr>
      </w:pPr>
    </w:p>
    <w:p w14:paraId="60450C9B" w14:textId="1A848D04" w:rsidR="00321AC7" w:rsidRPr="0013221D" w:rsidRDefault="00321AC7" w:rsidP="0013221D">
      <w:pPr>
        <w:spacing w:after="240" w:line="356" w:lineRule="exact"/>
        <w:rPr>
          <w:rFonts w:ascii="Arial" w:eastAsia="Times New Roman" w:hAnsi="Arial"/>
        </w:rPr>
      </w:pPr>
      <w:bookmarkStart w:id="0" w:name="page2"/>
      <w:bookmarkEnd w:id="0"/>
    </w:p>
    <w:p w14:paraId="58269D3B" w14:textId="60B27DC7" w:rsidR="00321AC7" w:rsidRPr="0013221D" w:rsidRDefault="00321AC7" w:rsidP="0013221D">
      <w:pPr>
        <w:spacing w:after="240" w:line="0" w:lineRule="atLeast"/>
        <w:ind w:left="26"/>
        <w:rPr>
          <w:rFonts w:ascii="Arial" w:eastAsia="Arial" w:hAnsi="Arial"/>
          <w:sz w:val="22"/>
        </w:rPr>
      </w:pPr>
      <w:r w:rsidRPr="0013221D">
        <w:rPr>
          <w:rFonts w:ascii="Arial" w:eastAsia="Arial" w:hAnsi="Arial"/>
          <w:sz w:val="22"/>
        </w:rPr>
        <w:t>Youth Justice staff should:</w:t>
      </w:r>
    </w:p>
    <w:p w14:paraId="5C6ACDE7" w14:textId="77777777" w:rsidR="00321AC7" w:rsidRPr="0013221D" w:rsidRDefault="00321AC7" w:rsidP="0013221D">
      <w:pPr>
        <w:pStyle w:val="ListParagraph"/>
        <w:numPr>
          <w:ilvl w:val="0"/>
          <w:numId w:val="5"/>
        </w:numPr>
        <w:tabs>
          <w:tab w:val="left" w:pos="386"/>
        </w:tabs>
        <w:spacing w:after="240" w:line="243" w:lineRule="auto"/>
        <w:ind w:right="280"/>
        <w:rPr>
          <w:rFonts w:ascii="Arial" w:eastAsia="Arial" w:hAnsi="Arial"/>
          <w:sz w:val="22"/>
        </w:rPr>
      </w:pPr>
      <w:r w:rsidRPr="0013221D">
        <w:rPr>
          <w:rFonts w:ascii="Arial" w:eastAsia="Arial" w:hAnsi="Arial"/>
          <w:sz w:val="22"/>
        </w:rPr>
        <w:t>Consider if this need is the first need to be addressed. It is important to maintain principles of effective service response planning i.e.: intrinsic vs extrinsic (high) needs first. For example, a young person high in personality/behaviour or attitudes/orientation may be unable to maintain a presence in school. Addressing these first can improve sustainability of engagement.</w:t>
      </w:r>
    </w:p>
    <w:p w14:paraId="6570DB30" w14:textId="3CC16D09" w:rsidR="00321AC7" w:rsidRPr="0013221D" w:rsidRDefault="007C1280" w:rsidP="0013221D">
      <w:pPr>
        <w:pStyle w:val="ListParagraph"/>
        <w:numPr>
          <w:ilvl w:val="0"/>
          <w:numId w:val="5"/>
        </w:numPr>
        <w:tabs>
          <w:tab w:val="left" w:pos="386"/>
        </w:tabs>
        <w:spacing w:after="240" w:line="244" w:lineRule="auto"/>
        <w:ind w:right="960"/>
        <w:rPr>
          <w:rFonts w:ascii="Arial" w:eastAsia="Arial" w:hAnsi="Arial"/>
          <w:color w:val="0080C0"/>
          <w:sz w:val="22"/>
          <w:u w:val="single"/>
        </w:rPr>
      </w:pPr>
      <w:hyperlink r:id="rId17" w:history="1">
        <w:r w:rsidR="00321AC7" w:rsidRPr="0013221D">
          <w:rPr>
            <w:rFonts w:ascii="Arial" w:eastAsia="Arial" w:hAnsi="Arial"/>
            <w:color w:val="0080C0"/>
            <w:sz w:val="22"/>
            <w:u w:val="single"/>
          </w:rPr>
          <w:t>Identify criminogenic thinking patterns</w:t>
        </w:r>
        <w:r w:rsidR="00321AC7" w:rsidRPr="0013221D">
          <w:rPr>
            <w:rFonts w:ascii="Arial" w:eastAsia="Arial" w:hAnsi="Arial"/>
            <w:color w:val="000000"/>
            <w:sz w:val="22"/>
          </w:rPr>
          <w:t xml:space="preserve"> </w:t>
        </w:r>
      </w:hyperlink>
      <w:r w:rsidR="00321AC7" w:rsidRPr="0013221D">
        <w:rPr>
          <w:rFonts w:ascii="Arial" w:eastAsia="Arial" w:hAnsi="Arial"/>
          <w:color w:val="000000"/>
          <w:sz w:val="22"/>
        </w:rPr>
        <w:t>that may be influencing motivation to engage in education and employment e.g. “school was hard, so I gave up on it” (thinking pattern: Inability to cope).</w:t>
      </w:r>
    </w:p>
    <w:p w14:paraId="3595A418" w14:textId="77777777" w:rsidR="00321AC7" w:rsidRPr="0013221D" w:rsidRDefault="00321AC7" w:rsidP="0013221D">
      <w:pPr>
        <w:pStyle w:val="ListParagraph"/>
        <w:numPr>
          <w:ilvl w:val="0"/>
          <w:numId w:val="5"/>
        </w:numPr>
        <w:tabs>
          <w:tab w:val="left" w:pos="386"/>
        </w:tabs>
        <w:spacing w:after="240" w:line="254" w:lineRule="auto"/>
        <w:ind w:right="320"/>
        <w:rPr>
          <w:rFonts w:ascii="Arial" w:eastAsia="Arial" w:hAnsi="Arial"/>
          <w:sz w:val="22"/>
        </w:rPr>
      </w:pPr>
      <w:r w:rsidRPr="0013221D">
        <w:rPr>
          <w:rFonts w:ascii="Arial" w:eastAsia="Arial" w:hAnsi="Arial"/>
          <w:sz w:val="22"/>
        </w:rPr>
        <w:t>Assess young peoples’ readiness and capacity to engage in Education/Employment activities and, work collaboratively (using</w:t>
      </w:r>
      <w:r w:rsidRPr="0013221D">
        <w:rPr>
          <w:rFonts w:ascii="Arial" w:eastAsia="Arial" w:hAnsi="Arial"/>
          <w:color w:val="0080C0"/>
          <w:sz w:val="22"/>
        </w:rPr>
        <w:t xml:space="preserve"> </w:t>
      </w:r>
      <w:hyperlink r:id="rId18" w:history="1">
        <w:r w:rsidRPr="0013221D">
          <w:rPr>
            <w:rFonts w:ascii="Arial" w:eastAsia="Arial" w:hAnsi="Arial"/>
            <w:color w:val="0080C0"/>
            <w:sz w:val="22"/>
            <w:u w:val="single"/>
          </w:rPr>
          <w:t>Motivational Interviewing</w:t>
        </w:r>
        <w:r w:rsidRPr="0013221D">
          <w:rPr>
            <w:rFonts w:ascii="Arial" w:eastAsia="Arial" w:hAnsi="Arial"/>
            <w:sz w:val="22"/>
            <w:u w:val="single"/>
          </w:rPr>
          <w:t>)</w:t>
        </w:r>
        <w:r w:rsidRPr="0013221D">
          <w:rPr>
            <w:rFonts w:ascii="Arial" w:eastAsia="Arial" w:hAnsi="Arial"/>
            <w:sz w:val="22"/>
          </w:rPr>
          <w:t xml:space="preserve"> </w:t>
        </w:r>
      </w:hyperlink>
      <w:r w:rsidRPr="0013221D">
        <w:rPr>
          <w:rFonts w:ascii="Arial" w:eastAsia="Arial" w:hAnsi="Arial"/>
          <w:sz w:val="22"/>
        </w:rPr>
        <w:t>to draw out YPs motivation, co-develop plan to address barriers/build on strengths and progress through stages of change.</w:t>
      </w:r>
    </w:p>
    <w:p w14:paraId="4732494C" w14:textId="330BD29E" w:rsidR="00321AC7" w:rsidRPr="0013221D" w:rsidRDefault="00321AC7" w:rsidP="0013221D">
      <w:pPr>
        <w:pStyle w:val="ListParagraph"/>
        <w:numPr>
          <w:ilvl w:val="0"/>
          <w:numId w:val="5"/>
        </w:numPr>
        <w:tabs>
          <w:tab w:val="left" w:pos="386"/>
        </w:tabs>
        <w:spacing w:after="240" w:line="236" w:lineRule="auto"/>
        <w:ind w:right="340"/>
        <w:rPr>
          <w:rFonts w:ascii="Arial" w:eastAsia="Arial" w:hAnsi="Arial"/>
          <w:sz w:val="22"/>
        </w:rPr>
      </w:pPr>
      <w:r w:rsidRPr="0013221D">
        <w:rPr>
          <w:rFonts w:ascii="Arial" w:eastAsia="Arial" w:hAnsi="Arial"/>
          <w:sz w:val="22"/>
        </w:rPr>
        <w:t>Support young people and families to identify barriers to school attendance/engagement and link with educational support services who may be able to assist in addressing these barriers and provide ongoing support to maintain engagement.</w:t>
      </w:r>
    </w:p>
    <w:p w14:paraId="09380901" w14:textId="1946E12C" w:rsidR="00321AC7" w:rsidRPr="0013221D" w:rsidRDefault="00321AC7" w:rsidP="0013221D">
      <w:pPr>
        <w:pStyle w:val="ListParagraph"/>
        <w:numPr>
          <w:ilvl w:val="0"/>
          <w:numId w:val="5"/>
        </w:numPr>
        <w:tabs>
          <w:tab w:val="left" w:pos="386"/>
        </w:tabs>
        <w:spacing w:after="240" w:line="235" w:lineRule="auto"/>
        <w:ind w:right="540"/>
        <w:rPr>
          <w:rFonts w:ascii="Arial" w:eastAsia="Arial" w:hAnsi="Arial"/>
          <w:sz w:val="22"/>
        </w:rPr>
      </w:pPr>
      <w:r w:rsidRPr="0013221D">
        <w:rPr>
          <w:rFonts w:ascii="Arial" w:eastAsia="Arial" w:hAnsi="Arial"/>
          <w:sz w:val="22"/>
        </w:rPr>
        <w:t>Encourage and facilitate participation in formal assessment of cognitive functioning where there are suspicions of disability or learning issues.</w:t>
      </w:r>
    </w:p>
    <w:p w14:paraId="2B4FDD28" w14:textId="786F1879" w:rsidR="00321AC7" w:rsidRPr="0013221D" w:rsidRDefault="00321AC7" w:rsidP="0013221D">
      <w:pPr>
        <w:pStyle w:val="ListParagraph"/>
        <w:numPr>
          <w:ilvl w:val="0"/>
          <w:numId w:val="5"/>
        </w:numPr>
        <w:tabs>
          <w:tab w:val="left" w:pos="386"/>
        </w:tabs>
        <w:spacing w:after="240" w:line="235" w:lineRule="auto"/>
        <w:ind w:right="440"/>
        <w:rPr>
          <w:rFonts w:ascii="Arial" w:eastAsia="Arial" w:hAnsi="Arial"/>
          <w:sz w:val="22"/>
        </w:rPr>
      </w:pPr>
      <w:r w:rsidRPr="0013221D">
        <w:rPr>
          <w:rFonts w:ascii="Arial" w:eastAsia="Arial" w:hAnsi="Arial"/>
          <w:sz w:val="22"/>
        </w:rPr>
        <w:t>Consider alternative education pathways and discuss these options with young people and families where appropriate.</w:t>
      </w:r>
    </w:p>
    <w:p w14:paraId="151DEB00" w14:textId="6F02485B" w:rsidR="00321AC7" w:rsidRPr="0013221D" w:rsidRDefault="00321AC7" w:rsidP="0013221D">
      <w:pPr>
        <w:pStyle w:val="ListParagraph"/>
        <w:numPr>
          <w:ilvl w:val="0"/>
          <w:numId w:val="5"/>
        </w:numPr>
        <w:tabs>
          <w:tab w:val="left" w:pos="386"/>
        </w:tabs>
        <w:spacing w:after="240" w:line="236" w:lineRule="auto"/>
        <w:ind w:right="420"/>
        <w:rPr>
          <w:rFonts w:ascii="Arial" w:eastAsia="Arial" w:hAnsi="Arial"/>
          <w:sz w:val="22"/>
        </w:rPr>
      </w:pPr>
      <w:r w:rsidRPr="0013221D">
        <w:rPr>
          <w:rFonts w:ascii="Arial" w:eastAsia="Arial" w:hAnsi="Arial"/>
          <w:sz w:val="22"/>
        </w:rPr>
        <w:t xml:space="preserve">Recognise that re-enrolling a young person alone is not sufficient in addressing this need and consider all the above </w:t>
      </w:r>
      <w:r w:rsidRPr="0013221D">
        <w:rPr>
          <w:rFonts w:ascii="Arial" w:eastAsia="Arial" w:hAnsi="Arial"/>
          <w:b/>
          <w:sz w:val="22"/>
        </w:rPr>
        <w:t>‘</w:t>
      </w:r>
      <w:r w:rsidRPr="0013221D">
        <w:rPr>
          <w:rFonts w:ascii="Arial" w:eastAsia="Arial" w:hAnsi="Arial"/>
          <w:sz w:val="22"/>
        </w:rPr>
        <w:t>how to address’ and below ‘how to encourage’ points along with practical re-enrolment matters.</w:t>
      </w:r>
    </w:p>
    <w:p w14:paraId="53AC0893" w14:textId="04B9180D" w:rsidR="00321AC7" w:rsidRPr="0013221D" w:rsidRDefault="00321AC7" w:rsidP="0013221D">
      <w:pPr>
        <w:spacing w:after="240" w:line="0" w:lineRule="atLeast"/>
        <w:ind w:left="6"/>
        <w:rPr>
          <w:rFonts w:ascii="Arial" w:eastAsia="Arial" w:hAnsi="Arial"/>
          <w:b/>
          <w:color w:val="F89A44"/>
          <w:sz w:val="30"/>
          <w:szCs w:val="30"/>
        </w:rPr>
      </w:pPr>
      <w:r w:rsidRPr="0013221D">
        <w:rPr>
          <w:rFonts w:ascii="Arial" w:eastAsia="Arial" w:hAnsi="Arial"/>
          <w:b/>
          <w:color w:val="F89A44"/>
          <w:sz w:val="30"/>
          <w:szCs w:val="30"/>
        </w:rPr>
        <w:t>Which external service providers can support need in Education/Employment?</w:t>
      </w:r>
    </w:p>
    <w:p w14:paraId="515E52F8" w14:textId="36A600BD" w:rsidR="00321AC7" w:rsidRPr="0013221D" w:rsidRDefault="00321AC7" w:rsidP="0013221D">
      <w:pPr>
        <w:spacing w:after="240" w:line="298" w:lineRule="auto"/>
        <w:ind w:left="6" w:right="440"/>
        <w:rPr>
          <w:rFonts w:ascii="Arial" w:eastAsia="Arial" w:hAnsi="Arial"/>
          <w:b/>
          <w:color w:val="055772"/>
          <w:sz w:val="26"/>
          <w:szCs w:val="26"/>
        </w:rPr>
      </w:pPr>
      <w:r w:rsidRPr="0013221D">
        <w:rPr>
          <w:rFonts w:ascii="Arial" w:eastAsia="Arial" w:hAnsi="Arial"/>
          <w:b/>
          <w:color w:val="055772"/>
          <w:sz w:val="26"/>
          <w:szCs w:val="26"/>
        </w:rPr>
        <w:t>These will vary based on your location. A service map might help identify local resources and providers.</w:t>
      </w:r>
    </w:p>
    <w:p w14:paraId="1D63101E" w14:textId="0382C32A" w:rsidR="00321AC7" w:rsidRPr="0013221D" w:rsidRDefault="00321AC7" w:rsidP="0013221D">
      <w:pPr>
        <w:spacing w:after="240" w:line="283" w:lineRule="auto"/>
        <w:ind w:left="6" w:right="220"/>
        <w:rPr>
          <w:rFonts w:ascii="Arial" w:eastAsia="Arial" w:hAnsi="Arial"/>
          <w:sz w:val="22"/>
        </w:rPr>
      </w:pPr>
      <w:r w:rsidRPr="0013221D">
        <w:rPr>
          <w:rFonts w:ascii="Arial" w:eastAsia="Arial" w:hAnsi="Arial"/>
          <w:sz w:val="22"/>
        </w:rPr>
        <w:t>It is important that all centres build an understanding of the local services and programs available to assist young people with education and employment support.</w:t>
      </w:r>
    </w:p>
    <w:p w14:paraId="26718B1D" w14:textId="784C2157" w:rsidR="00321AC7" w:rsidRPr="0013221D" w:rsidRDefault="00321AC7" w:rsidP="0013221D">
      <w:pPr>
        <w:spacing w:after="240" w:line="0" w:lineRule="atLeast"/>
        <w:ind w:left="6"/>
        <w:rPr>
          <w:rFonts w:ascii="Arial" w:eastAsia="Arial" w:hAnsi="Arial"/>
          <w:b/>
          <w:color w:val="F89A44"/>
          <w:sz w:val="30"/>
          <w:szCs w:val="30"/>
        </w:rPr>
      </w:pPr>
      <w:r w:rsidRPr="0013221D">
        <w:rPr>
          <w:rFonts w:ascii="Arial" w:eastAsia="Arial" w:hAnsi="Arial"/>
          <w:b/>
          <w:color w:val="F89A44"/>
          <w:sz w:val="30"/>
          <w:szCs w:val="30"/>
        </w:rPr>
        <w:t>What core programs address high Education/Employment need?</w:t>
      </w:r>
    </w:p>
    <w:p w14:paraId="32FC1F09" w14:textId="494AD9AE" w:rsidR="00321AC7" w:rsidRPr="0013221D" w:rsidRDefault="00321AC7" w:rsidP="0013221D">
      <w:pPr>
        <w:pStyle w:val="ListParagraph"/>
        <w:numPr>
          <w:ilvl w:val="0"/>
          <w:numId w:val="6"/>
        </w:numPr>
        <w:tabs>
          <w:tab w:val="left" w:pos="366"/>
        </w:tabs>
        <w:spacing w:after="240" w:line="0" w:lineRule="atLeast"/>
        <w:rPr>
          <w:rFonts w:ascii="Arial" w:eastAsia="Arial" w:hAnsi="Arial"/>
          <w:sz w:val="22"/>
        </w:rPr>
      </w:pPr>
      <w:r w:rsidRPr="0013221D">
        <w:rPr>
          <w:rFonts w:ascii="Arial" w:eastAsia="Arial" w:hAnsi="Arial"/>
          <w:sz w:val="22"/>
        </w:rPr>
        <w:t>Transition to Success (T2S)</w:t>
      </w:r>
    </w:p>
    <w:p w14:paraId="53AC03FC" w14:textId="76C190E0" w:rsidR="00321AC7" w:rsidRPr="0013221D" w:rsidRDefault="00321AC7" w:rsidP="0013221D">
      <w:pPr>
        <w:pStyle w:val="ListParagraph"/>
        <w:numPr>
          <w:ilvl w:val="0"/>
          <w:numId w:val="6"/>
        </w:numPr>
        <w:tabs>
          <w:tab w:val="left" w:pos="366"/>
        </w:tabs>
        <w:spacing w:after="240" w:line="0" w:lineRule="atLeast"/>
        <w:rPr>
          <w:rFonts w:ascii="Arial" w:eastAsia="Arial" w:hAnsi="Arial"/>
          <w:sz w:val="22"/>
        </w:rPr>
      </w:pPr>
      <w:r w:rsidRPr="0013221D">
        <w:rPr>
          <w:rFonts w:ascii="Arial" w:eastAsia="Arial" w:hAnsi="Arial"/>
          <w:sz w:val="22"/>
        </w:rPr>
        <w:t>Black Chicks Talking (BCT)</w:t>
      </w:r>
    </w:p>
    <w:p w14:paraId="6F11B49D" w14:textId="02BD1ED4" w:rsidR="00321AC7" w:rsidRPr="0013221D" w:rsidRDefault="00321AC7" w:rsidP="0013221D">
      <w:pPr>
        <w:pStyle w:val="ListParagraph"/>
        <w:numPr>
          <w:ilvl w:val="0"/>
          <w:numId w:val="6"/>
        </w:numPr>
        <w:tabs>
          <w:tab w:val="left" w:pos="366"/>
        </w:tabs>
        <w:spacing w:after="240" w:line="0" w:lineRule="atLeast"/>
        <w:rPr>
          <w:rFonts w:ascii="Arial" w:eastAsia="Arial" w:hAnsi="Arial"/>
          <w:sz w:val="22"/>
        </w:rPr>
      </w:pPr>
      <w:r w:rsidRPr="0013221D">
        <w:rPr>
          <w:rFonts w:ascii="Arial" w:eastAsia="Arial" w:hAnsi="Arial"/>
          <w:sz w:val="22"/>
        </w:rPr>
        <w:t>Integrated Case Management (ICM)</w:t>
      </w:r>
    </w:p>
    <w:p w14:paraId="756BDDB3" w14:textId="3DD095DD" w:rsidR="00321AC7" w:rsidRPr="0013221D" w:rsidRDefault="00321AC7" w:rsidP="0013221D">
      <w:pPr>
        <w:pStyle w:val="ListParagraph"/>
        <w:numPr>
          <w:ilvl w:val="0"/>
          <w:numId w:val="6"/>
        </w:numPr>
        <w:tabs>
          <w:tab w:val="left" w:pos="366"/>
        </w:tabs>
        <w:spacing w:after="240" w:line="0" w:lineRule="atLeast"/>
        <w:rPr>
          <w:rFonts w:ascii="Arial" w:eastAsia="Arial" w:hAnsi="Arial"/>
          <w:sz w:val="22"/>
        </w:rPr>
      </w:pPr>
      <w:r w:rsidRPr="0013221D">
        <w:rPr>
          <w:rFonts w:ascii="Arial" w:eastAsia="Arial" w:hAnsi="Arial"/>
          <w:sz w:val="22"/>
        </w:rPr>
        <w:t>Changing Habits and Reaching Targets (CHART)*</w:t>
      </w:r>
    </w:p>
    <w:p w14:paraId="46250813" w14:textId="59C1238E" w:rsidR="00321AC7" w:rsidRPr="0013221D" w:rsidRDefault="00321AC7" w:rsidP="0013221D">
      <w:pPr>
        <w:pStyle w:val="ListParagraph"/>
        <w:numPr>
          <w:ilvl w:val="0"/>
          <w:numId w:val="6"/>
        </w:numPr>
        <w:tabs>
          <w:tab w:val="left" w:pos="366"/>
        </w:tabs>
        <w:spacing w:after="240" w:line="0" w:lineRule="atLeast"/>
        <w:rPr>
          <w:rFonts w:ascii="Arial" w:eastAsia="Arial" w:hAnsi="Arial"/>
          <w:sz w:val="22"/>
        </w:rPr>
      </w:pPr>
      <w:r w:rsidRPr="0013221D">
        <w:rPr>
          <w:rFonts w:ascii="Arial" w:eastAsia="Arial" w:hAnsi="Arial"/>
          <w:sz w:val="22"/>
        </w:rPr>
        <w:t>Girls… Moving On (GMO)*</w:t>
      </w:r>
    </w:p>
    <w:p w14:paraId="15B3980C" w14:textId="77777777" w:rsidR="00321AC7" w:rsidRPr="0013221D" w:rsidRDefault="00321AC7" w:rsidP="0013221D">
      <w:pPr>
        <w:spacing w:after="240" w:line="236" w:lineRule="exact"/>
        <w:rPr>
          <w:rFonts w:ascii="Arial" w:eastAsia="Arial" w:hAnsi="Arial"/>
          <w:sz w:val="22"/>
        </w:rPr>
      </w:pPr>
    </w:p>
    <w:p w14:paraId="25DCC15A" w14:textId="77777777" w:rsidR="00321AC7" w:rsidRPr="0013221D" w:rsidRDefault="00321AC7" w:rsidP="0013221D">
      <w:pPr>
        <w:spacing w:after="240" w:line="0" w:lineRule="atLeast"/>
        <w:ind w:left="6"/>
        <w:rPr>
          <w:rFonts w:ascii="Arial" w:eastAsia="Arial" w:hAnsi="Arial"/>
          <w:i/>
          <w:sz w:val="16"/>
        </w:rPr>
      </w:pPr>
      <w:r w:rsidRPr="0013221D">
        <w:rPr>
          <w:rFonts w:ascii="Arial" w:eastAsia="Arial" w:hAnsi="Arial"/>
          <w:i/>
          <w:sz w:val="16"/>
        </w:rPr>
        <w:t>*While CHART does not address Education/Employment needs specifically, it includes a discretionary module on ‘Education and Work’.</w:t>
      </w:r>
    </w:p>
    <w:p w14:paraId="0F726A04" w14:textId="77777777" w:rsidR="00321AC7" w:rsidRPr="0013221D" w:rsidRDefault="00321AC7" w:rsidP="0013221D">
      <w:pPr>
        <w:spacing w:after="240" w:line="0" w:lineRule="atLeast"/>
        <w:rPr>
          <w:rFonts w:ascii="Arial" w:eastAsia="Arial" w:hAnsi="Arial"/>
          <w:i/>
          <w:sz w:val="16"/>
        </w:rPr>
      </w:pPr>
      <w:r w:rsidRPr="0013221D">
        <w:rPr>
          <w:rFonts w:ascii="Arial" w:eastAsia="Arial" w:hAnsi="Arial"/>
          <w:i/>
          <w:sz w:val="16"/>
        </w:rPr>
        <w:t>GMO also includes a module on Making Connections and exploring work opportunities.</w:t>
      </w:r>
    </w:p>
    <w:sectPr w:rsidR="00321AC7" w:rsidRPr="0013221D" w:rsidSect="003557E0">
      <w:pgSz w:w="11900" w:h="16838"/>
      <w:pgMar w:top="1843" w:right="1026" w:bottom="1440" w:left="1094" w:header="0" w:footer="0" w:gutter="0"/>
      <w:cols w:space="0" w:equalWidth="0">
        <w:col w:w="978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60B7F" w14:textId="77777777" w:rsidR="0013221D" w:rsidRDefault="0013221D" w:rsidP="0013221D">
      <w:r>
        <w:separator/>
      </w:r>
    </w:p>
  </w:endnote>
  <w:endnote w:type="continuationSeparator" w:id="0">
    <w:p w14:paraId="4BFB00B4" w14:textId="77777777" w:rsidR="0013221D" w:rsidRDefault="0013221D" w:rsidP="00132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0A752" w14:textId="77777777" w:rsidR="0013221D" w:rsidRDefault="0013221D" w:rsidP="0013221D">
      <w:r>
        <w:separator/>
      </w:r>
    </w:p>
  </w:footnote>
  <w:footnote w:type="continuationSeparator" w:id="0">
    <w:p w14:paraId="368BE692" w14:textId="77777777" w:rsidR="0013221D" w:rsidRDefault="0013221D" w:rsidP="001322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7EAD8" w14:textId="70046758" w:rsidR="0013221D" w:rsidRDefault="007C1280">
    <w:pPr>
      <w:pStyle w:val="Header"/>
    </w:pPr>
    <w:r>
      <w:rPr>
        <w:noProof/>
      </w:rPr>
      <w:drawing>
        <wp:anchor distT="0" distB="0" distL="114300" distR="114300" simplePos="0" relativeHeight="251658240" behindDoc="1" locked="0" layoutInCell="1" allowOverlap="1" wp14:anchorId="73FD8B35" wp14:editId="67E3A951">
          <wp:simplePos x="0" y="0"/>
          <wp:positionH relativeFrom="column">
            <wp:posOffset>-664210</wp:posOffset>
          </wp:positionH>
          <wp:positionV relativeFrom="paragraph">
            <wp:posOffset>0</wp:posOffset>
          </wp:positionV>
          <wp:extent cx="7588250" cy="10738772"/>
          <wp:effectExtent l="0" t="0" r="0" b="5715"/>
          <wp:wrapNone/>
          <wp:docPr id="273817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17264"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431" cy="10751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6334872"/>
    <w:lvl w:ilvl="0" w:tplc="BF687B8C">
      <w:start w:val="1"/>
      <w:numFmt w:val="bullet"/>
      <w:lvlText w:val="•"/>
      <w:lvlJc w:val="left"/>
    </w:lvl>
    <w:lvl w:ilvl="1" w:tplc="0E5C6264">
      <w:start w:val="1"/>
      <w:numFmt w:val="bullet"/>
      <w:lvlText w:val=""/>
      <w:lvlJc w:val="left"/>
    </w:lvl>
    <w:lvl w:ilvl="2" w:tplc="151E6BD8">
      <w:start w:val="1"/>
      <w:numFmt w:val="bullet"/>
      <w:lvlText w:val=""/>
      <w:lvlJc w:val="left"/>
    </w:lvl>
    <w:lvl w:ilvl="3" w:tplc="BD4A51C6">
      <w:start w:val="1"/>
      <w:numFmt w:val="bullet"/>
      <w:lvlText w:val=""/>
      <w:lvlJc w:val="left"/>
    </w:lvl>
    <w:lvl w:ilvl="4" w:tplc="B33A6262">
      <w:start w:val="1"/>
      <w:numFmt w:val="bullet"/>
      <w:lvlText w:val=""/>
      <w:lvlJc w:val="left"/>
    </w:lvl>
    <w:lvl w:ilvl="5" w:tplc="D4C057A2">
      <w:start w:val="1"/>
      <w:numFmt w:val="bullet"/>
      <w:lvlText w:val=""/>
      <w:lvlJc w:val="left"/>
    </w:lvl>
    <w:lvl w:ilvl="6" w:tplc="7440218A">
      <w:start w:val="1"/>
      <w:numFmt w:val="bullet"/>
      <w:lvlText w:val=""/>
      <w:lvlJc w:val="left"/>
    </w:lvl>
    <w:lvl w:ilvl="7" w:tplc="372ABEC4">
      <w:start w:val="1"/>
      <w:numFmt w:val="bullet"/>
      <w:lvlText w:val=""/>
      <w:lvlJc w:val="left"/>
    </w:lvl>
    <w:lvl w:ilvl="8" w:tplc="F3408B32">
      <w:start w:val="1"/>
      <w:numFmt w:val="bullet"/>
      <w:lvlText w:val=""/>
      <w:lvlJc w:val="left"/>
    </w:lvl>
  </w:abstractNum>
  <w:abstractNum w:abstractNumId="1" w15:restartNumberingAfterBreak="0">
    <w:nsid w:val="00000002"/>
    <w:multiLevelType w:val="hybridMultilevel"/>
    <w:tmpl w:val="74B0DC50"/>
    <w:lvl w:ilvl="0" w:tplc="652E3306">
      <w:start w:val="1"/>
      <w:numFmt w:val="bullet"/>
      <w:lvlText w:val="•"/>
      <w:lvlJc w:val="left"/>
    </w:lvl>
    <w:lvl w:ilvl="1" w:tplc="EE9A2CEE">
      <w:start w:val="1"/>
      <w:numFmt w:val="bullet"/>
      <w:lvlText w:val=""/>
      <w:lvlJc w:val="left"/>
    </w:lvl>
    <w:lvl w:ilvl="2" w:tplc="0A06F93A">
      <w:start w:val="1"/>
      <w:numFmt w:val="bullet"/>
      <w:lvlText w:val=""/>
      <w:lvlJc w:val="left"/>
    </w:lvl>
    <w:lvl w:ilvl="3" w:tplc="B9C416D8">
      <w:start w:val="1"/>
      <w:numFmt w:val="bullet"/>
      <w:lvlText w:val=""/>
      <w:lvlJc w:val="left"/>
    </w:lvl>
    <w:lvl w:ilvl="4" w:tplc="C99AC5DA">
      <w:start w:val="1"/>
      <w:numFmt w:val="bullet"/>
      <w:lvlText w:val=""/>
      <w:lvlJc w:val="left"/>
    </w:lvl>
    <w:lvl w:ilvl="5" w:tplc="DE04E700">
      <w:start w:val="1"/>
      <w:numFmt w:val="bullet"/>
      <w:lvlText w:val=""/>
      <w:lvlJc w:val="left"/>
    </w:lvl>
    <w:lvl w:ilvl="6" w:tplc="7A4639A2">
      <w:start w:val="1"/>
      <w:numFmt w:val="bullet"/>
      <w:lvlText w:val=""/>
      <w:lvlJc w:val="left"/>
    </w:lvl>
    <w:lvl w:ilvl="7" w:tplc="66289152">
      <w:start w:val="1"/>
      <w:numFmt w:val="bullet"/>
      <w:lvlText w:val=""/>
      <w:lvlJc w:val="left"/>
    </w:lvl>
    <w:lvl w:ilvl="8" w:tplc="5C386BF6">
      <w:start w:val="1"/>
      <w:numFmt w:val="bullet"/>
      <w:lvlText w:val=""/>
      <w:lvlJc w:val="left"/>
    </w:lvl>
  </w:abstractNum>
  <w:abstractNum w:abstractNumId="2" w15:restartNumberingAfterBreak="0">
    <w:nsid w:val="00000003"/>
    <w:multiLevelType w:val="hybridMultilevel"/>
    <w:tmpl w:val="19495CFE"/>
    <w:lvl w:ilvl="0" w:tplc="06040F76">
      <w:start w:val="1"/>
      <w:numFmt w:val="bullet"/>
      <w:lvlText w:val="•"/>
      <w:lvlJc w:val="left"/>
    </w:lvl>
    <w:lvl w:ilvl="1" w:tplc="785CDCC8">
      <w:start w:val="1"/>
      <w:numFmt w:val="bullet"/>
      <w:lvlText w:val=""/>
      <w:lvlJc w:val="left"/>
    </w:lvl>
    <w:lvl w:ilvl="2" w:tplc="A44EF414">
      <w:start w:val="1"/>
      <w:numFmt w:val="bullet"/>
      <w:lvlText w:val=""/>
      <w:lvlJc w:val="left"/>
    </w:lvl>
    <w:lvl w:ilvl="3" w:tplc="2654CB4A">
      <w:start w:val="1"/>
      <w:numFmt w:val="bullet"/>
      <w:lvlText w:val=""/>
      <w:lvlJc w:val="left"/>
    </w:lvl>
    <w:lvl w:ilvl="4" w:tplc="4E3CE3C6">
      <w:start w:val="1"/>
      <w:numFmt w:val="bullet"/>
      <w:lvlText w:val=""/>
      <w:lvlJc w:val="left"/>
    </w:lvl>
    <w:lvl w:ilvl="5" w:tplc="E140F976">
      <w:start w:val="1"/>
      <w:numFmt w:val="bullet"/>
      <w:lvlText w:val=""/>
      <w:lvlJc w:val="left"/>
    </w:lvl>
    <w:lvl w:ilvl="6" w:tplc="A94A0FD6">
      <w:start w:val="1"/>
      <w:numFmt w:val="bullet"/>
      <w:lvlText w:val=""/>
      <w:lvlJc w:val="left"/>
    </w:lvl>
    <w:lvl w:ilvl="7" w:tplc="DF02CC36">
      <w:start w:val="1"/>
      <w:numFmt w:val="bullet"/>
      <w:lvlText w:val=""/>
      <w:lvlJc w:val="left"/>
    </w:lvl>
    <w:lvl w:ilvl="8" w:tplc="DE7CF6FA">
      <w:start w:val="1"/>
      <w:numFmt w:val="bullet"/>
      <w:lvlText w:val=""/>
      <w:lvlJc w:val="left"/>
    </w:lvl>
  </w:abstractNum>
  <w:abstractNum w:abstractNumId="3" w15:restartNumberingAfterBreak="0">
    <w:nsid w:val="2C270464"/>
    <w:multiLevelType w:val="hybridMultilevel"/>
    <w:tmpl w:val="56BA8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7273641"/>
    <w:multiLevelType w:val="hybridMultilevel"/>
    <w:tmpl w:val="F0C2CFFE"/>
    <w:lvl w:ilvl="0" w:tplc="F106138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DE11164"/>
    <w:multiLevelType w:val="hybridMultilevel"/>
    <w:tmpl w:val="B0A65F5C"/>
    <w:lvl w:ilvl="0" w:tplc="F106138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8929294">
    <w:abstractNumId w:val="0"/>
  </w:num>
  <w:num w:numId="2" w16cid:durableId="1519585755">
    <w:abstractNumId w:val="1"/>
  </w:num>
  <w:num w:numId="3" w16cid:durableId="1330596092">
    <w:abstractNumId w:val="2"/>
  </w:num>
  <w:num w:numId="4" w16cid:durableId="825127570">
    <w:abstractNumId w:val="3"/>
  </w:num>
  <w:num w:numId="5" w16cid:durableId="974409678">
    <w:abstractNumId w:val="4"/>
  </w:num>
  <w:num w:numId="6" w16cid:durableId="5124997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AC7"/>
    <w:rsid w:val="0013221D"/>
    <w:rsid w:val="00211C23"/>
    <w:rsid w:val="00321AC7"/>
    <w:rsid w:val="003557E0"/>
    <w:rsid w:val="0066523F"/>
    <w:rsid w:val="007C12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382FC2"/>
  <w15:chartTrackingRefBased/>
  <w15:docId w15:val="{A270AC3D-8ABC-40C5-8976-A8CB0FA8B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21D"/>
    <w:pPr>
      <w:tabs>
        <w:tab w:val="center" w:pos="4513"/>
        <w:tab w:val="right" w:pos="9026"/>
      </w:tabs>
    </w:pPr>
  </w:style>
  <w:style w:type="character" w:customStyle="1" w:styleId="HeaderChar">
    <w:name w:val="Header Char"/>
    <w:basedOn w:val="DefaultParagraphFont"/>
    <w:link w:val="Header"/>
    <w:uiPriority w:val="99"/>
    <w:rsid w:val="0013221D"/>
  </w:style>
  <w:style w:type="paragraph" w:styleId="Footer">
    <w:name w:val="footer"/>
    <w:basedOn w:val="Normal"/>
    <w:link w:val="FooterChar"/>
    <w:uiPriority w:val="99"/>
    <w:unhideWhenUsed/>
    <w:rsid w:val="0013221D"/>
    <w:pPr>
      <w:tabs>
        <w:tab w:val="center" w:pos="4513"/>
        <w:tab w:val="right" w:pos="9026"/>
      </w:tabs>
    </w:pPr>
  </w:style>
  <w:style w:type="character" w:customStyle="1" w:styleId="FooterChar">
    <w:name w:val="Footer Char"/>
    <w:basedOn w:val="DefaultParagraphFont"/>
    <w:link w:val="Footer"/>
    <w:uiPriority w:val="99"/>
    <w:rsid w:val="0013221D"/>
  </w:style>
  <w:style w:type="paragraph" w:styleId="ListParagraph">
    <w:name w:val="List Paragraph"/>
    <w:basedOn w:val="Normal"/>
    <w:uiPriority w:val="34"/>
    <w:qFormat/>
    <w:rsid w:val="001322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ebus.root.internal/dc/YouthJustice/General/Shared/Youth%20Justice%20Resources/Endnote%20Library%20PDFs/RNR/Schwab_2012_Indigenous_early_school_leavers.pdf" TargetMode="External"/><Relationship Id="rId18" Type="http://schemas.openxmlformats.org/officeDocument/2006/relationships/hyperlink" Target="file://ebus.root.internal/dc/YouthJustice/General/Shared/Youth%20Justice%20Resources/Endnote%20Library%20PDFs/RNR/Tafrate,%20et%20al_2019_Integrating%20Motivational%20Interviewing%20with%20RNR%20based%20practice.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file://ebus.root.internal/dc/YouthJustice/General/Shared/Youth%20Justice%20Resources/Endnote%20Library%20PDFs/RNR/Report_2015_Education-children-at-risk-of-disengaging-from-school-literature-review.pdf" TargetMode="External"/><Relationship Id="rId17" Type="http://schemas.openxmlformats.org/officeDocument/2006/relationships/hyperlink" Target="file://ebus.root.internal/dc/YouthJustice/General/Shared/Youth%20Justice%20Resources/Endnote%20Library%20PDFs/Tafrate%20et%20al_Criminogenic%20Thinking%20among%20Justice%20involved%20people%20-%20Federal%20Probation%20Article.pdf"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ebus.root.internal/dc/YouthJustice/General/Shared/Youth%20Justice%20Resources/Endnote%20Library%20PDFs/RNR/Report_2014_Dont%20call%20them%20dropouts%20-%20understanding%20the%20experiences%20of%20young%20people%20who%20leave%20high%20school.pdf" TargetMode="External"/><Relationship Id="rId5" Type="http://schemas.openxmlformats.org/officeDocument/2006/relationships/numbering" Target="numbering.xml"/><Relationship Id="rId15" Type="http://schemas.openxmlformats.org/officeDocument/2006/relationships/hyperlink" Target="file://ebus.root.internal/dc/YouthJustice/General/Shared/ERIC/ADDITIONAL%20RESOURCES/definition%20ERIC.docx"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ebus.root.internal/dc/YouthJustice/General/Shared/Youth%20Justice%20Resources/Endnote%20Library%20PDFs/RNR/Report_2022_Qld_Yarning%20for%20Change%20-%20Interim%20Repor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a45734b7-3c4a-4003-87e0-54aa8a21508e" ContentTypeId="0x010100B152FE0A27636C4F8C85B65586C31A94"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Status xmlns="b7fcd359-19c8-40e3-b19f-91106bd6c442">Draft</DocumentStatus>
    <TaxCatchAll xmlns="b7fcd359-19c8-40e3-b19f-91106bd6c442">
      <Value>2</Value>
      <Value>1</Value>
    </TaxCatchAll>
    <e931cd5c47b2478a988e0e7e19f8435a xmlns="b7fcd359-19c8-40e3-b19f-91106bd6c442">
      <Terms xmlns="http://schemas.microsoft.com/office/infopath/2007/PartnerControls">
        <TermInfo xmlns="http://schemas.microsoft.com/office/infopath/2007/PartnerControls">
          <TermName xmlns="http://schemas.microsoft.com/office/infopath/2007/PartnerControls">General</TermName>
          <TermId xmlns="http://schemas.microsoft.com/office/infopath/2007/PartnerControls">0d2b879a-0e80-4be0-a339-283a7d647e61</TermId>
        </TermInfo>
      </Terms>
    </e931cd5c47b2478a988e0e7e19f8435a>
    <l1ff8f55bb39424dbc58051f4cb1d39f xmlns="b7fcd359-19c8-40e3-b19f-91106bd6c442">
      <Terms xmlns="http://schemas.microsoft.com/office/infopath/2007/PartnerControls">
        <TermInfo xmlns="http://schemas.microsoft.com/office/infopath/2007/PartnerControls">
          <TermName xmlns="http://schemas.microsoft.com/office/infopath/2007/PartnerControls">Youth Justice Services</TermName>
          <TermId xmlns="http://schemas.microsoft.com/office/infopath/2007/PartnerControls">bb81fddc-2000-41ca-80b6-ccc12b0080ef</TermId>
        </TermInfo>
      </Terms>
    </l1ff8f55bb39424dbc58051f4cb1d39f>
  </documentManagement>
</p:properties>
</file>

<file path=customXml/item4.xml><?xml version="1.0" encoding="utf-8"?>
<ct:contentTypeSchema xmlns:ct="http://schemas.microsoft.com/office/2006/metadata/contentType" xmlns:ma="http://schemas.microsoft.com/office/2006/metadata/properties/metaAttributes" ct:_="" ma:_="" ma:contentTypeName="Standard Document" ma:contentTypeID="0x010100B152FE0A27636C4F8C85B65586C31A9400CB38D5B1813CDB4E8402D37098013292" ma:contentTypeVersion="10" ma:contentTypeDescription="Create a new Standard document." ma:contentTypeScope="" ma:versionID="881fd66cf14b4d79131617f4fa37225b">
  <xsd:schema xmlns:xsd="http://www.w3.org/2001/XMLSchema" xmlns:xs="http://www.w3.org/2001/XMLSchema" xmlns:p="http://schemas.microsoft.com/office/2006/metadata/properties" xmlns:ns2="b7fcd359-19c8-40e3-b19f-91106bd6c442" targetNamespace="http://schemas.microsoft.com/office/2006/metadata/properties" ma:root="true" ma:fieldsID="3da4967299cd044280bfd9feef9e3864" ns2:_="">
    <xsd:import namespace="b7fcd359-19c8-40e3-b19f-91106bd6c442"/>
    <xsd:element name="properties">
      <xsd:complexType>
        <xsd:sequence>
          <xsd:element name="documentManagement">
            <xsd:complexType>
              <xsd:all>
                <xsd:element ref="ns2:DocumentStatus" minOccurs="0"/>
                <xsd:element ref="ns2:e931cd5c47b2478a988e0e7e19f8435a" minOccurs="0"/>
                <xsd:element ref="ns2:TaxCatchAll" minOccurs="0"/>
                <xsd:element ref="ns2:TaxCatchAllLabel" minOccurs="0"/>
                <xsd:element ref="ns2:l1ff8f55bb39424dbc58051f4cb1d39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fcd359-19c8-40e3-b19f-91106bd6c442" elementFormDefault="qualified">
    <xsd:import namespace="http://schemas.microsoft.com/office/2006/documentManagement/types"/>
    <xsd:import namespace="http://schemas.microsoft.com/office/infopath/2007/PartnerControls"/>
    <xsd:element name="DocumentStatus" ma:index="8" nillable="true" ma:displayName="Document Status" ma:default="Draft" ma:format="Dropdown" ma:internalName="DocumentStatus">
      <xsd:simpleType>
        <xsd:restriction base="dms:Choice">
          <xsd:enumeration value="Draft"/>
          <xsd:enumeration value="Final"/>
        </xsd:restriction>
      </xsd:simpleType>
    </xsd:element>
    <xsd:element name="e931cd5c47b2478a988e0e7e19f8435a" ma:index="9" ma:taxonomy="true" ma:internalName="e931cd5c47b2478a988e0e7e19f8435a" ma:taxonomyFieldName="TypeOfDocument" ma:displayName="Type of Document" ma:default="1;#General|0d2b879a-0e80-4be0-a339-283a7d647e61" ma:fieldId="{e931cd5c-47b2-478a-988e-0e7e19f8435a}" ma:sspId="a45734b7-3c4a-4003-87e0-54aa8a21508e" ma:termSetId="9c047475-83a2-4d14-a167-72b30f4eb89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de82989-046e-4fbf-aa98-28557063bd34}" ma:internalName="TaxCatchAll" ma:showField="CatchAllData" ma:web="84072ed4-f067-422f-ac3e-b0d647fbdc4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9de82989-046e-4fbf-aa98-28557063bd34}" ma:internalName="TaxCatchAllLabel" ma:readOnly="true" ma:showField="CatchAllDataLabel" ma:web="84072ed4-f067-422f-ac3e-b0d647fbdc4a">
      <xsd:complexType>
        <xsd:complexContent>
          <xsd:extension base="dms:MultiChoiceLookup">
            <xsd:sequence>
              <xsd:element name="Value" type="dms:Lookup" maxOccurs="unbounded" minOccurs="0" nillable="true"/>
            </xsd:sequence>
          </xsd:extension>
        </xsd:complexContent>
      </xsd:complexType>
    </xsd:element>
    <xsd:element name="l1ff8f55bb39424dbc58051f4cb1d39f" ma:index="13" ma:taxonomy="true" ma:internalName="l1ff8f55bb39424dbc58051f4cb1d39f" ma:taxonomyFieldName="RecordsCategory" ma:displayName="RecordsCategory" ma:default="2;#Youth Justice Services|bb81fddc-2000-41ca-80b6-ccc12b0080ef" ma:fieldId="{51ff8f55-bb39-424d-bc58-051f4cb1d39f}" ma:sspId="a45734b7-3c4a-4003-87e0-54aa8a21508e" ma:termSetId="8e0ee7d0-277d-4b21-9441-0e2cb59b30f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56C580-E3DF-4F38-844F-48A61B89CCDB}">
  <ds:schemaRefs>
    <ds:schemaRef ds:uri="Microsoft.SharePoint.Taxonomy.ContentTypeSync"/>
  </ds:schemaRefs>
</ds:datastoreItem>
</file>

<file path=customXml/itemProps2.xml><?xml version="1.0" encoding="utf-8"?>
<ds:datastoreItem xmlns:ds="http://schemas.openxmlformats.org/officeDocument/2006/customXml" ds:itemID="{A4D6BCB7-8A73-4A5A-82AF-402B9D54E2C0}">
  <ds:schemaRefs>
    <ds:schemaRef ds:uri="http://schemas.microsoft.com/sharepoint/v3/contenttype/forms"/>
  </ds:schemaRefs>
</ds:datastoreItem>
</file>

<file path=customXml/itemProps3.xml><?xml version="1.0" encoding="utf-8"?>
<ds:datastoreItem xmlns:ds="http://schemas.openxmlformats.org/officeDocument/2006/customXml" ds:itemID="{2F1DF6A6-868A-48EE-9AAE-0B443D4D8D2C}">
  <ds:schemaRefs>
    <ds:schemaRef ds:uri="http://purl.org/dc/terms/"/>
    <ds:schemaRef ds:uri="http://schemas.microsoft.com/office/2006/metadata/properties"/>
    <ds:schemaRef ds:uri="http://purl.org/dc/dcmitype/"/>
    <ds:schemaRef ds:uri="http://purl.org/dc/elements/1.1/"/>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b7fcd359-19c8-40e3-b19f-91106bd6c442"/>
  </ds:schemaRefs>
</ds:datastoreItem>
</file>

<file path=customXml/itemProps4.xml><?xml version="1.0" encoding="utf-8"?>
<ds:datastoreItem xmlns:ds="http://schemas.openxmlformats.org/officeDocument/2006/customXml" ds:itemID="{25D66149-5CB9-46BA-82FB-2B963F89C4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fcd359-19c8-40e3-b19f-91106bd6c4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684</Words>
  <Characters>5577</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R. Williams</dc:creator>
  <cp:keywords/>
  <cp:lastModifiedBy>Lara M Williams</cp:lastModifiedBy>
  <cp:revision>4</cp:revision>
  <dcterms:created xsi:type="dcterms:W3CDTF">2025-01-14T06:22:00Z</dcterms:created>
  <dcterms:modified xsi:type="dcterms:W3CDTF">2025-02-12T05:43:00Z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0x010100B152FE0A27636C4F8C85B65586C31A9400CB38D5B1813CDB4E8402D37098013292</vt:lpwstr>
  </property>
  <property fmtid="{D5CDD505-2E9C-101B-9397-08002B2CF9AE}" pid="3" name="TypeOfDocument">
    <vt:lpwstr>1;#General|0d2b879a-0e80-4be0-a339-283a7d647e61</vt:lpwstr>
  </property>
  <property fmtid="{D5CDD505-2E9C-101B-9397-08002B2CF9AE}" pid="4" name="RecordsCategory">
    <vt:lpwstr>2;#Youth Justice Services|bb81fddc-2000-41ca-80b6-ccc12b0080ef</vt:lpwstr>
  </property>
  <property fmtid="{D5CDD505-2E9C-101B-9397-08002B2CF9AE}" pid="5" name="MediaServiceImageTags">
    <vt:lpwstr/>
  </property>
  <property fmtid="{D5CDD505-2E9C-101B-9397-08002B2CF9AE}" pid="6" name="lcf76f155ced4ddcb4097134ff3c332f">
    <vt:lpwstr/>
  </property>
</Properties>
</file>