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B8C50B" w14:textId="77777777" w:rsidR="00555046" w:rsidRPr="00E45BA8" w:rsidRDefault="00555046" w:rsidP="00EE133E">
      <w:pPr>
        <w:spacing w:after="240" w:line="214" w:lineRule="exact"/>
        <w:rPr>
          <w:rFonts w:ascii="Arial" w:eastAsia="Times New Roman" w:hAnsi="Arial"/>
          <w:sz w:val="24"/>
        </w:rPr>
      </w:pPr>
    </w:p>
    <w:p w14:paraId="7B6C3C5D" w14:textId="77777777" w:rsidR="00555046" w:rsidRPr="00E45BA8" w:rsidRDefault="00555046" w:rsidP="00EE133E">
      <w:pPr>
        <w:spacing w:after="240" w:line="0" w:lineRule="atLeast"/>
        <w:ind w:left="1"/>
        <w:rPr>
          <w:rFonts w:ascii="Arial" w:eastAsia="Arial" w:hAnsi="Arial"/>
          <w:b/>
          <w:color w:val="055772"/>
          <w:sz w:val="48"/>
          <w:szCs w:val="48"/>
        </w:rPr>
      </w:pPr>
      <w:r w:rsidRPr="00E45BA8">
        <w:rPr>
          <w:rFonts w:ascii="Arial" w:eastAsia="Arial" w:hAnsi="Arial"/>
          <w:b/>
          <w:color w:val="055772"/>
          <w:sz w:val="48"/>
          <w:szCs w:val="48"/>
        </w:rPr>
        <w:t>YLS/CMI™2.0: Attitude/Orientation</w:t>
      </w:r>
    </w:p>
    <w:p w14:paraId="09941573" w14:textId="77777777" w:rsidR="00555046" w:rsidRPr="00E45BA8" w:rsidRDefault="00555046" w:rsidP="00EE133E">
      <w:pPr>
        <w:spacing w:after="240" w:line="262" w:lineRule="auto"/>
        <w:ind w:left="1" w:right="160"/>
        <w:rPr>
          <w:rFonts w:ascii="Arial" w:eastAsia="Arial" w:hAnsi="Arial"/>
          <w:sz w:val="22"/>
        </w:rPr>
      </w:pPr>
      <w:r w:rsidRPr="00E45BA8">
        <w:rPr>
          <w:rFonts w:ascii="Arial" w:eastAsia="Arial" w:hAnsi="Arial"/>
          <w:sz w:val="22"/>
        </w:rPr>
        <w:t>This brief aims to provide information for all Youth Justice staff about what works for young people when addressing assessed need in the Attitude/Orientation domain of the Youth Level of Service/Case Management Inventory (YLS/CMI™) 2.0.</w:t>
      </w:r>
    </w:p>
    <w:p w14:paraId="6D6371AD" w14:textId="77777777" w:rsidR="00555046" w:rsidRPr="00E45BA8" w:rsidRDefault="00555046" w:rsidP="00EE133E">
      <w:pPr>
        <w:spacing w:after="240" w:line="0" w:lineRule="atLeast"/>
        <w:ind w:left="1"/>
        <w:rPr>
          <w:rFonts w:ascii="Arial" w:eastAsia="Arial" w:hAnsi="Arial"/>
          <w:b/>
          <w:color w:val="F89A44"/>
          <w:sz w:val="30"/>
          <w:szCs w:val="30"/>
        </w:rPr>
      </w:pPr>
      <w:r w:rsidRPr="00E45BA8">
        <w:rPr>
          <w:rFonts w:ascii="Arial" w:eastAsia="Arial" w:hAnsi="Arial"/>
          <w:b/>
          <w:color w:val="F89A44"/>
          <w:sz w:val="30"/>
          <w:szCs w:val="30"/>
        </w:rPr>
        <w:t>High need in Attitude/Orientation: What does this mean?</w:t>
      </w:r>
    </w:p>
    <w:p w14:paraId="5F211E08" w14:textId="07C4D297" w:rsidR="00555046" w:rsidRPr="00E45BA8" w:rsidRDefault="00555046" w:rsidP="00EE133E">
      <w:pPr>
        <w:spacing w:after="240" w:line="0" w:lineRule="atLeast"/>
        <w:ind w:left="1" w:right="160"/>
        <w:rPr>
          <w:rFonts w:ascii="Arial" w:eastAsia="Arial" w:hAnsi="Arial"/>
          <w:sz w:val="22"/>
        </w:rPr>
      </w:pPr>
      <w:r w:rsidRPr="00E45BA8">
        <w:rPr>
          <w:rFonts w:ascii="Arial" w:eastAsia="Arial" w:hAnsi="Arial"/>
          <w:sz w:val="22"/>
        </w:rPr>
        <w:t>Attitudes/Orientation is one of the</w:t>
      </w:r>
      <w:r w:rsidRPr="00E45BA8">
        <w:rPr>
          <w:rFonts w:ascii="Arial" w:eastAsia="Arial" w:hAnsi="Arial"/>
          <w:color w:val="0070C0"/>
          <w:sz w:val="22"/>
        </w:rPr>
        <w:t xml:space="preserve"> </w:t>
      </w:r>
      <w:hyperlink r:id="rId12" w:history="1">
        <w:r w:rsidRPr="00EE133E">
          <w:rPr>
            <w:rFonts w:ascii="Arial" w:eastAsia="Arial" w:hAnsi="Arial"/>
            <w:color w:val="0070C0"/>
            <w:sz w:val="22"/>
            <w:u w:val="single"/>
          </w:rPr>
          <w:t>Big Four</w:t>
        </w:r>
      </w:hyperlink>
      <w:r w:rsidR="00E45BA8">
        <w:rPr>
          <w:rFonts w:ascii="Arial" w:eastAsia="Arial" w:hAnsi="Arial"/>
          <w:sz w:val="22"/>
        </w:rPr>
        <w:t xml:space="preserve"> p</w:t>
      </w:r>
      <w:r w:rsidRPr="00E45BA8">
        <w:rPr>
          <w:rFonts w:ascii="Arial" w:eastAsia="Arial" w:hAnsi="Arial"/>
          <w:sz w:val="22"/>
        </w:rPr>
        <w:t>redictors of reoffending and is also the domain young people have the most internal control over. Young people who have a high need in the Attitude/Orientation domain will often:</w:t>
      </w:r>
    </w:p>
    <w:p w14:paraId="148A113E" w14:textId="77777777" w:rsidR="00555046" w:rsidRPr="00E45BA8" w:rsidRDefault="00555046" w:rsidP="00EE133E">
      <w:pPr>
        <w:pStyle w:val="ListParagraph"/>
        <w:numPr>
          <w:ilvl w:val="0"/>
          <w:numId w:val="9"/>
        </w:numPr>
        <w:tabs>
          <w:tab w:val="left" w:pos="361"/>
        </w:tabs>
        <w:spacing w:after="240" w:line="0" w:lineRule="atLeast"/>
        <w:rPr>
          <w:rFonts w:ascii="Arial" w:eastAsia="Symbol" w:hAnsi="Arial"/>
          <w:sz w:val="22"/>
        </w:rPr>
      </w:pPr>
      <w:r w:rsidRPr="00E45BA8">
        <w:rPr>
          <w:rFonts w:ascii="Arial" w:eastAsia="Arial" w:hAnsi="Arial"/>
          <w:sz w:val="22"/>
        </w:rPr>
        <w:t>Have attitudes that lead to criminal activity.</w:t>
      </w:r>
    </w:p>
    <w:p w14:paraId="0FC4466D" w14:textId="77777777" w:rsidR="00555046" w:rsidRPr="00E45BA8" w:rsidRDefault="00555046" w:rsidP="00EE133E">
      <w:pPr>
        <w:pStyle w:val="ListParagraph"/>
        <w:numPr>
          <w:ilvl w:val="0"/>
          <w:numId w:val="9"/>
        </w:numPr>
        <w:tabs>
          <w:tab w:val="left" w:pos="361"/>
        </w:tabs>
        <w:spacing w:after="240" w:line="237" w:lineRule="auto"/>
        <w:rPr>
          <w:rFonts w:ascii="Arial" w:eastAsia="Symbol" w:hAnsi="Arial"/>
          <w:sz w:val="22"/>
        </w:rPr>
      </w:pPr>
      <w:r w:rsidRPr="00E45BA8">
        <w:rPr>
          <w:rFonts w:ascii="Arial" w:eastAsia="Arial" w:hAnsi="Arial"/>
          <w:sz w:val="22"/>
        </w:rPr>
        <w:t>Show hostility towards the justice system.</w:t>
      </w:r>
    </w:p>
    <w:p w14:paraId="77CE8156" w14:textId="77777777" w:rsidR="00555046" w:rsidRPr="00E45BA8" w:rsidRDefault="00555046" w:rsidP="00EE133E">
      <w:pPr>
        <w:pStyle w:val="ListParagraph"/>
        <w:numPr>
          <w:ilvl w:val="0"/>
          <w:numId w:val="9"/>
        </w:numPr>
        <w:tabs>
          <w:tab w:val="left" w:pos="361"/>
        </w:tabs>
        <w:spacing w:after="240" w:line="0" w:lineRule="atLeast"/>
        <w:rPr>
          <w:rFonts w:ascii="Arial" w:eastAsia="Symbol" w:hAnsi="Arial"/>
          <w:sz w:val="22"/>
        </w:rPr>
      </w:pPr>
      <w:r w:rsidRPr="00E45BA8">
        <w:rPr>
          <w:rFonts w:ascii="Arial" w:eastAsia="Arial" w:hAnsi="Arial"/>
          <w:sz w:val="22"/>
        </w:rPr>
        <w:t>Lack remorse/guilt about their offences/victims.</w:t>
      </w:r>
    </w:p>
    <w:p w14:paraId="4844B3DB" w14:textId="77777777" w:rsidR="00555046" w:rsidRPr="00E45BA8" w:rsidRDefault="00555046" w:rsidP="00EE133E">
      <w:pPr>
        <w:pStyle w:val="ListParagraph"/>
        <w:numPr>
          <w:ilvl w:val="0"/>
          <w:numId w:val="9"/>
        </w:numPr>
        <w:tabs>
          <w:tab w:val="left" w:pos="361"/>
        </w:tabs>
        <w:spacing w:after="240" w:line="237" w:lineRule="auto"/>
        <w:rPr>
          <w:rFonts w:ascii="Arial" w:eastAsia="Symbol" w:hAnsi="Arial"/>
          <w:sz w:val="22"/>
        </w:rPr>
      </w:pPr>
      <w:r w:rsidRPr="00E45BA8">
        <w:rPr>
          <w:rFonts w:ascii="Arial" w:eastAsia="Arial" w:hAnsi="Arial"/>
          <w:sz w:val="22"/>
        </w:rPr>
        <w:t>Invalidate or reject non-criminal activities.</w:t>
      </w:r>
    </w:p>
    <w:p w14:paraId="0EB4BCE4" w14:textId="77777777" w:rsidR="00555046" w:rsidRPr="00E45BA8" w:rsidRDefault="00555046" w:rsidP="00EE133E">
      <w:pPr>
        <w:pStyle w:val="ListParagraph"/>
        <w:numPr>
          <w:ilvl w:val="0"/>
          <w:numId w:val="9"/>
        </w:numPr>
        <w:tabs>
          <w:tab w:val="left" w:pos="361"/>
        </w:tabs>
        <w:spacing w:after="240" w:line="0" w:lineRule="atLeast"/>
        <w:rPr>
          <w:rFonts w:ascii="Arial" w:eastAsia="Symbol" w:hAnsi="Arial"/>
          <w:sz w:val="22"/>
        </w:rPr>
      </w:pPr>
      <w:r w:rsidRPr="00E45BA8">
        <w:rPr>
          <w:rFonts w:ascii="Arial" w:eastAsia="Arial" w:hAnsi="Arial"/>
          <w:sz w:val="22"/>
        </w:rPr>
        <w:t>Reject prosocial support.</w:t>
      </w:r>
    </w:p>
    <w:p w14:paraId="46BF329F" w14:textId="77777777" w:rsidR="00555046" w:rsidRPr="00E45BA8" w:rsidRDefault="00555046" w:rsidP="00EE133E">
      <w:pPr>
        <w:pStyle w:val="ListParagraph"/>
        <w:numPr>
          <w:ilvl w:val="0"/>
          <w:numId w:val="9"/>
        </w:numPr>
        <w:tabs>
          <w:tab w:val="left" w:pos="361"/>
        </w:tabs>
        <w:spacing w:after="240" w:line="0" w:lineRule="atLeast"/>
        <w:rPr>
          <w:rFonts w:ascii="Arial" w:eastAsia="Symbol" w:hAnsi="Arial"/>
          <w:sz w:val="22"/>
        </w:rPr>
      </w:pPr>
      <w:r w:rsidRPr="00E45BA8">
        <w:rPr>
          <w:rFonts w:ascii="Arial" w:eastAsia="Arial" w:hAnsi="Arial"/>
          <w:sz w:val="22"/>
        </w:rPr>
        <w:t>Defy authority.</w:t>
      </w:r>
    </w:p>
    <w:p w14:paraId="6AE243FA" w14:textId="77777777" w:rsidR="00555046" w:rsidRPr="00E45BA8" w:rsidRDefault="00555046" w:rsidP="00EE133E">
      <w:pPr>
        <w:spacing w:after="240" w:line="0" w:lineRule="atLeast"/>
        <w:ind w:left="1"/>
        <w:rPr>
          <w:rFonts w:ascii="Arial" w:eastAsia="Arial" w:hAnsi="Arial"/>
          <w:b/>
          <w:color w:val="F89A44"/>
          <w:sz w:val="30"/>
          <w:szCs w:val="30"/>
        </w:rPr>
      </w:pPr>
      <w:r w:rsidRPr="00E45BA8">
        <w:rPr>
          <w:rFonts w:ascii="Arial" w:eastAsia="Arial" w:hAnsi="Arial"/>
          <w:b/>
          <w:color w:val="F89A44"/>
          <w:sz w:val="30"/>
          <w:szCs w:val="30"/>
        </w:rPr>
        <w:t>How to address high need in Attitude/Orientation?</w:t>
      </w:r>
    </w:p>
    <w:p w14:paraId="6CE89C69" w14:textId="77777777" w:rsidR="00555046" w:rsidRPr="00E45BA8" w:rsidRDefault="00555046" w:rsidP="00EE133E">
      <w:pPr>
        <w:spacing w:after="240" w:line="0" w:lineRule="atLeast"/>
        <w:ind w:left="1"/>
        <w:rPr>
          <w:rFonts w:ascii="Arial" w:eastAsia="Arial" w:hAnsi="Arial"/>
          <w:b/>
          <w:color w:val="055772"/>
          <w:sz w:val="26"/>
          <w:szCs w:val="26"/>
        </w:rPr>
      </w:pPr>
      <w:r w:rsidRPr="00E45BA8">
        <w:rPr>
          <w:rFonts w:ascii="Arial" w:eastAsia="Arial" w:hAnsi="Arial"/>
          <w:b/>
          <w:color w:val="055772"/>
          <w:sz w:val="26"/>
          <w:szCs w:val="26"/>
        </w:rPr>
        <w:t>CBT based programs can help young people to change their thinking and behaviour.</w:t>
      </w:r>
    </w:p>
    <w:p w14:paraId="59CAC236" w14:textId="1AAD9E3B" w:rsidR="00555046" w:rsidRPr="00E45BA8" w:rsidRDefault="00555046" w:rsidP="00EE133E">
      <w:pPr>
        <w:spacing w:after="240" w:line="255" w:lineRule="auto"/>
        <w:ind w:right="60"/>
        <w:rPr>
          <w:rFonts w:ascii="Arial" w:eastAsia="Arial" w:hAnsi="Arial"/>
          <w:color w:val="000000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 xml:space="preserve">Since the 1980s, pro-criminal Attitudes/Orientations have been addressed through </w:t>
      </w:r>
      <w:hyperlink r:id="rId13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Cognitive Behavioural Therapy (CBT).</w:t>
        </w:r>
        <w:r w:rsidRPr="00E45BA8">
          <w:rPr>
            <w:rFonts w:ascii="Arial" w:eastAsia="Arial" w:hAnsi="Arial"/>
            <w:color w:val="000000"/>
            <w:sz w:val="22"/>
            <w:szCs w:val="22"/>
          </w:rPr>
          <w:t xml:space="preserve"> </w:t>
        </w:r>
      </w:hyperlink>
      <w:r w:rsidRPr="00E45BA8">
        <w:rPr>
          <w:rFonts w:ascii="Arial" w:eastAsia="Arial" w:hAnsi="Arial"/>
          <w:color w:val="000000"/>
          <w:sz w:val="22"/>
          <w:szCs w:val="22"/>
        </w:rPr>
        <w:t>CBT works because it targets pro-criminal attitudes</w:t>
      </w:r>
      <w:r w:rsidRPr="00EE133E">
        <w:rPr>
          <w:rFonts w:ascii="Arial" w:eastAsia="Arial" w:hAnsi="Arial"/>
          <w:color w:val="0563C1"/>
          <w:sz w:val="22"/>
          <w:szCs w:val="22"/>
        </w:rPr>
        <w:t xml:space="preserve"> </w:t>
      </w:r>
      <w:r w:rsidRPr="00E45BA8">
        <w:rPr>
          <w:rFonts w:ascii="Arial" w:eastAsia="Arial" w:hAnsi="Arial"/>
          <w:color w:val="000000"/>
          <w:sz w:val="22"/>
          <w:szCs w:val="22"/>
        </w:rPr>
        <w:t>that lead to offending. Its effectiveness has been demonstrated in adults, young people, males, females, and those with cognitive disorders. To be effective CBT programs should be:</w:t>
      </w:r>
    </w:p>
    <w:p w14:paraId="52897E30" w14:textId="77777777" w:rsidR="00555046" w:rsidRPr="00E45BA8" w:rsidRDefault="00555046" w:rsidP="00EE133E">
      <w:pPr>
        <w:pStyle w:val="ListParagraph"/>
        <w:numPr>
          <w:ilvl w:val="0"/>
          <w:numId w:val="10"/>
        </w:numPr>
        <w:tabs>
          <w:tab w:val="left" w:pos="361"/>
        </w:tabs>
        <w:spacing w:after="240" w:line="0" w:lineRule="atLeast"/>
        <w:rPr>
          <w:rFonts w:ascii="Arial" w:eastAsia="Arial" w:hAnsi="Arial"/>
          <w:b/>
          <w:sz w:val="22"/>
          <w:szCs w:val="22"/>
        </w:rPr>
      </w:pPr>
      <w:r w:rsidRPr="00E45BA8">
        <w:rPr>
          <w:rFonts w:ascii="Arial" w:eastAsia="Arial" w:hAnsi="Arial"/>
          <w:b/>
          <w:sz w:val="22"/>
          <w:szCs w:val="22"/>
        </w:rPr>
        <w:t xml:space="preserve">Supported </w:t>
      </w:r>
      <w:r w:rsidRPr="00EE133E">
        <w:rPr>
          <w:rFonts w:ascii="Arial" w:eastAsia="Arial" w:hAnsi="Arial"/>
          <w:bCs/>
          <w:sz w:val="22"/>
          <w:szCs w:val="22"/>
        </w:rPr>
        <w:t>by</w:t>
      </w:r>
      <w:r w:rsidRPr="00EE133E">
        <w:rPr>
          <w:rFonts w:ascii="Arial" w:eastAsia="Arial" w:hAnsi="Arial"/>
          <w:bCs/>
          <w:color w:val="0563C1"/>
          <w:sz w:val="22"/>
          <w:szCs w:val="22"/>
        </w:rPr>
        <w:t xml:space="preserve"> </w:t>
      </w:r>
      <w:hyperlink r:id="rId14" w:history="1">
        <w:r w:rsidRPr="00EE133E">
          <w:rPr>
            <w:rFonts w:ascii="Arial" w:eastAsia="Arial" w:hAnsi="Arial"/>
            <w:bCs/>
            <w:color w:val="0563C1"/>
            <w:sz w:val="22"/>
            <w:szCs w:val="22"/>
            <w:u w:val="single"/>
          </w:rPr>
          <w:t>training and supervision</w:t>
        </w:r>
        <w:r w:rsidRPr="00E45BA8">
          <w:rPr>
            <w:rFonts w:ascii="Arial" w:eastAsia="Arial" w:hAnsi="Arial"/>
            <w:sz w:val="22"/>
            <w:szCs w:val="22"/>
            <w:u w:val="single"/>
          </w:rPr>
          <w:t xml:space="preserve"> </w:t>
        </w:r>
      </w:hyperlink>
      <w:r w:rsidRPr="00E45BA8">
        <w:rPr>
          <w:rFonts w:ascii="Arial" w:eastAsia="Arial" w:hAnsi="Arial"/>
          <w:sz w:val="22"/>
          <w:szCs w:val="22"/>
        </w:rPr>
        <w:t>which includes opportunities to embed new skills.</w:t>
      </w:r>
    </w:p>
    <w:p w14:paraId="7FBAD8D7" w14:textId="77777777" w:rsidR="00555046" w:rsidRPr="00E45BA8" w:rsidRDefault="00555046" w:rsidP="00EE133E">
      <w:pPr>
        <w:pStyle w:val="ListParagraph"/>
        <w:numPr>
          <w:ilvl w:val="0"/>
          <w:numId w:val="10"/>
        </w:numPr>
        <w:tabs>
          <w:tab w:val="left" w:pos="361"/>
        </w:tabs>
        <w:spacing w:after="240" w:line="239" w:lineRule="auto"/>
        <w:ind w:right="640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b/>
          <w:sz w:val="22"/>
          <w:szCs w:val="22"/>
        </w:rPr>
        <w:t>Delivered</w:t>
      </w:r>
      <w:r w:rsidRPr="00E45BA8">
        <w:rPr>
          <w:rFonts w:ascii="Arial" w:eastAsia="Arial" w:hAnsi="Arial"/>
          <w:sz w:val="22"/>
          <w:szCs w:val="22"/>
        </w:rPr>
        <w:t xml:space="preserve"> in a way that upholds the integrity of the program where possible (e.g. ART works best when delivered as a group program).</w:t>
      </w:r>
    </w:p>
    <w:p w14:paraId="3E1DB567" w14:textId="77777777" w:rsidR="00555046" w:rsidRPr="00E45BA8" w:rsidRDefault="00555046" w:rsidP="00EE133E">
      <w:pPr>
        <w:pStyle w:val="ListParagraph"/>
        <w:numPr>
          <w:ilvl w:val="0"/>
          <w:numId w:val="10"/>
        </w:numPr>
        <w:tabs>
          <w:tab w:val="left" w:pos="361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b/>
          <w:sz w:val="22"/>
          <w:szCs w:val="22"/>
        </w:rPr>
        <w:t>Individualised</w:t>
      </w:r>
      <w:r w:rsidRPr="00E45BA8">
        <w:rPr>
          <w:rFonts w:ascii="Arial" w:eastAsia="Arial" w:hAnsi="Arial"/>
          <w:sz w:val="22"/>
          <w:szCs w:val="22"/>
        </w:rPr>
        <w:t xml:space="preserve"> for young people’s needs (i.e. specific responsivity).</w:t>
      </w:r>
    </w:p>
    <w:p w14:paraId="14C50FA8" w14:textId="77777777" w:rsidR="00555046" w:rsidRPr="00E45BA8" w:rsidRDefault="00555046" w:rsidP="00EE133E">
      <w:pPr>
        <w:pStyle w:val="ListParagraph"/>
        <w:numPr>
          <w:ilvl w:val="0"/>
          <w:numId w:val="10"/>
        </w:numPr>
        <w:tabs>
          <w:tab w:val="left" w:pos="361"/>
        </w:tabs>
        <w:spacing w:after="240" w:line="0" w:lineRule="atLeast"/>
        <w:rPr>
          <w:rFonts w:ascii="Arial" w:eastAsia="Arial" w:hAnsi="Arial"/>
          <w:b/>
          <w:sz w:val="22"/>
          <w:szCs w:val="22"/>
        </w:rPr>
      </w:pPr>
      <w:r w:rsidRPr="00E45BA8">
        <w:rPr>
          <w:rFonts w:ascii="Arial" w:eastAsia="Arial" w:hAnsi="Arial"/>
          <w:b/>
          <w:sz w:val="22"/>
          <w:szCs w:val="22"/>
        </w:rPr>
        <w:t>Able to teach new skills/cognitions</w:t>
      </w:r>
      <w:r w:rsidRPr="00E45BA8">
        <w:rPr>
          <w:rFonts w:ascii="Arial" w:eastAsia="Arial" w:hAnsi="Arial"/>
          <w:sz w:val="22"/>
          <w:szCs w:val="22"/>
        </w:rPr>
        <w:t xml:space="preserve"> to</w:t>
      </w:r>
      <w:r w:rsidRPr="00E45BA8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5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replace less functional thinking patterns</w:t>
        </w:r>
        <w:r w:rsidRPr="00E45BA8">
          <w:rPr>
            <w:rFonts w:ascii="Arial" w:eastAsia="Arial" w:hAnsi="Arial"/>
            <w:sz w:val="22"/>
            <w:szCs w:val="22"/>
            <w:u w:val="single"/>
          </w:rPr>
          <w:t>.</w:t>
        </w:r>
      </w:hyperlink>
    </w:p>
    <w:p w14:paraId="12281CD3" w14:textId="77777777" w:rsidR="00555046" w:rsidRPr="00E45BA8" w:rsidRDefault="00555046" w:rsidP="00EE133E">
      <w:pPr>
        <w:spacing w:after="240" w:line="0" w:lineRule="atLeast"/>
        <w:ind w:left="1"/>
        <w:rPr>
          <w:rFonts w:ascii="Arial" w:eastAsia="Arial" w:hAnsi="Arial"/>
          <w:b/>
          <w:color w:val="F89A44"/>
          <w:sz w:val="30"/>
          <w:szCs w:val="30"/>
        </w:rPr>
      </w:pPr>
      <w:r w:rsidRPr="00E45BA8">
        <w:rPr>
          <w:rFonts w:ascii="Arial" w:eastAsia="Arial" w:hAnsi="Arial"/>
          <w:b/>
          <w:color w:val="F89A44"/>
          <w:sz w:val="30"/>
          <w:szCs w:val="30"/>
        </w:rPr>
        <w:t>What else needs to be addressed to facilitate change in Attitudes/Orientation?</w:t>
      </w:r>
    </w:p>
    <w:p w14:paraId="62EDBD5E" w14:textId="3239C46A" w:rsidR="00555046" w:rsidRPr="00E45BA8" w:rsidRDefault="00555046" w:rsidP="00EE133E">
      <w:pPr>
        <w:spacing w:after="240" w:line="0" w:lineRule="atLeast"/>
        <w:ind w:left="1"/>
        <w:rPr>
          <w:rFonts w:ascii="Arial" w:eastAsia="Arial" w:hAnsi="Arial"/>
          <w:b/>
          <w:color w:val="055772"/>
          <w:sz w:val="26"/>
          <w:szCs w:val="26"/>
        </w:rPr>
      </w:pPr>
      <w:r w:rsidRPr="00E45BA8">
        <w:rPr>
          <w:rFonts w:ascii="Arial" w:eastAsia="Arial" w:hAnsi="Arial"/>
          <w:b/>
          <w:color w:val="055772"/>
          <w:sz w:val="26"/>
          <w:szCs w:val="26"/>
        </w:rPr>
        <w:t xml:space="preserve">Services can address causes of antisocial attitudes, specifically the </w:t>
      </w:r>
      <w:r w:rsidRPr="00E45BA8">
        <w:rPr>
          <w:rFonts w:ascii="Arial" w:eastAsia="Arial" w:hAnsi="Arial"/>
          <w:b/>
          <w:i/>
          <w:color w:val="055772"/>
          <w:sz w:val="26"/>
          <w:szCs w:val="26"/>
        </w:rPr>
        <w:t>normalised behaviours</w:t>
      </w:r>
      <w:r w:rsidRPr="00E45BA8">
        <w:rPr>
          <w:rFonts w:ascii="Arial" w:eastAsia="Arial" w:hAnsi="Arial"/>
          <w:b/>
          <w:color w:val="055772"/>
          <w:sz w:val="26"/>
          <w:szCs w:val="26"/>
        </w:rPr>
        <w:t>.</w:t>
      </w:r>
    </w:p>
    <w:p w14:paraId="2BAD0549" w14:textId="1804DB0E" w:rsidR="00555046" w:rsidRPr="00E45BA8" w:rsidRDefault="00555046" w:rsidP="00EE133E">
      <w:pPr>
        <w:spacing w:after="240" w:line="254" w:lineRule="auto"/>
        <w:ind w:left="1"/>
        <w:rPr>
          <w:rFonts w:ascii="Arial" w:eastAsia="Arial" w:hAnsi="Arial"/>
          <w:color w:val="000000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Young people surrounded by criminal behaviours are</w:t>
      </w:r>
      <w:r w:rsidRPr="00E45BA8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6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more likely to engage in them</w:t>
        </w:r>
        <w:r w:rsidRPr="00E45BA8">
          <w:rPr>
            <w:rFonts w:ascii="Arial" w:eastAsia="Arial" w:hAnsi="Arial"/>
            <w:sz w:val="22"/>
            <w:szCs w:val="22"/>
            <w:u w:val="single"/>
          </w:rPr>
          <w:t>.</w:t>
        </w:r>
      </w:hyperlink>
      <w:r w:rsidRPr="00E45BA8">
        <w:rPr>
          <w:rFonts w:ascii="Arial" w:eastAsia="Arial" w:hAnsi="Arial"/>
          <w:sz w:val="22"/>
          <w:szCs w:val="22"/>
        </w:rPr>
        <w:t xml:space="preserve"> Service responses are</w:t>
      </w:r>
      <w:r w:rsidRPr="00E45BA8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7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most likely to work well where family are involved and brought along on the</w:t>
        </w:r>
      </w:hyperlink>
      <w:r w:rsidRPr="00E45BA8">
        <w:rPr>
          <w:rFonts w:ascii="Arial" w:eastAsia="Arial" w:hAnsi="Arial"/>
          <w:color w:val="0563C1"/>
          <w:sz w:val="22"/>
          <w:szCs w:val="22"/>
          <w:u w:val="single"/>
        </w:rPr>
        <w:t xml:space="preserve"> </w:t>
      </w:r>
      <w:hyperlink r:id="rId18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journey</w:t>
        </w:r>
        <w:r w:rsidRPr="00E45BA8">
          <w:rPr>
            <w:rFonts w:ascii="Arial" w:eastAsia="Arial" w:hAnsi="Arial"/>
            <w:color w:val="000000"/>
            <w:sz w:val="22"/>
            <w:szCs w:val="22"/>
          </w:rPr>
          <w:t xml:space="preserve"> </w:t>
        </w:r>
      </w:hyperlink>
      <w:r w:rsidRPr="00E45BA8">
        <w:rPr>
          <w:rFonts w:ascii="Arial" w:eastAsia="Arial" w:hAnsi="Arial"/>
          <w:color w:val="000000"/>
          <w:sz w:val="22"/>
          <w:szCs w:val="22"/>
        </w:rPr>
        <w:t>(e.g. ICM,</w:t>
      </w:r>
      <w:r w:rsidRPr="00E45BA8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19" w:history="1">
        <w:r w:rsidRPr="00E45BA8">
          <w:rPr>
            <w:rFonts w:ascii="Arial" w:eastAsia="Arial" w:hAnsi="Arial"/>
            <w:color w:val="0563C1"/>
            <w:sz w:val="22"/>
            <w:szCs w:val="22"/>
          </w:rPr>
          <w:t>Family Led Decision Making</w:t>
        </w:r>
        <w:r w:rsidRPr="00E45BA8">
          <w:rPr>
            <w:rFonts w:ascii="Arial" w:eastAsia="Arial" w:hAnsi="Arial"/>
            <w:color w:val="000000"/>
            <w:sz w:val="22"/>
            <w:szCs w:val="22"/>
          </w:rPr>
          <w:t>)</w:t>
        </w:r>
      </w:hyperlink>
      <w:r w:rsidR="00E45BA8">
        <w:rPr>
          <w:rFonts w:ascii="Arial" w:eastAsia="Arial" w:hAnsi="Arial"/>
          <w:color w:val="000000"/>
          <w:sz w:val="22"/>
          <w:szCs w:val="22"/>
        </w:rPr>
        <w:t xml:space="preserve">. </w:t>
      </w:r>
      <w:r w:rsidRPr="00E45BA8">
        <w:rPr>
          <w:rFonts w:ascii="Arial" w:eastAsia="Arial" w:hAnsi="Arial"/>
          <w:color w:val="000000"/>
          <w:sz w:val="22"/>
          <w:szCs w:val="22"/>
        </w:rPr>
        <w:t>Addressing these additional factors can enhanc</w:t>
      </w:r>
      <w:r w:rsidR="00EE133E">
        <w:rPr>
          <w:rFonts w:ascii="Arial" w:eastAsia="Arial" w:hAnsi="Arial"/>
          <w:color w:val="000000"/>
          <w:sz w:val="22"/>
          <w:szCs w:val="22"/>
        </w:rPr>
        <w:t xml:space="preserve">e </w:t>
      </w:r>
      <w:r w:rsidRPr="00E45BA8">
        <w:rPr>
          <w:rFonts w:ascii="Arial" w:eastAsia="Arial" w:hAnsi="Arial"/>
          <w:color w:val="000000"/>
          <w:sz w:val="22"/>
          <w:szCs w:val="22"/>
        </w:rPr>
        <w:t>the young person’s ability to change their attitudes and behaviours:</w:t>
      </w:r>
    </w:p>
    <w:p w14:paraId="27B08961" w14:textId="77777777" w:rsidR="00555046" w:rsidRPr="00E45BA8" w:rsidRDefault="00555046" w:rsidP="00EE133E">
      <w:pPr>
        <w:pStyle w:val="ListParagraph"/>
        <w:numPr>
          <w:ilvl w:val="0"/>
          <w:numId w:val="11"/>
        </w:numPr>
        <w:tabs>
          <w:tab w:val="left" w:pos="361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Support for the family to provide a prosocial environment.</w:t>
      </w:r>
    </w:p>
    <w:p w14:paraId="3A930922" w14:textId="77777777" w:rsidR="00555046" w:rsidRPr="00E45BA8" w:rsidRDefault="00555046" w:rsidP="00EE133E">
      <w:pPr>
        <w:pStyle w:val="ListParagraph"/>
        <w:numPr>
          <w:ilvl w:val="0"/>
          <w:numId w:val="11"/>
        </w:numPr>
        <w:tabs>
          <w:tab w:val="left" w:pos="361"/>
        </w:tabs>
        <w:spacing w:after="240" w:line="237" w:lineRule="auto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Influence of the young person’s cultural ecosystem.</w:t>
      </w:r>
    </w:p>
    <w:p w14:paraId="35D22E5A" w14:textId="77777777" w:rsidR="00555046" w:rsidRPr="00E45BA8" w:rsidRDefault="00555046" w:rsidP="00EE133E">
      <w:pPr>
        <w:pStyle w:val="ListParagraph"/>
        <w:numPr>
          <w:ilvl w:val="0"/>
          <w:numId w:val="11"/>
        </w:numPr>
        <w:tabs>
          <w:tab w:val="left" w:pos="361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Presence of prosocial vs pro-criminal associates.</w:t>
      </w:r>
    </w:p>
    <w:p w14:paraId="66076DBD" w14:textId="77777777" w:rsidR="00E45BA8" w:rsidRPr="00E45BA8" w:rsidRDefault="00E45BA8" w:rsidP="00EE133E">
      <w:pPr>
        <w:tabs>
          <w:tab w:val="left" w:pos="361"/>
        </w:tabs>
        <w:spacing w:after="240" w:line="0" w:lineRule="atLeast"/>
        <w:rPr>
          <w:rFonts w:ascii="Arial" w:eastAsia="Symbol" w:hAnsi="Arial"/>
          <w:sz w:val="22"/>
          <w:szCs w:val="22"/>
        </w:rPr>
      </w:pPr>
    </w:p>
    <w:p w14:paraId="5B48F3BB" w14:textId="77777777" w:rsidR="00555046" w:rsidRPr="00E45BA8" w:rsidRDefault="000A4617" w:rsidP="00EE133E">
      <w:pPr>
        <w:pStyle w:val="ListParagraph"/>
        <w:numPr>
          <w:ilvl w:val="0"/>
          <w:numId w:val="11"/>
        </w:numPr>
        <w:tabs>
          <w:tab w:val="left" w:pos="361"/>
        </w:tabs>
        <w:spacing w:after="240" w:line="0" w:lineRule="atLeast"/>
        <w:rPr>
          <w:rFonts w:ascii="Arial" w:eastAsia="Arial" w:hAnsi="Arial"/>
          <w:color w:val="0563C1"/>
          <w:sz w:val="22"/>
          <w:szCs w:val="22"/>
          <w:u w:val="single"/>
        </w:rPr>
      </w:pPr>
      <w:hyperlink r:id="rId20" w:history="1">
        <w:r w:rsidR="00555046"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Identifying and addressing criminogenic thinking patterns</w:t>
        </w:r>
      </w:hyperlink>
    </w:p>
    <w:p w14:paraId="18BB4040" w14:textId="77777777" w:rsidR="00555046" w:rsidRPr="00E45BA8" w:rsidRDefault="00555046" w:rsidP="00EE133E">
      <w:pPr>
        <w:pStyle w:val="ListParagraph"/>
        <w:numPr>
          <w:ilvl w:val="0"/>
          <w:numId w:val="11"/>
        </w:numPr>
        <w:tabs>
          <w:tab w:val="left" w:pos="361"/>
        </w:tabs>
        <w:spacing w:after="240" w:line="237" w:lineRule="auto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Involvement and ongoing commitment in prosocial Leisure/Recreational activities.</w:t>
      </w:r>
    </w:p>
    <w:p w14:paraId="5369F324" w14:textId="77777777" w:rsidR="00E45BA8" w:rsidRPr="00E45BA8" w:rsidRDefault="00555046" w:rsidP="00EE133E">
      <w:pPr>
        <w:pStyle w:val="ListParagraph"/>
        <w:numPr>
          <w:ilvl w:val="0"/>
          <w:numId w:val="11"/>
        </w:numPr>
        <w:tabs>
          <w:tab w:val="left" w:pos="361"/>
        </w:tabs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E45BA8">
        <w:rPr>
          <w:rFonts w:ascii="Arial" w:eastAsia="Arial" w:hAnsi="Arial"/>
          <w:sz w:val="22"/>
          <w:szCs w:val="22"/>
        </w:rPr>
        <w:t>For Aboriginal and Torres Strait Islander young people, understanding cultural identity can also support change.</w:t>
      </w:r>
      <w:bookmarkStart w:id="0" w:name="page2"/>
      <w:bookmarkEnd w:id="0"/>
    </w:p>
    <w:p w14:paraId="34AF4A15" w14:textId="4953F1FE" w:rsidR="00555046" w:rsidRPr="00E45BA8" w:rsidRDefault="00555046" w:rsidP="00EE133E">
      <w:pPr>
        <w:tabs>
          <w:tab w:val="left" w:pos="361"/>
        </w:tabs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E45BA8">
        <w:rPr>
          <w:rFonts w:ascii="Arial" w:eastAsia="Arial" w:hAnsi="Arial"/>
          <w:b/>
          <w:color w:val="F89A44"/>
          <w:sz w:val="30"/>
          <w:szCs w:val="30"/>
        </w:rPr>
        <w:t>What if a young person w</w:t>
      </w:r>
      <w:r w:rsidR="00EE133E">
        <w:rPr>
          <w:rFonts w:ascii="Arial" w:eastAsia="Arial" w:hAnsi="Arial"/>
          <w:b/>
          <w:color w:val="F89A44"/>
          <w:sz w:val="30"/>
          <w:szCs w:val="30"/>
        </w:rPr>
        <w:t>ill not</w:t>
      </w:r>
      <w:r w:rsidRPr="00E45BA8">
        <w:rPr>
          <w:rFonts w:ascii="Arial" w:eastAsia="Arial" w:hAnsi="Arial"/>
          <w:b/>
          <w:color w:val="F89A44"/>
          <w:sz w:val="30"/>
          <w:szCs w:val="30"/>
        </w:rPr>
        <w:t xml:space="preserve"> engage in a change-oriented program?</w:t>
      </w:r>
    </w:p>
    <w:p w14:paraId="7A8D9734" w14:textId="405DD371" w:rsidR="00555046" w:rsidRPr="00E45BA8" w:rsidRDefault="00555046" w:rsidP="00EE133E">
      <w:pPr>
        <w:spacing w:after="240" w:line="236" w:lineRule="auto"/>
        <w:ind w:left="20"/>
        <w:rPr>
          <w:rFonts w:ascii="Arial" w:eastAsia="Arial" w:hAnsi="Arial"/>
          <w:b/>
          <w:color w:val="055772"/>
          <w:sz w:val="26"/>
          <w:szCs w:val="26"/>
        </w:rPr>
      </w:pPr>
      <w:r w:rsidRPr="00E45BA8">
        <w:rPr>
          <w:rFonts w:ascii="Arial" w:eastAsia="Arial" w:hAnsi="Arial"/>
          <w:b/>
          <w:color w:val="055772"/>
          <w:sz w:val="26"/>
          <w:szCs w:val="26"/>
        </w:rPr>
        <w:t>Help young people engage by enhancing internal motivation and moving them along the readiness continuum.</w:t>
      </w:r>
    </w:p>
    <w:p w14:paraId="24EEB0A9" w14:textId="5AF7E44F" w:rsidR="00555046" w:rsidRPr="00E45BA8" w:rsidRDefault="00555046" w:rsidP="00EE133E">
      <w:pPr>
        <w:spacing w:after="240" w:line="245" w:lineRule="auto"/>
        <w:rPr>
          <w:rFonts w:ascii="Arial" w:eastAsia="Arial" w:hAnsi="Arial"/>
          <w:color w:val="000000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For best outcomes, young people should be motivated to engage in</w:t>
      </w:r>
      <w:r w:rsidRPr="00E45BA8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21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change-oriented programs</w:t>
        </w:r>
        <w:r w:rsidRPr="00E45BA8">
          <w:rPr>
            <w:rFonts w:ascii="Arial" w:eastAsia="Arial" w:hAnsi="Arial"/>
            <w:b/>
            <w:sz w:val="22"/>
            <w:szCs w:val="22"/>
            <w:u w:val="single"/>
          </w:rPr>
          <w:t>,</w:t>
        </w:r>
      </w:hyperlink>
      <w:r w:rsidRPr="00E45BA8">
        <w:rPr>
          <w:rFonts w:ascii="Arial" w:eastAsia="Arial" w:hAnsi="Arial"/>
          <w:sz w:val="22"/>
          <w:szCs w:val="22"/>
        </w:rPr>
        <w:t xml:space="preserve"> which can prove difficult when their attitudes are what</w:t>
      </w:r>
      <w:r w:rsidR="00EE133E">
        <w:rPr>
          <w:rFonts w:ascii="Arial" w:eastAsia="Arial" w:hAnsi="Arial"/>
          <w:sz w:val="22"/>
          <w:szCs w:val="22"/>
        </w:rPr>
        <w:t xml:space="preserve"> i</w:t>
      </w:r>
      <w:r w:rsidRPr="00E45BA8">
        <w:rPr>
          <w:rFonts w:ascii="Arial" w:eastAsia="Arial" w:hAnsi="Arial"/>
          <w:sz w:val="22"/>
          <w:szCs w:val="22"/>
        </w:rPr>
        <w:t xml:space="preserve">s being addressed. When planned engagement strategies have been tried, revised/retried, and are still not working, Youth Justice has </w:t>
      </w:r>
      <w:hyperlink r:id="rId22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statutory authority</w:t>
        </w:r>
        <w:r w:rsidRPr="00E45BA8">
          <w:rPr>
            <w:rFonts w:ascii="Arial" w:eastAsia="Arial" w:hAnsi="Arial"/>
            <w:color w:val="000000"/>
            <w:sz w:val="22"/>
            <w:szCs w:val="22"/>
          </w:rPr>
          <w:t xml:space="preserve"> </w:t>
        </w:r>
      </w:hyperlink>
      <w:r w:rsidRPr="00E45BA8">
        <w:rPr>
          <w:rFonts w:ascii="Arial" w:eastAsia="Arial" w:hAnsi="Arial"/>
          <w:color w:val="000000"/>
          <w:sz w:val="22"/>
          <w:szCs w:val="22"/>
        </w:rPr>
        <w:t>to direct supervised young people to engage in programs and services that are</w:t>
      </w:r>
      <w:r w:rsidRPr="00E45BA8">
        <w:rPr>
          <w:rFonts w:ascii="Arial" w:eastAsia="Arial" w:hAnsi="Arial"/>
          <w:color w:val="0563C1"/>
          <w:sz w:val="22"/>
          <w:szCs w:val="22"/>
          <w:u w:val="single"/>
        </w:rPr>
        <w:t xml:space="preserve"> </w:t>
      </w:r>
      <w:r w:rsidRPr="00E45BA8">
        <w:rPr>
          <w:rFonts w:ascii="Arial" w:eastAsia="Arial" w:hAnsi="Arial"/>
          <w:color w:val="000000"/>
          <w:sz w:val="22"/>
          <w:szCs w:val="22"/>
        </w:rPr>
        <w:t xml:space="preserve">likely to reduce their offending. While </w:t>
      </w:r>
      <w:r w:rsidRPr="00E45BA8">
        <w:rPr>
          <w:rFonts w:ascii="Arial" w:eastAsia="Arial" w:hAnsi="Arial"/>
          <w:i/>
          <w:color w:val="000000"/>
          <w:sz w:val="22"/>
          <w:szCs w:val="22"/>
        </w:rPr>
        <w:t>voluntary engagement</w:t>
      </w:r>
      <w:r w:rsidRPr="00E45BA8">
        <w:rPr>
          <w:rFonts w:ascii="Arial" w:eastAsia="Arial" w:hAnsi="Arial"/>
          <w:color w:val="000000"/>
          <w:sz w:val="22"/>
          <w:szCs w:val="22"/>
        </w:rPr>
        <w:t xml:space="preserve"> is preferred, evidence has demonstrated that</w:t>
      </w:r>
      <w:r w:rsidRPr="00E45BA8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23" w:history="1">
        <w:r w:rsidRPr="00E45BA8">
          <w:rPr>
            <w:rFonts w:ascii="Arial" w:eastAsia="Arial" w:hAnsi="Arial"/>
            <w:i/>
            <w:color w:val="0563C1"/>
            <w:sz w:val="22"/>
            <w:szCs w:val="22"/>
            <w:u w:val="single"/>
          </w:rPr>
          <w:t>non-voluntary engagement</w:t>
        </w:r>
        <w:r w:rsidRPr="00E45BA8">
          <w:rPr>
            <w:rFonts w:ascii="Arial" w:eastAsia="Arial" w:hAnsi="Arial"/>
            <w:color w:val="000000"/>
            <w:sz w:val="22"/>
            <w:szCs w:val="22"/>
            <w:u w:val="single"/>
          </w:rPr>
          <w:t xml:space="preserve"> </w:t>
        </w:r>
      </w:hyperlink>
      <w:r w:rsidRPr="00E45BA8">
        <w:rPr>
          <w:rFonts w:ascii="Arial" w:eastAsia="Arial" w:hAnsi="Arial"/>
          <w:color w:val="000000"/>
          <w:sz w:val="22"/>
          <w:szCs w:val="22"/>
        </w:rPr>
        <w:t>can still deliver effective results. Understanding the stages of change and using</w:t>
      </w:r>
      <w:r w:rsidRPr="00E45BA8">
        <w:rPr>
          <w:rFonts w:ascii="Arial" w:eastAsia="Arial" w:hAnsi="Arial"/>
          <w:color w:val="0563C1"/>
          <w:sz w:val="22"/>
          <w:szCs w:val="22"/>
        </w:rPr>
        <w:t xml:space="preserve"> </w:t>
      </w:r>
      <w:hyperlink r:id="rId24" w:history="1">
        <w:r w:rsidRPr="00E45BA8">
          <w:rPr>
            <w:rFonts w:ascii="Arial" w:eastAsia="Arial" w:hAnsi="Arial"/>
            <w:color w:val="0563C1"/>
            <w:sz w:val="22"/>
            <w:szCs w:val="22"/>
            <w:u w:val="single"/>
          </w:rPr>
          <w:t>Motivational Interviewing</w:t>
        </w:r>
        <w:r w:rsidRPr="00E45BA8">
          <w:rPr>
            <w:rFonts w:ascii="Arial" w:eastAsia="Arial" w:hAnsi="Arial"/>
            <w:color w:val="000000"/>
            <w:sz w:val="22"/>
            <w:szCs w:val="22"/>
            <w:u w:val="single"/>
          </w:rPr>
          <w:t xml:space="preserve"> </w:t>
        </w:r>
      </w:hyperlink>
      <w:r w:rsidRPr="00E45BA8">
        <w:rPr>
          <w:rFonts w:ascii="Arial" w:eastAsia="Arial" w:hAnsi="Arial"/>
          <w:color w:val="000000"/>
          <w:sz w:val="22"/>
          <w:szCs w:val="22"/>
        </w:rPr>
        <w:t>can support young people to be ready to engage in change oriented programs and services (refer to Engagement, Readiness and Motivation Service Response Guide).</w:t>
      </w:r>
    </w:p>
    <w:p w14:paraId="2685004E" w14:textId="77777777" w:rsidR="00555046" w:rsidRPr="00E45BA8" w:rsidRDefault="00555046" w:rsidP="00EE133E">
      <w:pPr>
        <w:spacing w:after="240" w:line="0" w:lineRule="atLeast"/>
        <w:rPr>
          <w:rFonts w:ascii="Arial" w:eastAsia="Arial" w:hAnsi="Arial"/>
          <w:b/>
          <w:color w:val="F89A44"/>
          <w:sz w:val="30"/>
          <w:szCs w:val="30"/>
        </w:rPr>
      </w:pPr>
      <w:r w:rsidRPr="00E45BA8">
        <w:rPr>
          <w:rFonts w:ascii="Arial" w:eastAsia="Arial" w:hAnsi="Arial"/>
          <w:b/>
          <w:color w:val="F89A44"/>
          <w:sz w:val="30"/>
          <w:szCs w:val="30"/>
        </w:rPr>
        <w:t>What core programs address high Attitude/Orientation need?</w:t>
      </w:r>
    </w:p>
    <w:p w14:paraId="4FA92DC5" w14:textId="5A139935" w:rsidR="00555046" w:rsidRPr="00E45BA8" w:rsidRDefault="00555046" w:rsidP="00EE133E">
      <w:pPr>
        <w:spacing w:after="240" w:line="0" w:lineRule="atLeast"/>
        <w:rPr>
          <w:rFonts w:ascii="Arial" w:eastAsia="Aria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Youth Justice core programs that address high Attitude/Orientation needs and are designed using a</w:t>
      </w:r>
      <w:r w:rsidR="00E45BA8" w:rsidRPr="00E45BA8">
        <w:rPr>
          <w:rFonts w:ascii="Arial" w:eastAsia="Arial" w:hAnsi="Arial"/>
          <w:sz w:val="22"/>
          <w:szCs w:val="22"/>
        </w:rPr>
        <w:t xml:space="preserve"> </w:t>
      </w:r>
      <w:r w:rsidRPr="00E45BA8">
        <w:rPr>
          <w:rFonts w:ascii="Arial" w:eastAsia="Arial" w:hAnsi="Arial"/>
          <w:sz w:val="22"/>
          <w:szCs w:val="22"/>
        </w:rPr>
        <w:t>CBT basis include:</w:t>
      </w:r>
    </w:p>
    <w:p w14:paraId="284DCD03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Changing Habits and Reaching Targets (CHART)</w:t>
      </w:r>
    </w:p>
    <w:p w14:paraId="4BBEBBE3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237" w:lineRule="auto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Re-thinking Our Attitudes towards Driving (ROAD)</w:t>
      </w:r>
    </w:p>
    <w:p w14:paraId="6F3ADE76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Young, Black and Proud (YBP)</w:t>
      </w:r>
    </w:p>
    <w:p w14:paraId="40753D64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237" w:lineRule="auto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Black Chicks Talking (BCT)</w:t>
      </w:r>
    </w:p>
    <w:p w14:paraId="6CC10E27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Aggression Replacement Training (ART)</w:t>
      </w:r>
    </w:p>
    <w:p w14:paraId="4548CC6E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Transition 2 Success (T2S)</w:t>
      </w:r>
    </w:p>
    <w:p w14:paraId="14D75EEC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Intensive Case Management (ICM)</w:t>
      </w:r>
    </w:p>
    <w:p w14:paraId="256137BD" w14:textId="77777777" w:rsidR="00555046" w:rsidRPr="00E45BA8" w:rsidRDefault="00555046" w:rsidP="00EE133E">
      <w:pPr>
        <w:pStyle w:val="ListParagraph"/>
        <w:numPr>
          <w:ilvl w:val="0"/>
          <w:numId w:val="12"/>
        </w:numPr>
        <w:tabs>
          <w:tab w:val="left" w:pos="360"/>
        </w:tabs>
        <w:spacing w:after="240" w:line="0" w:lineRule="atLeast"/>
        <w:rPr>
          <w:rFonts w:ascii="Arial" w:eastAsia="Symbol" w:hAnsi="Arial"/>
          <w:sz w:val="22"/>
          <w:szCs w:val="22"/>
        </w:rPr>
      </w:pPr>
      <w:r w:rsidRPr="00E45BA8">
        <w:rPr>
          <w:rFonts w:ascii="Arial" w:eastAsia="Arial" w:hAnsi="Arial"/>
          <w:sz w:val="22"/>
          <w:szCs w:val="22"/>
        </w:rPr>
        <w:t>Girls… Moving On (GMO)</w:t>
      </w:r>
    </w:p>
    <w:sectPr w:rsidR="00555046" w:rsidRPr="00E45BA8" w:rsidSect="000A4617">
      <w:headerReference w:type="default" r:id="rId25"/>
      <w:pgSz w:w="11900" w:h="16838"/>
      <w:pgMar w:top="1440" w:right="1126" w:bottom="1440" w:left="1120" w:header="0" w:footer="0" w:gutter="0"/>
      <w:cols w:space="0" w:equalWidth="0">
        <w:col w:w="96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0F2C8" w14:textId="77777777" w:rsidR="00E45BA8" w:rsidRDefault="00E45BA8" w:rsidP="00E45BA8">
      <w:r>
        <w:separator/>
      </w:r>
    </w:p>
  </w:endnote>
  <w:endnote w:type="continuationSeparator" w:id="0">
    <w:p w14:paraId="37970F72" w14:textId="77777777" w:rsidR="00E45BA8" w:rsidRDefault="00E45BA8" w:rsidP="00E45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4F6D7" w14:textId="77777777" w:rsidR="00E45BA8" w:rsidRDefault="00E45BA8" w:rsidP="00E45BA8">
      <w:r>
        <w:separator/>
      </w:r>
    </w:p>
  </w:footnote>
  <w:footnote w:type="continuationSeparator" w:id="0">
    <w:p w14:paraId="16CE096A" w14:textId="77777777" w:rsidR="00E45BA8" w:rsidRDefault="00E45BA8" w:rsidP="00E45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F059" w14:textId="69AC25D3" w:rsidR="00E45BA8" w:rsidRDefault="000A461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285EA4" wp14:editId="676E5359">
          <wp:simplePos x="0" y="0"/>
          <wp:positionH relativeFrom="column">
            <wp:posOffset>-711201</wp:posOffset>
          </wp:positionH>
          <wp:positionV relativeFrom="paragraph">
            <wp:posOffset>0</wp:posOffset>
          </wp:positionV>
          <wp:extent cx="7547319" cy="10680700"/>
          <wp:effectExtent l="0" t="0" r="0" b="6350"/>
          <wp:wrapNone/>
          <wp:docPr id="2738172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41" cy="10691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74B0DC50"/>
    <w:lvl w:ilvl="0" w:tplc="767025D6">
      <w:start w:val="1"/>
      <w:numFmt w:val="bullet"/>
      <w:lvlText w:val="•"/>
      <w:lvlJc w:val="left"/>
    </w:lvl>
    <w:lvl w:ilvl="1" w:tplc="F20A1456">
      <w:start w:val="1"/>
      <w:numFmt w:val="bullet"/>
      <w:lvlText w:val="a"/>
      <w:lvlJc w:val="left"/>
    </w:lvl>
    <w:lvl w:ilvl="2" w:tplc="9ECA142E">
      <w:start w:val="1"/>
      <w:numFmt w:val="bullet"/>
      <w:lvlText w:val=""/>
      <w:lvlJc w:val="left"/>
    </w:lvl>
    <w:lvl w:ilvl="3" w:tplc="76900600">
      <w:start w:val="1"/>
      <w:numFmt w:val="bullet"/>
      <w:lvlText w:val=""/>
      <w:lvlJc w:val="left"/>
    </w:lvl>
    <w:lvl w:ilvl="4" w:tplc="9C3C550E">
      <w:start w:val="1"/>
      <w:numFmt w:val="bullet"/>
      <w:lvlText w:val=""/>
      <w:lvlJc w:val="left"/>
    </w:lvl>
    <w:lvl w:ilvl="5" w:tplc="65F61842">
      <w:start w:val="1"/>
      <w:numFmt w:val="bullet"/>
      <w:lvlText w:val=""/>
      <w:lvlJc w:val="left"/>
    </w:lvl>
    <w:lvl w:ilvl="6" w:tplc="24B6D96A">
      <w:start w:val="1"/>
      <w:numFmt w:val="bullet"/>
      <w:lvlText w:val=""/>
      <w:lvlJc w:val="left"/>
    </w:lvl>
    <w:lvl w:ilvl="7" w:tplc="4CA4A8CC">
      <w:start w:val="1"/>
      <w:numFmt w:val="bullet"/>
      <w:lvlText w:val=""/>
      <w:lvlJc w:val="left"/>
    </w:lvl>
    <w:lvl w:ilvl="8" w:tplc="1AB29AB0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E51610CC">
      <w:start w:val="1"/>
      <w:numFmt w:val="bullet"/>
      <w:lvlText w:val="•"/>
      <w:lvlJc w:val="left"/>
    </w:lvl>
    <w:lvl w:ilvl="1" w:tplc="D1AC3E8A">
      <w:start w:val="1"/>
      <w:numFmt w:val="bullet"/>
      <w:lvlText w:val=""/>
      <w:lvlJc w:val="left"/>
    </w:lvl>
    <w:lvl w:ilvl="2" w:tplc="9110B3A4">
      <w:start w:val="1"/>
      <w:numFmt w:val="bullet"/>
      <w:lvlText w:val=""/>
      <w:lvlJc w:val="left"/>
    </w:lvl>
    <w:lvl w:ilvl="3" w:tplc="31BEA120">
      <w:start w:val="1"/>
      <w:numFmt w:val="bullet"/>
      <w:lvlText w:val=""/>
      <w:lvlJc w:val="left"/>
    </w:lvl>
    <w:lvl w:ilvl="4" w:tplc="CC904066">
      <w:start w:val="1"/>
      <w:numFmt w:val="bullet"/>
      <w:lvlText w:val=""/>
      <w:lvlJc w:val="left"/>
    </w:lvl>
    <w:lvl w:ilvl="5" w:tplc="1ED66CDC">
      <w:start w:val="1"/>
      <w:numFmt w:val="bullet"/>
      <w:lvlText w:val=""/>
      <w:lvlJc w:val="left"/>
    </w:lvl>
    <w:lvl w:ilvl="6" w:tplc="8B0E23D8">
      <w:start w:val="1"/>
      <w:numFmt w:val="bullet"/>
      <w:lvlText w:val=""/>
      <w:lvlJc w:val="left"/>
    </w:lvl>
    <w:lvl w:ilvl="7" w:tplc="6C626996">
      <w:start w:val="1"/>
      <w:numFmt w:val="bullet"/>
      <w:lvlText w:val=""/>
      <w:lvlJc w:val="left"/>
    </w:lvl>
    <w:lvl w:ilvl="8" w:tplc="1426749C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38F47B0E">
      <w:start w:val="1"/>
      <w:numFmt w:val="bullet"/>
      <w:lvlText w:val="•"/>
      <w:lvlJc w:val="left"/>
    </w:lvl>
    <w:lvl w:ilvl="1" w:tplc="6E88D84C">
      <w:start w:val="1"/>
      <w:numFmt w:val="bullet"/>
      <w:lvlText w:val=""/>
      <w:lvlJc w:val="left"/>
    </w:lvl>
    <w:lvl w:ilvl="2" w:tplc="5DDE8C5C">
      <w:start w:val="1"/>
      <w:numFmt w:val="bullet"/>
      <w:lvlText w:val=""/>
      <w:lvlJc w:val="left"/>
    </w:lvl>
    <w:lvl w:ilvl="3" w:tplc="09C2C126">
      <w:start w:val="1"/>
      <w:numFmt w:val="bullet"/>
      <w:lvlText w:val=""/>
      <w:lvlJc w:val="left"/>
    </w:lvl>
    <w:lvl w:ilvl="4" w:tplc="5C2A1BC2">
      <w:start w:val="1"/>
      <w:numFmt w:val="bullet"/>
      <w:lvlText w:val=""/>
      <w:lvlJc w:val="left"/>
    </w:lvl>
    <w:lvl w:ilvl="5" w:tplc="55225906">
      <w:start w:val="1"/>
      <w:numFmt w:val="bullet"/>
      <w:lvlText w:val=""/>
      <w:lvlJc w:val="left"/>
    </w:lvl>
    <w:lvl w:ilvl="6" w:tplc="CC3A6696">
      <w:start w:val="1"/>
      <w:numFmt w:val="bullet"/>
      <w:lvlText w:val=""/>
      <w:lvlJc w:val="left"/>
    </w:lvl>
    <w:lvl w:ilvl="7" w:tplc="E05817A2">
      <w:start w:val="1"/>
      <w:numFmt w:val="bullet"/>
      <w:lvlText w:val=""/>
      <w:lvlJc w:val="left"/>
    </w:lvl>
    <w:lvl w:ilvl="8" w:tplc="063C82F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A398AEDE">
      <w:start w:val="1"/>
      <w:numFmt w:val="bullet"/>
      <w:lvlText w:val="•"/>
      <w:lvlJc w:val="left"/>
    </w:lvl>
    <w:lvl w:ilvl="1" w:tplc="EE3871AE">
      <w:start w:val="1"/>
      <w:numFmt w:val="bullet"/>
      <w:lvlText w:val=""/>
      <w:lvlJc w:val="left"/>
    </w:lvl>
    <w:lvl w:ilvl="2" w:tplc="9CD6438C">
      <w:start w:val="1"/>
      <w:numFmt w:val="bullet"/>
      <w:lvlText w:val=""/>
      <w:lvlJc w:val="left"/>
    </w:lvl>
    <w:lvl w:ilvl="3" w:tplc="AF18AEC8">
      <w:start w:val="1"/>
      <w:numFmt w:val="bullet"/>
      <w:lvlText w:val=""/>
      <w:lvlJc w:val="left"/>
    </w:lvl>
    <w:lvl w:ilvl="4" w:tplc="CDEEAD56">
      <w:start w:val="1"/>
      <w:numFmt w:val="bullet"/>
      <w:lvlText w:val=""/>
      <w:lvlJc w:val="left"/>
    </w:lvl>
    <w:lvl w:ilvl="5" w:tplc="48FA304E">
      <w:start w:val="1"/>
      <w:numFmt w:val="bullet"/>
      <w:lvlText w:val=""/>
      <w:lvlJc w:val="left"/>
    </w:lvl>
    <w:lvl w:ilvl="6" w:tplc="7C6A6AE6">
      <w:start w:val="1"/>
      <w:numFmt w:val="bullet"/>
      <w:lvlText w:val=""/>
      <w:lvlJc w:val="left"/>
    </w:lvl>
    <w:lvl w:ilvl="7" w:tplc="8D20692A">
      <w:start w:val="1"/>
      <w:numFmt w:val="bullet"/>
      <w:lvlText w:val=""/>
      <w:lvlJc w:val="left"/>
    </w:lvl>
    <w:lvl w:ilvl="8" w:tplc="E0ACD814">
      <w:start w:val="1"/>
      <w:numFmt w:val="bullet"/>
      <w:lvlText w:val=""/>
      <w:lvlJc w:val="left"/>
    </w:lvl>
  </w:abstractNum>
  <w:abstractNum w:abstractNumId="4" w15:restartNumberingAfterBreak="0">
    <w:nsid w:val="0E185311"/>
    <w:multiLevelType w:val="hybridMultilevel"/>
    <w:tmpl w:val="B4F83D68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a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2CC07F0B"/>
    <w:multiLevelType w:val="hybridMultilevel"/>
    <w:tmpl w:val="63AC3C12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2D7E701D"/>
    <w:multiLevelType w:val="hybridMultilevel"/>
    <w:tmpl w:val="A60A48E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39274E46"/>
    <w:multiLevelType w:val="hybridMultilevel"/>
    <w:tmpl w:val="A32C7EA8"/>
    <w:lvl w:ilvl="0" w:tplc="69927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7738A"/>
    <w:multiLevelType w:val="hybridMultilevel"/>
    <w:tmpl w:val="B4689786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63CD6C8C"/>
    <w:multiLevelType w:val="hybridMultilevel"/>
    <w:tmpl w:val="FDFC7594"/>
    <w:lvl w:ilvl="0" w:tplc="0C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0" w15:restartNumberingAfterBreak="0">
    <w:nsid w:val="68136303"/>
    <w:multiLevelType w:val="hybridMultilevel"/>
    <w:tmpl w:val="7B68CE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3E6EE5"/>
    <w:multiLevelType w:val="hybridMultilevel"/>
    <w:tmpl w:val="42A63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16019">
    <w:abstractNumId w:val="0"/>
  </w:num>
  <w:num w:numId="2" w16cid:durableId="1642805255">
    <w:abstractNumId w:val="1"/>
  </w:num>
  <w:num w:numId="3" w16cid:durableId="436028249">
    <w:abstractNumId w:val="2"/>
  </w:num>
  <w:num w:numId="4" w16cid:durableId="1665089701">
    <w:abstractNumId w:val="3"/>
  </w:num>
  <w:num w:numId="5" w16cid:durableId="97215987">
    <w:abstractNumId w:val="4"/>
  </w:num>
  <w:num w:numId="6" w16cid:durableId="922372189">
    <w:abstractNumId w:val="8"/>
  </w:num>
  <w:num w:numId="7" w16cid:durableId="482477096">
    <w:abstractNumId w:val="5"/>
  </w:num>
  <w:num w:numId="8" w16cid:durableId="1675112382">
    <w:abstractNumId w:val="6"/>
  </w:num>
  <w:num w:numId="9" w16cid:durableId="1114178578">
    <w:abstractNumId w:val="10"/>
  </w:num>
  <w:num w:numId="10" w16cid:durableId="1483307856">
    <w:abstractNumId w:val="11"/>
  </w:num>
  <w:num w:numId="11" w16cid:durableId="1883864093">
    <w:abstractNumId w:val="7"/>
  </w:num>
  <w:num w:numId="12" w16cid:durableId="1461744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46"/>
    <w:rsid w:val="000A4617"/>
    <w:rsid w:val="002571B5"/>
    <w:rsid w:val="00555046"/>
    <w:rsid w:val="00A464E6"/>
    <w:rsid w:val="00E45BA8"/>
    <w:rsid w:val="00EE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0EFF5F"/>
  <w15:chartTrackingRefBased/>
  <w15:docId w15:val="{941C587D-DF72-4343-B55C-D38D6A325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B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BA8"/>
  </w:style>
  <w:style w:type="paragraph" w:styleId="Footer">
    <w:name w:val="footer"/>
    <w:basedOn w:val="Normal"/>
    <w:link w:val="FooterChar"/>
    <w:uiPriority w:val="99"/>
    <w:unhideWhenUsed/>
    <w:rsid w:val="00E45B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BA8"/>
  </w:style>
  <w:style w:type="paragraph" w:styleId="ListParagraph">
    <w:name w:val="List Paragraph"/>
    <w:basedOn w:val="Normal"/>
    <w:uiPriority w:val="34"/>
    <w:qFormat/>
    <w:rsid w:val="00E45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file://ebus.root.internal/dc/YouthJustice/General/Shared/Youth%20Justice%20Resources/Endnote%20Library%20PDFs/Programs/Feindler_2014_CBT%20with%20Juvenile%20Offenders-a%20review%20and%20recommendations%20for%20practice.pdf" TargetMode="External"/><Relationship Id="rId18" Type="http://schemas.openxmlformats.org/officeDocument/2006/relationships/hyperlink" Target="file://ebus.root.internal/dc/YouthJustice/General/Shared/Youth%20Justice%20Resources/Endnote%20Library%20PDFs/Programs/Feindler_2014_CBT%20with%20Juvenile%20Offenders-a%20review%20and%20recommendations%20for%20practice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file://ebus.root.internal/dc/YouthJustice/General/Shared/Youth%20Justice%20Resources/Endnote%20Library%20PDFs/Programs/Lipsey,%20et%20l_2010_Improving%20the%20effectiveness%20of%20juvenile%20justice%20programs.pdf" TargetMode="External"/><Relationship Id="rId7" Type="http://schemas.openxmlformats.org/officeDocument/2006/relationships/styles" Target="styles.xml"/><Relationship Id="rId12" Type="http://schemas.openxmlformats.org/officeDocument/2006/relationships/hyperlink" Target="file://ebus.root.internal/dc/YouthJustice/General/Shared/Youth%20Justice%20Resources/Endnote%20Library%20PDFs/RNR/Grieger%20and%20Hosser_2013_which-risk-factors-are-really-predictive-an-analysis-of-andrews-and-bonta-s-central-eight-risk.pdf" TargetMode="External"/><Relationship Id="rId17" Type="http://schemas.openxmlformats.org/officeDocument/2006/relationships/hyperlink" Target="file://ebus.root.internal/dc/YouthJustice/General/Shared/Youth%20Justice%20Resources/Endnote%20Library%20PDFs/Programs/Feindler_2014_CBT%20with%20Juvenile%20Offenders-a%20review%20and%20recommendations%20for%20practice.pdf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ebus.root.internal/dc/YouthJustice/General/Shared/Youth%20Justice%20Resources/Endnote%20Library%20PDFs/Megens%20and%20Weerman_2010_Attitudes%20delinquency%20and%20peers%20the%20role%20of%20social%20norms%20in%20attitude%20behaviour%20inconsistency.pdf" TargetMode="External"/><Relationship Id="rId20" Type="http://schemas.openxmlformats.org/officeDocument/2006/relationships/hyperlink" Target="file://ebus.root.internal/dc/YouthJustice/General/Shared/Youth%20Justice%20Resources/Endnote%20Library%20PDFs/Tafrate%20et%20al_Criminogenic%20Thinking%20among%20Justice%20involved%20people%20-%20Federal%20Probation%20Article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file://ebus.root.internal/dc/YouthJustice/General/Shared/Youth%20Justice%20Resources/Endnote%20Library%20PDFs/RNR/Tafrate,%20et%20al_2019_Integrating%20Motivational%20Interviewing%20with%20RNR%20based%20practice.pdf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sciencedirect.com/science/article/abs/pii/S0047235210002199" TargetMode="External"/><Relationship Id="rId23" Type="http://schemas.openxmlformats.org/officeDocument/2006/relationships/hyperlink" Target="file://ebus.root.internal/dc/YouthJustice/General/Shared/Youth%20Justice%20Resources/Endnote%20Library%20PDFs/Trotter,%20et%20al_2020_Strategies%20for%20Work%20with%20Involuntary%20Clients.pdf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cyjmaintranet.root.internal/service-delivery/youth-justice/cultural-resources-youth-justice/family-led-decision-makin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yjma.cls.janisoncloud.com/pages/yj-abc-portal_home" TargetMode="External"/><Relationship Id="rId22" Type="http://schemas.openxmlformats.org/officeDocument/2006/relationships/hyperlink" Target="https://cyjmaintranet.root.internal/resources/dcsywintranet/policies-procedures/service-delivery/youth-justice/administrative-powers-yja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45734b7-3c4a-4003-87e0-54aa8a21508e" ContentTypeId="0x010100B152FE0A27636C4F8C85B65586C31A94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Status xmlns="b7fcd359-19c8-40e3-b19f-91106bd6c442">Draft</DocumentStatus>
    <TaxCatchAll xmlns="b7fcd359-19c8-40e3-b19f-91106bd6c442">
      <Value>2</Value>
      <Value>1</Value>
    </TaxCatchAll>
    <e931cd5c47b2478a988e0e7e19f8435a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0d2b879a-0e80-4be0-a339-283a7d647e61</TermId>
        </TermInfo>
      </Terms>
    </e931cd5c47b2478a988e0e7e19f8435a>
    <l1ff8f55bb39424dbc58051f4cb1d39f xmlns="b7fcd359-19c8-40e3-b19f-91106bd6c442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Youth Justice Services</TermName>
          <TermId xmlns="http://schemas.microsoft.com/office/infopath/2007/PartnerControls">bb81fddc-2000-41ca-80b6-ccc12b0080ef</TermId>
        </TermInfo>
      </Terms>
    </l1ff8f55bb39424dbc58051f4cb1d39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B152FE0A27636C4F8C85B65586C31A9400CB38D5B1813CDB4E8402D37098013292" ma:contentTypeVersion="10" ma:contentTypeDescription="Create a new Standard document." ma:contentTypeScope="" ma:versionID="881fd66cf14b4d79131617f4fa37225b">
  <xsd:schema xmlns:xsd="http://www.w3.org/2001/XMLSchema" xmlns:xs="http://www.w3.org/2001/XMLSchema" xmlns:p="http://schemas.microsoft.com/office/2006/metadata/properties" xmlns:ns2="b7fcd359-19c8-40e3-b19f-91106bd6c442" targetNamespace="http://schemas.microsoft.com/office/2006/metadata/properties" ma:root="true" ma:fieldsID="3da4967299cd044280bfd9feef9e3864" ns2:_="">
    <xsd:import namespace="b7fcd359-19c8-40e3-b19f-91106bd6c442"/>
    <xsd:element name="properties">
      <xsd:complexType>
        <xsd:sequence>
          <xsd:element name="documentManagement">
            <xsd:complexType>
              <xsd:all>
                <xsd:element ref="ns2:DocumentStatus" minOccurs="0"/>
                <xsd:element ref="ns2:e931cd5c47b2478a988e0e7e19f8435a" minOccurs="0"/>
                <xsd:element ref="ns2:TaxCatchAll" minOccurs="0"/>
                <xsd:element ref="ns2:TaxCatchAllLabel" minOccurs="0"/>
                <xsd:element ref="ns2:l1ff8f55bb39424dbc58051f4cb1d39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cd359-19c8-40e3-b19f-91106bd6c442" elementFormDefault="qualified">
    <xsd:import namespace="http://schemas.microsoft.com/office/2006/documentManagement/types"/>
    <xsd:import namespace="http://schemas.microsoft.com/office/infopath/2007/PartnerControls"/>
    <xsd:element name="DocumentStatus" ma:index="8" nillable="true" ma:displayName="Document Status" ma:default="Draft" ma:format="Dropdown" ma:internalName="DocumentStatus">
      <xsd:simpleType>
        <xsd:restriction base="dms:Choice">
          <xsd:enumeration value="Draft"/>
          <xsd:enumeration value="Final"/>
        </xsd:restriction>
      </xsd:simpleType>
    </xsd:element>
    <xsd:element name="e931cd5c47b2478a988e0e7e19f8435a" ma:index="9" ma:taxonomy="true" ma:internalName="e931cd5c47b2478a988e0e7e19f8435a" ma:taxonomyFieldName="TypeOfDocument" ma:displayName="Type of Document" ma:default="1;#General|0d2b879a-0e80-4be0-a339-283a7d647e61" ma:fieldId="{e931cd5c-47b2-478a-988e-0e7e19f8435a}" ma:sspId="a45734b7-3c4a-4003-87e0-54aa8a21508e" ma:termSetId="9c047475-83a2-4d14-a167-72b30f4eb89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de82989-046e-4fbf-aa98-28557063bd34}" ma:internalName="TaxCatchAll" ma:showField="CatchAllData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9de82989-046e-4fbf-aa98-28557063bd34}" ma:internalName="TaxCatchAllLabel" ma:readOnly="true" ma:showField="CatchAllDataLabel" ma:web="84072ed4-f067-422f-ac3e-b0d647fbdc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1ff8f55bb39424dbc58051f4cb1d39f" ma:index="13" ma:taxonomy="true" ma:internalName="l1ff8f55bb39424dbc58051f4cb1d39f" ma:taxonomyFieldName="RecordsCategory" ma:displayName="RecordsCategory" ma:default="2;#Youth Justice Services|bb81fddc-2000-41ca-80b6-ccc12b0080ef" ma:fieldId="{51ff8f55-bb39-424d-bc58-051f4cb1d39f}" ma:sspId="a45734b7-3c4a-4003-87e0-54aa8a21508e" ma:termSetId="8e0ee7d0-277d-4b21-9441-0e2cb59b30f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248FDB-0201-4D60-9691-754B25E2722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E5E6D5E-D489-49D6-9AA5-D4CC081DA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F6C6FE-1704-4D5A-9F92-67E4C9873F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2D8128-5362-4F90-B55A-C6E79679CE00}">
  <ds:schemaRefs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b7fcd359-19c8-40e3-b19f-91106bd6c442"/>
  </ds:schemaRefs>
</ds:datastoreItem>
</file>

<file path=customXml/itemProps5.xml><?xml version="1.0" encoding="utf-8"?>
<ds:datastoreItem xmlns:ds="http://schemas.openxmlformats.org/officeDocument/2006/customXml" ds:itemID="{8E18F31E-6777-4503-8F01-B810A02BE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cd359-19c8-40e3-b19f-91106bd6c4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554</Words>
  <Characters>6028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R. Williams</dc:creator>
  <cp:keywords/>
  <cp:lastModifiedBy>Lara M Williams</cp:lastModifiedBy>
  <cp:revision>4</cp:revision>
  <dcterms:created xsi:type="dcterms:W3CDTF">2025-01-14T05:43:00Z</dcterms:created>
  <dcterms:modified xsi:type="dcterms:W3CDTF">2025-02-12T05:42:00Z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0x010100B152FE0A27636C4F8C85B65586C31A9400CB38D5B1813CDB4E8402D37098013292</vt:lpwstr>
  </property>
  <property fmtid="{D5CDD505-2E9C-101B-9397-08002B2CF9AE}" pid="3" name="TypeOfDocument">
    <vt:lpwstr>1;#General|0d2b879a-0e80-4be0-a339-283a7d647e61</vt:lpwstr>
  </property>
  <property fmtid="{D5CDD505-2E9C-101B-9397-08002B2CF9AE}" pid="4" name="RecordsCategory">
    <vt:lpwstr>2;#Youth Justice Services|bb81fddc-2000-41ca-80b6-ccc12b0080ef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</Properties>
</file>