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9F16" w14:textId="5EE2114A" w:rsidR="00C76CCF" w:rsidRPr="00C76CCF" w:rsidRDefault="00054FC1" w:rsidP="00C76CCF">
      <w:pPr>
        <w:pStyle w:val="Heading2"/>
      </w:pPr>
      <w:r w:rsidRPr="00054FC1">
        <w:t xml:space="preserve">Department of Youth Justice and Victim Support Service Delivery Standards </w:t>
      </w:r>
      <w:proofErr w:type="gramStart"/>
      <w:r w:rsidRPr="00054FC1">
        <w:t>at</w:t>
      </w:r>
      <w:proofErr w:type="gramEnd"/>
      <w:r w:rsidRPr="00054FC1">
        <w:t xml:space="preserve"> 30 June 2025</w:t>
      </w:r>
    </w:p>
    <w:p w14:paraId="45C8EDA9" w14:textId="77777777" w:rsidR="00054FC1" w:rsidRPr="00054FC1" w:rsidRDefault="00054FC1" w:rsidP="00054FC1">
      <w:pPr>
        <w:spacing w:after="0"/>
        <w:jc w:val="center"/>
        <w:rPr>
          <w:rFonts w:cs="Arial"/>
          <w:b/>
          <w:bCs/>
          <w:szCs w:val="22"/>
          <w:u w:val="single"/>
        </w:rPr>
      </w:pPr>
    </w:p>
    <w:tbl>
      <w:tblPr>
        <w:tblStyle w:val="TableGrid"/>
        <w:tblW w:w="14455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390"/>
        <w:gridCol w:w="1677"/>
        <w:gridCol w:w="1678"/>
        <w:gridCol w:w="1677"/>
        <w:gridCol w:w="1677"/>
        <w:gridCol w:w="1678"/>
        <w:gridCol w:w="1678"/>
      </w:tblGrid>
      <w:tr w:rsidR="00054FC1" w:rsidRPr="00054FC1" w14:paraId="411BED70" w14:textId="77777777" w:rsidTr="00054FC1">
        <w:trPr>
          <w:trHeight w:val="920"/>
          <w:tblHeader/>
        </w:trPr>
        <w:tc>
          <w:tcPr>
            <w:tcW w:w="4390" w:type="dxa"/>
            <w:shd w:val="clear" w:color="auto" w:fill="1F3864" w:themeFill="accent1" w:themeFillShade="80"/>
            <w:vAlign w:val="center"/>
          </w:tcPr>
          <w:p w14:paraId="4852597D" w14:textId="77777777" w:rsidR="00054FC1" w:rsidRPr="00054FC1" w:rsidRDefault="00054FC1" w:rsidP="00054FC1">
            <w:pPr>
              <w:rPr>
                <w:rFonts w:cs="Arial"/>
                <w:color w:val="FFFFFF" w:themeColor="background1"/>
              </w:rPr>
            </w:pPr>
            <w:r w:rsidRPr="00054FC1">
              <w:rPr>
                <w:rFonts w:cs="Arial"/>
                <w:color w:val="FFFFFF" w:themeColor="background1"/>
              </w:rPr>
              <w:t>Service Standards</w:t>
            </w:r>
          </w:p>
        </w:tc>
        <w:tc>
          <w:tcPr>
            <w:tcW w:w="1677" w:type="dxa"/>
            <w:shd w:val="clear" w:color="auto" w:fill="1F3864" w:themeFill="accent1" w:themeFillShade="80"/>
            <w:vAlign w:val="center"/>
          </w:tcPr>
          <w:p w14:paraId="1A3FFC3C" w14:textId="27E6A77D" w:rsidR="00054FC1" w:rsidRPr="00054FC1" w:rsidRDefault="00B31FE1" w:rsidP="00054FC1">
            <w:pPr>
              <w:spacing w:after="120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12 months to 30 Jun </w:t>
            </w:r>
            <w:r w:rsidR="00054FC1" w:rsidRPr="00054FC1">
              <w:rPr>
                <w:rFonts w:cs="Arial"/>
                <w:color w:val="FFFFFF" w:themeColor="background1"/>
              </w:rPr>
              <w:t>2024 Actual</w:t>
            </w:r>
          </w:p>
        </w:tc>
        <w:tc>
          <w:tcPr>
            <w:tcW w:w="1678" w:type="dxa"/>
            <w:shd w:val="clear" w:color="auto" w:fill="1F3864" w:themeFill="accent1" w:themeFillShade="80"/>
            <w:vAlign w:val="center"/>
          </w:tcPr>
          <w:p w14:paraId="23BC4BE3" w14:textId="51D4BE38" w:rsidR="00054FC1" w:rsidRPr="00054FC1" w:rsidRDefault="00B31FE1" w:rsidP="00054FC1">
            <w:pPr>
              <w:spacing w:after="120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12 months</w:t>
            </w:r>
            <w:r w:rsidR="00054FC1" w:rsidRPr="00054FC1">
              <w:rPr>
                <w:rFonts w:cs="Arial"/>
                <w:color w:val="FFFFFF" w:themeColor="background1"/>
              </w:rPr>
              <w:t xml:space="preserve"> to 26 Sep 2024 </w:t>
            </w:r>
            <w:r w:rsidR="0061138D" w:rsidRPr="003745AF">
              <w:rPr>
                <w:rFonts w:cs="Arial"/>
                <w:color w:val="FFFFFF" w:themeColor="background1"/>
                <w:vertAlign w:val="superscript"/>
              </w:rPr>
              <w:t>i</w:t>
            </w:r>
            <w:r w:rsidR="00054FC1" w:rsidRPr="00054FC1">
              <w:rPr>
                <w:rFonts w:cs="Arial"/>
                <w:color w:val="FFFFFF" w:themeColor="background1"/>
              </w:rPr>
              <w:t xml:space="preserve"> Actual</w:t>
            </w:r>
          </w:p>
        </w:tc>
        <w:tc>
          <w:tcPr>
            <w:tcW w:w="1677" w:type="dxa"/>
            <w:shd w:val="clear" w:color="auto" w:fill="1F3864" w:themeFill="accent1" w:themeFillShade="80"/>
            <w:vAlign w:val="center"/>
          </w:tcPr>
          <w:p w14:paraId="09B7FEE3" w14:textId="77777777" w:rsidR="00054FC1" w:rsidRPr="00054FC1" w:rsidRDefault="00054FC1" w:rsidP="00054FC1">
            <w:pPr>
              <w:spacing w:after="120"/>
              <w:jc w:val="center"/>
              <w:rPr>
                <w:rFonts w:cs="Arial"/>
                <w:color w:val="FFFFFF" w:themeColor="background1"/>
              </w:rPr>
            </w:pPr>
            <w:r w:rsidRPr="00054FC1">
              <w:rPr>
                <w:rFonts w:cs="Arial"/>
                <w:color w:val="FFFFFF" w:themeColor="background1"/>
              </w:rPr>
              <w:t>12 months to 31 Dec 2024 Actual</w:t>
            </w:r>
          </w:p>
        </w:tc>
        <w:tc>
          <w:tcPr>
            <w:tcW w:w="1677" w:type="dxa"/>
            <w:shd w:val="clear" w:color="auto" w:fill="1F3864" w:themeFill="accent1" w:themeFillShade="80"/>
          </w:tcPr>
          <w:p w14:paraId="72B9FF83" w14:textId="77777777" w:rsidR="00054FC1" w:rsidRPr="00054FC1" w:rsidRDefault="00054FC1" w:rsidP="00054FC1">
            <w:pPr>
              <w:spacing w:after="120"/>
              <w:jc w:val="center"/>
              <w:rPr>
                <w:rFonts w:cs="Arial"/>
                <w:color w:val="FFFFFF" w:themeColor="background1"/>
              </w:rPr>
            </w:pPr>
            <w:r w:rsidRPr="00054FC1">
              <w:rPr>
                <w:rFonts w:cs="Arial"/>
                <w:color w:val="FFFFFF" w:themeColor="background1"/>
              </w:rPr>
              <w:t>12 months to 31 Mar 2025 Actual</w:t>
            </w:r>
          </w:p>
        </w:tc>
        <w:tc>
          <w:tcPr>
            <w:tcW w:w="1678" w:type="dxa"/>
            <w:shd w:val="clear" w:color="auto" w:fill="1F3864" w:themeFill="accent1" w:themeFillShade="80"/>
          </w:tcPr>
          <w:p w14:paraId="648C3581" w14:textId="69925783" w:rsidR="00054FC1" w:rsidRPr="00054FC1" w:rsidRDefault="00054FC1" w:rsidP="00054FC1">
            <w:pPr>
              <w:spacing w:after="120"/>
              <w:jc w:val="center"/>
              <w:rPr>
                <w:rFonts w:cs="Arial"/>
                <w:color w:val="FFFFFF" w:themeColor="background1"/>
              </w:rPr>
            </w:pPr>
            <w:r w:rsidRPr="00054FC1">
              <w:rPr>
                <w:rFonts w:cs="Arial"/>
                <w:color w:val="FFFFFF" w:themeColor="background1"/>
              </w:rPr>
              <w:t xml:space="preserve">12 months to 30 Jun 2025 </w:t>
            </w:r>
            <w:r w:rsidR="0061138D">
              <w:rPr>
                <w:rFonts w:cs="Arial"/>
                <w:color w:val="FFFFFF" w:themeColor="background1"/>
                <w:vertAlign w:val="superscript"/>
              </w:rPr>
              <w:t>ii</w:t>
            </w:r>
            <w:r w:rsidRPr="00054FC1">
              <w:rPr>
                <w:rFonts w:cs="Arial"/>
                <w:color w:val="FFFFFF" w:themeColor="background1"/>
              </w:rPr>
              <w:t xml:space="preserve"> Actual</w:t>
            </w:r>
          </w:p>
        </w:tc>
        <w:tc>
          <w:tcPr>
            <w:tcW w:w="1678" w:type="dxa"/>
            <w:shd w:val="clear" w:color="auto" w:fill="1F3864" w:themeFill="accent1" w:themeFillShade="80"/>
            <w:vAlign w:val="center"/>
          </w:tcPr>
          <w:p w14:paraId="71ED8BDF" w14:textId="77777777" w:rsidR="00054FC1" w:rsidRPr="00054FC1" w:rsidRDefault="00054FC1" w:rsidP="00054FC1">
            <w:pPr>
              <w:jc w:val="center"/>
              <w:rPr>
                <w:rFonts w:cs="Arial"/>
                <w:color w:val="FFFFFF" w:themeColor="background1"/>
              </w:rPr>
            </w:pPr>
            <w:r w:rsidRPr="00054FC1">
              <w:rPr>
                <w:rFonts w:cs="Arial"/>
                <w:color w:val="FFFFFF" w:themeColor="background1"/>
              </w:rPr>
              <w:t>2025-26 Target/Est.</w:t>
            </w:r>
          </w:p>
        </w:tc>
      </w:tr>
      <w:tr w:rsidR="00054FC1" w:rsidRPr="00054FC1" w14:paraId="08EBDDF0" w14:textId="77777777" w:rsidTr="001E6B79">
        <w:tc>
          <w:tcPr>
            <w:tcW w:w="4390" w:type="dxa"/>
            <w:vAlign w:val="center"/>
          </w:tcPr>
          <w:p w14:paraId="6770AC3D" w14:textId="230A8092" w:rsidR="00054FC1" w:rsidRPr="00054FC1" w:rsidRDefault="00054FC1" w:rsidP="00054FC1">
            <w:pPr>
              <w:spacing w:after="120"/>
              <w:contextualSpacing/>
              <w:rPr>
                <w:rFonts w:cs="Arial"/>
              </w:rPr>
            </w:pPr>
            <w:r w:rsidRPr="00054FC1">
              <w:rPr>
                <w:rFonts w:cs="Arial"/>
              </w:rPr>
              <w:t>Rate of young people aged 10-17 who have contact with Youth Justice</w:t>
            </w:r>
            <w:r w:rsidR="0061138D">
              <w:rPr>
                <w:rFonts w:cs="Arial"/>
              </w:rPr>
              <w:t xml:space="preserve"> </w:t>
            </w:r>
            <w:r w:rsidR="0061138D" w:rsidRPr="003745AF">
              <w:rPr>
                <w:rFonts w:cs="Arial"/>
                <w:vertAlign w:val="superscript"/>
              </w:rPr>
              <w:t>iii</w:t>
            </w:r>
            <w:r w:rsidRPr="00054FC1">
              <w:rPr>
                <w:rFonts w:cs="Arial"/>
              </w:rPr>
              <w:t xml:space="preserve">, per 10,000 population: </w:t>
            </w:r>
          </w:p>
          <w:p w14:paraId="688C9618" w14:textId="77777777" w:rsidR="00054FC1" w:rsidRPr="00054FC1" w:rsidRDefault="00054FC1" w:rsidP="00054FC1">
            <w:pPr>
              <w:numPr>
                <w:ilvl w:val="0"/>
                <w:numId w:val="13"/>
              </w:numPr>
              <w:spacing w:after="120" w:line="259" w:lineRule="auto"/>
              <w:contextualSpacing/>
              <w:rPr>
                <w:rFonts w:cs="Arial"/>
                <w:szCs w:val="22"/>
                <w:lang w:eastAsia="en-US"/>
              </w:rPr>
            </w:pPr>
            <w:r w:rsidRPr="00054FC1">
              <w:rPr>
                <w:rFonts w:cs="Arial"/>
                <w:szCs w:val="22"/>
                <w:lang w:eastAsia="en-US"/>
              </w:rPr>
              <w:t xml:space="preserve">Aboriginal and Torres Strait Islander </w:t>
            </w:r>
          </w:p>
          <w:p w14:paraId="7467132C" w14:textId="77777777" w:rsidR="00054FC1" w:rsidRPr="00054FC1" w:rsidRDefault="00054FC1" w:rsidP="00054FC1">
            <w:pPr>
              <w:numPr>
                <w:ilvl w:val="0"/>
                <w:numId w:val="13"/>
              </w:numPr>
              <w:spacing w:after="0" w:line="259" w:lineRule="auto"/>
              <w:contextualSpacing/>
              <w:rPr>
                <w:rFonts w:cs="Arial"/>
                <w:szCs w:val="22"/>
                <w:lang w:eastAsia="en-US"/>
              </w:rPr>
            </w:pPr>
            <w:r w:rsidRPr="00054FC1">
              <w:rPr>
                <w:rFonts w:cs="Arial"/>
                <w:szCs w:val="22"/>
                <w:lang w:eastAsia="en-US"/>
              </w:rPr>
              <w:t>Other</w:t>
            </w:r>
          </w:p>
          <w:p w14:paraId="315773E0" w14:textId="77777777" w:rsidR="00054FC1" w:rsidRPr="00054FC1" w:rsidRDefault="00054FC1" w:rsidP="00054FC1">
            <w:pPr>
              <w:numPr>
                <w:ilvl w:val="0"/>
                <w:numId w:val="13"/>
              </w:numPr>
              <w:spacing w:after="120"/>
              <w:ind w:left="357" w:hanging="357"/>
              <w:contextualSpacing/>
              <w:rPr>
                <w:rFonts w:asciiTheme="minorHAnsi" w:hAnsiTheme="minorHAnsi" w:cs="Arial"/>
                <w:szCs w:val="22"/>
                <w:lang w:eastAsia="en-US"/>
              </w:rPr>
            </w:pPr>
            <w:r w:rsidRPr="00054FC1">
              <w:rPr>
                <w:rFonts w:cs="Arial"/>
                <w:szCs w:val="22"/>
                <w:lang w:eastAsia="en-US"/>
              </w:rPr>
              <w:t>Total</w:t>
            </w:r>
            <w:r w:rsidRPr="00054FC1">
              <w:rPr>
                <w:rFonts w:asciiTheme="minorHAnsi" w:hAnsiTheme="minorHAnsi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1677" w:type="dxa"/>
            <w:vAlign w:val="center"/>
          </w:tcPr>
          <w:p w14:paraId="030519A4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75B56411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4ACCE8EC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3210832C" w14:textId="64F31CD4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435</w:t>
            </w:r>
            <w:r w:rsidRPr="00054FC1">
              <w:rPr>
                <w:rFonts w:cs="Arial"/>
                <w:vertAlign w:val="superscript"/>
              </w:rPr>
              <w:t xml:space="preserve"> </w:t>
            </w:r>
            <w:r w:rsidR="00B01ADB">
              <w:rPr>
                <w:rFonts w:cs="Arial"/>
                <w:vertAlign w:val="superscript"/>
              </w:rPr>
              <w:t>vi</w:t>
            </w:r>
          </w:p>
          <w:p w14:paraId="3E84F5DE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31</w:t>
            </w:r>
          </w:p>
          <w:p w14:paraId="0DD9190C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60</w:t>
            </w:r>
          </w:p>
        </w:tc>
        <w:tc>
          <w:tcPr>
            <w:tcW w:w="1678" w:type="dxa"/>
            <w:vAlign w:val="center"/>
          </w:tcPr>
          <w:p w14:paraId="5CA29B34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6528FC6B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70688F9A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7659F503" w14:textId="5DA5EF45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423</w:t>
            </w:r>
            <w:r w:rsidRPr="00054FC1">
              <w:rPr>
                <w:rFonts w:cs="Arial"/>
                <w:vertAlign w:val="superscript"/>
              </w:rPr>
              <w:t xml:space="preserve"> </w:t>
            </w:r>
            <w:r w:rsidR="00B01ADB">
              <w:rPr>
                <w:rFonts w:cs="Arial"/>
                <w:vertAlign w:val="superscript"/>
              </w:rPr>
              <w:t>vi</w:t>
            </w:r>
          </w:p>
          <w:p w14:paraId="74196DD8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29</w:t>
            </w:r>
          </w:p>
          <w:p w14:paraId="0E97FE1E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59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7FC881B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2DFE7164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1550CD4B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57E0600E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55D1E090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356</w:t>
            </w:r>
          </w:p>
          <w:p w14:paraId="6FA0C83B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30</w:t>
            </w:r>
          </w:p>
          <w:p w14:paraId="062E6A0F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59</w:t>
            </w:r>
          </w:p>
          <w:p w14:paraId="3DA78735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677" w:type="dxa"/>
            <w:shd w:val="clear" w:color="auto" w:fill="auto"/>
          </w:tcPr>
          <w:p w14:paraId="5EFADA36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58924147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7DDF1DB3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73836538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12CF05AA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353</w:t>
            </w:r>
          </w:p>
          <w:p w14:paraId="2B190906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31</w:t>
            </w:r>
          </w:p>
          <w:p w14:paraId="7A7C02D8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59</w:t>
            </w:r>
          </w:p>
        </w:tc>
        <w:tc>
          <w:tcPr>
            <w:tcW w:w="1678" w:type="dxa"/>
          </w:tcPr>
          <w:p w14:paraId="0286063E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6AAA300B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1E0206B1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4EC785F9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576B7AD8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343</w:t>
            </w:r>
          </w:p>
          <w:p w14:paraId="5154A50E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31</w:t>
            </w:r>
          </w:p>
          <w:p w14:paraId="374CFC34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59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F7422DF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456A7F88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21AB58ED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</w:p>
          <w:p w14:paraId="457F51BE" w14:textId="41D90661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390</w:t>
            </w:r>
            <w:r w:rsidR="007D1EF7" w:rsidRPr="007D1EF7">
              <w:rPr>
                <w:rFonts w:cs="Arial"/>
                <w:vertAlign w:val="superscript"/>
              </w:rPr>
              <w:t xml:space="preserve"> </w:t>
            </w:r>
            <w:r w:rsidR="00A12E4A">
              <w:rPr>
                <w:rFonts w:cs="Arial"/>
                <w:vertAlign w:val="superscript"/>
              </w:rPr>
              <w:t>vi</w:t>
            </w:r>
          </w:p>
          <w:p w14:paraId="406FB11A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30</w:t>
            </w:r>
          </w:p>
          <w:p w14:paraId="17EA0C70" w14:textId="77777777" w:rsidR="00054FC1" w:rsidRPr="00054FC1" w:rsidRDefault="00054FC1" w:rsidP="00054FC1">
            <w:pPr>
              <w:spacing w:after="0"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59</w:t>
            </w:r>
          </w:p>
        </w:tc>
      </w:tr>
      <w:tr w:rsidR="00054FC1" w:rsidRPr="00054FC1" w14:paraId="194C4559" w14:textId="77777777" w:rsidTr="001E6B79">
        <w:tc>
          <w:tcPr>
            <w:tcW w:w="4390" w:type="dxa"/>
            <w:vAlign w:val="center"/>
          </w:tcPr>
          <w:p w14:paraId="5BADEAF8" w14:textId="3DD688B0" w:rsidR="00054FC1" w:rsidRPr="00054FC1" w:rsidRDefault="00054FC1" w:rsidP="00054FC1">
            <w:pPr>
              <w:spacing w:before="60"/>
              <w:rPr>
                <w:rFonts w:cs="Arial"/>
              </w:rPr>
            </w:pPr>
            <w:r w:rsidRPr="00054FC1">
              <w:rPr>
                <w:rFonts w:cs="Arial"/>
              </w:rPr>
              <w:t xml:space="preserve">Proportion of young people declared a serious repeat offender under the </w:t>
            </w:r>
            <w:r w:rsidRPr="00054FC1">
              <w:rPr>
                <w:rFonts w:cs="Arial"/>
                <w:i/>
                <w:iCs/>
              </w:rPr>
              <w:t>Youth Justice Act 1992</w:t>
            </w:r>
            <w:r w:rsidRPr="00054FC1">
              <w:rPr>
                <w:rFonts w:cs="Arial"/>
              </w:rPr>
              <w:t xml:space="preserve"> out of all young people with a proven finalised offence </w:t>
            </w:r>
            <w:r w:rsidR="00EC2BFF">
              <w:rPr>
                <w:rFonts w:cs="Arial"/>
                <w:vertAlign w:val="superscript"/>
              </w:rPr>
              <w:t>iv</w:t>
            </w:r>
          </w:p>
        </w:tc>
        <w:tc>
          <w:tcPr>
            <w:tcW w:w="1677" w:type="dxa"/>
            <w:vAlign w:val="center"/>
          </w:tcPr>
          <w:p w14:paraId="3A1C216F" w14:textId="77777777" w:rsidR="00054FC1" w:rsidRPr="00054FC1" w:rsidRDefault="00054FC1" w:rsidP="00054FC1">
            <w:pPr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1.5%</w:t>
            </w:r>
          </w:p>
        </w:tc>
        <w:tc>
          <w:tcPr>
            <w:tcW w:w="1678" w:type="dxa"/>
            <w:vAlign w:val="center"/>
          </w:tcPr>
          <w:p w14:paraId="643B6408" w14:textId="77777777" w:rsidR="00054FC1" w:rsidRPr="00054FC1" w:rsidRDefault="00054FC1" w:rsidP="00054FC1">
            <w:pPr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1.3%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5797666" w14:textId="77777777" w:rsidR="00054FC1" w:rsidRPr="00054FC1" w:rsidRDefault="00054FC1" w:rsidP="00054FC1">
            <w:pPr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1.1%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FC00BAF" w14:textId="77777777" w:rsidR="00054FC1" w:rsidRPr="00054FC1" w:rsidRDefault="00054FC1" w:rsidP="00054FC1">
            <w:pPr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1.2%</w:t>
            </w:r>
          </w:p>
        </w:tc>
        <w:tc>
          <w:tcPr>
            <w:tcW w:w="1678" w:type="dxa"/>
            <w:vAlign w:val="center"/>
          </w:tcPr>
          <w:p w14:paraId="758D103D" w14:textId="77777777" w:rsidR="00054FC1" w:rsidRPr="00054FC1" w:rsidRDefault="00054FC1" w:rsidP="00054FC1">
            <w:pPr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1.1%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3FB4E1EE" w14:textId="77777777" w:rsidR="00054FC1" w:rsidRPr="00054FC1" w:rsidRDefault="00054FC1" w:rsidP="00054FC1">
            <w:pPr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1.5%</w:t>
            </w:r>
          </w:p>
        </w:tc>
      </w:tr>
      <w:tr w:rsidR="00054FC1" w:rsidRPr="00054FC1" w14:paraId="1EBF9293" w14:textId="77777777" w:rsidTr="001E6B79">
        <w:tc>
          <w:tcPr>
            <w:tcW w:w="4390" w:type="dxa"/>
            <w:vAlign w:val="center"/>
          </w:tcPr>
          <w:p w14:paraId="1E0D31AA" w14:textId="6A468C6B" w:rsidR="00054FC1" w:rsidRPr="00054FC1" w:rsidRDefault="00054FC1" w:rsidP="00054FC1">
            <w:pPr>
              <w:keepNext/>
              <w:spacing w:before="120" w:after="0"/>
              <w:contextualSpacing/>
              <w:rPr>
                <w:rFonts w:cs="Arial"/>
              </w:rPr>
            </w:pPr>
            <w:r w:rsidRPr="00054FC1">
              <w:rPr>
                <w:rFonts w:cs="Arial"/>
              </w:rPr>
              <w:t xml:space="preserve">Average daily number of young people in youth detention centres </w:t>
            </w:r>
            <w:r w:rsidR="00EC2BFF">
              <w:rPr>
                <w:rFonts w:cs="Arial"/>
                <w:vertAlign w:val="superscript"/>
              </w:rPr>
              <w:t>v</w:t>
            </w:r>
            <w:r w:rsidRPr="00054FC1">
              <w:rPr>
                <w:rFonts w:cs="Arial"/>
              </w:rPr>
              <w:t xml:space="preserve">, rate per 10,000 population: </w:t>
            </w:r>
          </w:p>
          <w:p w14:paraId="7B37016C" w14:textId="77777777" w:rsidR="00054FC1" w:rsidRPr="00054FC1" w:rsidRDefault="00054FC1" w:rsidP="00054FC1">
            <w:pPr>
              <w:keepNext/>
              <w:numPr>
                <w:ilvl w:val="0"/>
                <w:numId w:val="12"/>
              </w:numPr>
              <w:spacing w:before="120" w:after="0"/>
              <w:contextualSpacing/>
              <w:rPr>
                <w:rFonts w:cs="Arial"/>
                <w:szCs w:val="22"/>
                <w:lang w:eastAsia="en-US"/>
              </w:rPr>
            </w:pPr>
            <w:r w:rsidRPr="00054FC1">
              <w:rPr>
                <w:rFonts w:cs="Arial"/>
                <w:szCs w:val="22"/>
                <w:lang w:eastAsia="en-US"/>
              </w:rPr>
              <w:t>Aboriginal and Torres Strait Islander</w:t>
            </w:r>
          </w:p>
          <w:p w14:paraId="083E950F" w14:textId="77777777" w:rsidR="00054FC1" w:rsidRPr="00054FC1" w:rsidRDefault="00054FC1" w:rsidP="00054FC1">
            <w:pPr>
              <w:keepNext/>
              <w:numPr>
                <w:ilvl w:val="0"/>
                <w:numId w:val="12"/>
              </w:numPr>
              <w:spacing w:after="0"/>
              <w:contextualSpacing/>
              <w:rPr>
                <w:rFonts w:cs="Arial"/>
                <w:szCs w:val="22"/>
                <w:lang w:eastAsia="en-US"/>
              </w:rPr>
            </w:pPr>
            <w:r w:rsidRPr="00054FC1">
              <w:rPr>
                <w:rFonts w:cs="Arial"/>
                <w:szCs w:val="22"/>
                <w:lang w:eastAsia="en-US"/>
              </w:rPr>
              <w:t>Other</w:t>
            </w:r>
          </w:p>
          <w:p w14:paraId="63E907A3" w14:textId="77777777" w:rsidR="00054FC1" w:rsidRPr="00054FC1" w:rsidRDefault="00054FC1" w:rsidP="00054FC1">
            <w:pPr>
              <w:keepNext/>
              <w:numPr>
                <w:ilvl w:val="0"/>
                <w:numId w:val="12"/>
              </w:numPr>
              <w:spacing w:after="120"/>
              <w:ind w:left="357" w:hanging="357"/>
              <w:contextualSpacing/>
              <w:rPr>
                <w:rFonts w:cs="Arial"/>
                <w:szCs w:val="22"/>
                <w:lang w:eastAsia="en-US"/>
              </w:rPr>
            </w:pPr>
            <w:r w:rsidRPr="00054FC1">
              <w:rPr>
                <w:rFonts w:cs="Arial"/>
                <w:szCs w:val="22"/>
                <w:lang w:eastAsia="en-US"/>
              </w:rPr>
              <w:t>Total</w:t>
            </w:r>
          </w:p>
        </w:tc>
        <w:tc>
          <w:tcPr>
            <w:tcW w:w="1677" w:type="dxa"/>
            <w:vAlign w:val="center"/>
          </w:tcPr>
          <w:p w14:paraId="7DD6D1FA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354254E3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4CBF660D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65BAD58A" w14:textId="2F85E5D3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46.5</w:t>
            </w:r>
            <w:r w:rsidRPr="00054FC1">
              <w:rPr>
                <w:rFonts w:cs="Arial"/>
                <w:vertAlign w:val="superscript"/>
              </w:rPr>
              <w:t xml:space="preserve"> </w:t>
            </w:r>
            <w:r w:rsidR="00A12E4A">
              <w:rPr>
                <w:rFonts w:cs="Arial"/>
                <w:vertAlign w:val="superscript"/>
              </w:rPr>
              <w:t>vi</w:t>
            </w:r>
          </w:p>
          <w:p w14:paraId="4B9F00A6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1.7</w:t>
            </w:r>
          </w:p>
          <w:p w14:paraId="2DE8C143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5.0</w:t>
            </w:r>
          </w:p>
        </w:tc>
        <w:tc>
          <w:tcPr>
            <w:tcW w:w="1678" w:type="dxa"/>
            <w:vAlign w:val="center"/>
          </w:tcPr>
          <w:p w14:paraId="554B02D4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39B8508A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6EF68995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030915F7" w14:textId="3ECE9A48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46.0</w:t>
            </w:r>
            <w:r w:rsidRPr="00054FC1">
              <w:rPr>
                <w:rFonts w:cs="Arial"/>
                <w:vertAlign w:val="superscript"/>
              </w:rPr>
              <w:t xml:space="preserve"> </w:t>
            </w:r>
            <w:r w:rsidR="00B01ADB">
              <w:rPr>
                <w:rFonts w:cs="Arial"/>
                <w:vertAlign w:val="superscript"/>
              </w:rPr>
              <w:t>vi</w:t>
            </w:r>
          </w:p>
          <w:p w14:paraId="0E9C4986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1.5</w:t>
            </w:r>
          </w:p>
          <w:p w14:paraId="1CBD5447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4.9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656F3EC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70D86D30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39E1BD14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241F7ECF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39.7</w:t>
            </w:r>
          </w:p>
          <w:p w14:paraId="67509D2B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1.5</w:t>
            </w:r>
          </w:p>
          <w:p w14:paraId="1AAA6FE3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4.9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7931535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00A15F82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49D9BC1E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4112A616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39.8</w:t>
            </w:r>
          </w:p>
          <w:p w14:paraId="037A8179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1.5</w:t>
            </w:r>
          </w:p>
          <w:p w14:paraId="0DC5AC84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4.9</w:t>
            </w:r>
          </w:p>
        </w:tc>
        <w:tc>
          <w:tcPr>
            <w:tcW w:w="1678" w:type="dxa"/>
            <w:vAlign w:val="center"/>
          </w:tcPr>
          <w:p w14:paraId="73780836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5EDFEBAA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4F60AFE6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4B48EDE9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39.8</w:t>
            </w:r>
          </w:p>
          <w:p w14:paraId="47DBD7F0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1.5</w:t>
            </w:r>
          </w:p>
          <w:p w14:paraId="57F7F94A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4.9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5F236353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6BA64004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63F2C3A0" w14:textId="77777777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</w:p>
          <w:p w14:paraId="7347B9CC" w14:textId="170192B4" w:rsidR="00054FC1" w:rsidRPr="00054FC1" w:rsidRDefault="00E069A6" w:rsidP="00054FC1">
            <w:pPr>
              <w:keepNext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46.1</w:t>
            </w:r>
            <w:r w:rsidRPr="007D1EF7">
              <w:rPr>
                <w:rFonts w:cs="Arial"/>
                <w:vertAlign w:val="superscript"/>
              </w:rPr>
              <w:t xml:space="preserve"> </w:t>
            </w:r>
            <w:r w:rsidR="00A12E4A">
              <w:rPr>
                <w:rFonts w:cs="Arial"/>
                <w:vertAlign w:val="superscript"/>
              </w:rPr>
              <w:t>vi</w:t>
            </w:r>
          </w:p>
          <w:p w14:paraId="21AFBDCC" w14:textId="50E24143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1.</w:t>
            </w:r>
            <w:r w:rsidR="00E069A6">
              <w:rPr>
                <w:rFonts w:cs="Arial"/>
              </w:rPr>
              <w:t>7</w:t>
            </w:r>
          </w:p>
          <w:p w14:paraId="6E110A28" w14:textId="12EE8946" w:rsidR="00054FC1" w:rsidRPr="00054FC1" w:rsidRDefault="00054FC1" w:rsidP="00054FC1">
            <w:pPr>
              <w:keepNext/>
              <w:contextualSpacing/>
              <w:jc w:val="center"/>
              <w:rPr>
                <w:rFonts w:cs="Arial"/>
              </w:rPr>
            </w:pPr>
            <w:r w:rsidRPr="00054FC1">
              <w:rPr>
                <w:rFonts w:cs="Arial"/>
              </w:rPr>
              <w:t>5.</w:t>
            </w:r>
            <w:r w:rsidR="00E069A6">
              <w:rPr>
                <w:rFonts w:cs="Arial"/>
              </w:rPr>
              <w:t>3</w:t>
            </w:r>
          </w:p>
        </w:tc>
      </w:tr>
    </w:tbl>
    <w:p w14:paraId="346E0EA4" w14:textId="77777777" w:rsidR="00054FC1" w:rsidRPr="00054FC1" w:rsidRDefault="00054FC1" w:rsidP="00054FC1">
      <w:pPr>
        <w:spacing w:before="120" w:after="60"/>
        <w:rPr>
          <w:rFonts w:cs="Arial"/>
          <w:sz w:val="19"/>
          <w:szCs w:val="19"/>
        </w:rPr>
      </w:pPr>
    </w:p>
    <w:p w14:paraId="4A804977" w14:textId="43A1BFA3" w:rsidR="00A12E4A" w:rsidRPr="003745AF" w:rsidRDefault="00A12E4A" w:rsidP="004A4033">
      <w:pPr>
        <w:pStyle w:val="ListParagraph"/>
        <w:numPr>
          <w:ilvl w:val="0"/>
          <w:numId w:val="16"/>
        </w:numPr>
        <w:spacing w:after="6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 decision was made in the previous term of Government to update the department’s Information System which meant that corporate data for reporting would be unavailable for </w:t>
      </w:r>
      <w:proofErr w:type="gramStart"/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a number of</w:t>
      </w:r>
      <w:proofErr w:type="gramEnd"/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months. The newly established DYJVS has prioritised workarounds </w:t>
      </w:r>
      <w:r w:rsidR="004A403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(which may represent a marginal undercount)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to ensure data can be reported while the work on the new Unify information system reporting capability is completed</w:t>
      </w:r>
      <w:r w:rsidR="004A4033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14:paraId="497A696D" w14:textId="5AD1FEE3" w:rsidR="0061138D" w:rsidRPr="003745AF" w:rsidRDefault="00054FC1" w:rsidP="003745AF">
      <w:pPr>
        <w:pStyle w:val="ListParagraph"/>
        <w:numPr>
          <w:ilvl w:val="0"/>
          <w:numId w:val="16"/>
        </w:numPr>
        <w:spacing w:after="6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Figures for the 12 months to 30 June 2025 are based on operational data extracted on 1 July 2025 and may not be comparable to those later reported using corporate data. </w:t>
      </w:r>
    </w:p>
    <w:p w14:paraId="5D3C9534" w14:textId="76ACA1EE" w:rsidR="00EC2BFF" w:rsidRPr="003745AF" w:rsidRDefault="0061138D" w:rsidP="003745AF">
      <w:pPr>
        <w:pStyle w:val="ListParagraph"/>
        <w:numPr>
          <w:ilvl w:val="0"/>
          <w:numId w:val="16"/>
        </w:numPr>
        <w:spacing w:after="6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lastRenderedPageBreak/>
        <w:t xml:space="preserve">In contact with Youth Justice </w:t>
      </w:r>
      <w:r w:rsidR="00A96A19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is defined as any young person 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who during the reference period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was 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on a sentenced youth justice order (community- or detention-based)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>,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was on a 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conditional bail program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, 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had at least one overnight stay in a youth detention centre (on pre-court custody, court-ordered remand or sentenced detention) or in a police watchhouse/police transit (on court-ordered remand or sentenced-detention); 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was 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subject to a pre-sentence report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, 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or had participated in a restorative justice process. 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Young people held in a </w:t>
      </w:r>
      <w:proofErr w:type="gramStart"/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>police</w:t>
      </w:r>
      <w:proofErr w:type="gramEnd"/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watchhouse on pre-court custody only are excluded from the count. </w:t>
      </w:r>
      <w:r w:rsidR="00054FC1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In the 12 months to 30 June 2025, there were 1,755 Aboriginal and Torres Strait Islander young people, 1,649 other young people, and a total of 3,404 young people who had contact with Youth Justice.</w:t>
      </w:r>
    </w:p>
    <w:p w14:paraId="38EAE450" w14:textId="6E600B89" w:rsidR="00EC2BFF" w:rsidRPr="00A12E4A" w:rsidRDefault="00054FC1" w:rsidP="00EC2BFF">
      <w:pPr>
        <w:pStyle w:val="ListParagraph"/>
        <w:numPr>
          <w:ilvl w:val="0"/>
          <w:numId w:val="16"/>
        </w:numPr>
        <w:spacing w:after="6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Serious Repeat Offender Declarations came into effect on 22 March 2023. To calculate the percentage of 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youth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declared a Serious Repeat Offender, only those 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youth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with a proven finalised offence from the date the legislation came into effect are used in the denominator. This means that those 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youth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who may have had a proven offence finalised prior to 22 March 2023 are not included in percentage calculations for the applicable period. </w:t>
      </w:r>
      <w:bookmarkStart w:id="0" w:name="_Hlk203580604"/>
      <w:r w:rsidR="002B2F5E" w:rsidRPr="002B2F5E">
        <w:rPr>
          <w:rFonts w:asciiTheme="minorHAnsi" w:eastAsiaTheme="minorHAnsi" w:hAnsiTheme="minorHAnsi" w:cstheme="minorBidi"/>
          <w:sz w:val="20"/>
          <w:szCs w:val="20"/>
          <w:lang w:eastAsia="en-US"/>
        </w:rPr>
        <w:t>Data on young people declared a Serious Repeat Offender are based on a</w:t>
      </w:r>
      <w:r w:rsidR="002B2F5E" w:rsidRPr="002B2F5E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 </w:t>
      </w:r>
      <w:r w:rsidR="002B2F5E" w:rsidRPr="002B2F5E">
        <w:rPr>
          <w:rFonts w:asciiTheme="minorHAnsi" w:eastAsiaTheme="minorHAnsi" w:hAnsiTheme="minorHAnsi" w:cstheme="minorBidi"/>
          <w:sz w:val="20"/>
          <w:szCs w:val="20"/>
          <w:lang w:eastAsia="en-US"/>
        </w:rPr>
        <w:t>manual collection.</w:t>
      </w:r>
      <w:r w:rsidR="002B2F5E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 </w:t>
      </w:r>
      <w:bookmarkEnd w:id="0"/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In the 12 months to 30 June 2025, there were 32 declarations relating to 32 distinct young people, out of a total of 2,976 distinct young people with a proven finalised offence.</w:t>
      </w:r>
    </w:p>
    <w:p w14:paraId="63492339" w14:textId="415847C4" w:rsidR="00054FC1" w:rsidRPr="00A12E4A" w:rsidRDefault="00054FC1" w:rsidP="00EC2BFF">
      <w:pPr>
        <w:pStyle w:val="ListParagraph"/>
        <w:numPr>
          <w:ilvl w:val="0"/>
          <w:numId w:val="16"/>
        </w:numPr>
        <w:spacing w:after="6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Include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 </w:t>
      </w:r>
      <w:r w:rsidR="00EC2BFF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youth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in a youth detention centre on pre-court custody, court-ordered remand, or sentenced detention. Excludes </w:t>
      </w:r>
      <w:r w:rsidR="00EC2BFF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youth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held in police watchhouses</w:t>
      </w:r>
      <w:r w:rsidR="00B01ADB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with any legal status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 The </w:t>
      </w:r>
      <w:r w:rsidR="00E25A16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actual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average daily count for the 12 months to 30 June 2025 was 204 for Aboriginal and Torres Strait Islander young people, 82 for other young people, and 286 in total. </w:t>
      </w:r>
    </w:p>
    <w:p w14:paraId="670ED8F4" w14:textId="4FB0DE4C" w:rsidR="00A96A19" w:rsidRPr="003745AF" w:rsidRDefault="00054FC1" w:rsidP="003745AF">
      <w:pPr>
        <w:pStyle w:val="ListParagraph"/>
        <w:numPr>
          <w:ilvl w:val="0"/>
          <w:numId w:val="16"/>
        </w:numPr>
        <w:spacing w:after="60"/>
        <w:contextualSpacing w:val="0"/>
        <w:jc w:val="both"/>
        <w:rPr>
          <w:rFonts w:cs="Arial"/>
          <w:sz w:val="20"/>
          <w:szCs w:val="20"/>
          <w:u w:val="single"/>
        </w:rPr>
      </w:pP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Figures for </w:t>
      </w:r>
      <w:r w:rsidR="00E069A6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12 months to June 2024</w:t>
      </w:r>
      <w:r w:rsidR="00446E08"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and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the 12 months to 26 September 2024 use 2016 Census-based population estimates derived by the Australian Bureau of Statistics (ABS) </w:t>
      </w:r>
      <w:r w:rsidR="00A12E4A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>whereas reports for later period</w:t>
      </w:r>
      <w:r w:rsidR="001B19B2">
        <w:rPr>
          <w:rFonts w:asciiTheme="minorHAnsi" w:eastAsiaTheme="minorHAnsi" w:hAnsiTheme="minorHAnsi" w:cstheme="minorBidi"/>
          <w:sz w:val="20"/>
          <w:szCs w:val="20"/>
          <w:lang w:eastAsia="en-US"/>
        </w:rPr>
        <w:t>s</w:t>
      </w:r>
      <w:r w:rsidR="00A12E4A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use </w:t>
      </w:r>
      <w:r w:rsidR="003D195E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the most 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recently released ABS 2021 Census-based population estimates.</w:t>
      </w:r>
      <w:r w:rsidR="00A12E4A"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A12E4A">
        <w:rPr>
          <w:rFonts w:asciiTheme="minorHAnsi" w:eastAsiaTheme="minorHAnsi" w:hAnsiTheme="minorHAnsi" w:cstheme="minorBidi"/>
          <w:sz w:val="20"/>
          <w:szCs w:val="20"/>
          <w:lang w:eastAsia="en-US"/>
        </w:rPr>
        <w:t>This earlier ABS 2016 release included lower estimates of the 10-17-year-old First Nations population in Queensland, and, in turn, higher representation rates compared with those reported for later periods</w:t>
      </w:r>
      <w:r w:rsidRPr="003745AF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  <w:r w:rsidRPr="00A12E4A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 </w:t>
      </w:r>
    </w:p>
    <w:sectPr w:rsidR="00A96A19" w:rsidRPr="003745AF" w:rsidSect="00C76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2B64" w14:textId="77777777" w:rsidR="001345F7" w:rsidRDefault="001345F7">
      <w:r>
        <w:separator/>
      </w:r>
    </w:p>
  </w:endnote>
  <w:endnote w:type="continuationSeparator" w:id="0">
    <w:p w14:paraId="3BC7F1C2" w14:textId="77777777" w:rsidR="001345F7" w:rsidRDefault="001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C06B" w14:textId="77777777" w:rsidR="001A4439" w:rsidRDefault="001A4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C751" w14:textId="77777777" w:rsidR="001A4439" w:rsidRDefault="001A4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F994" w14:textId="77777777" w:rsidR="001A4439" w:rsidRDefault="001A4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903A" w14:textId="77777777" w:rsidR="001345F7" w:rsidRDefault="001345F7">
      <w:r>
        <w:separator/>
      </w:r>
    </w:p>
  </w:footnote>
  <w:footnote w:type="continuationSeparator" w:id="0">
    <w:p w14:paraId="329B4353" w14:textId="77777777" w:rsidR="001345F7" w:rsidRDefault="0013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F8C3" w14:textId="5288BFD0" w:rsidR="001A4439" w:rsidRDefault="001A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EF3D" w14:textId="63335F09" w:rsidR="00951771" w:rsidRDefault="0095177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07E887" wp14:editId="24705611">
          <wp:simplePos x="0" y="0"/>
          <wp:positionH relativeFrom="page">
            <wp:posOffset>0</wp:posOffset>
          </wp:positionH>
          <wp:positionV relativeFrom="page">
            <wp:posOffset>-10714</wp:posOffset>
          </wp:positionV>
          <wp:extent cx="10757173" cy="7604842"/>
          <wp:effectExtent l="0" t="0" r="6350" b="0"/>
          <wp:wrapNone/>
          <wp:docPr id="1592557776" name="Picture 1592557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7173" cy="7604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3495" w14:textId="3754FD5E" w:rsidR="00951771" w:rsidRDefault="00C76CC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26C5A3C" wp14:editId="11CE5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57173" cy="7604842"/>
          <wp:effectExtent l="0" t="0" r="6350" b="0"/>
          <wp:wrapNone/>
          <wp:docPr id="1831941252" name="Picture 1831941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7173" cy="7604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771">
      <w:rPr>
        <w:noProof/>
      </w:rPr>
      <w:drawing>
        <wp:anchor distT="0" distB="0" distL="114300" distR="114300" simplePos="0" relativeHeight="251661312" behindDoc="1" locked="0" layoutInCell="1" allowOverlap="1" wp14:anchorId="1BB1DB70" wp14:editId="5AEBF1D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3098" cy="7552475"/>
          <wp:effectExtent l="0" t="0" r="4445" b="0"/>
          <wp:wrapNone/>
          <wp:docPr id="11667750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775040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83098" cy="75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C6D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848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B582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74B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E0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8A9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D22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181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2C8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0A6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EA6B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355A1"/>
    <w:multiLevelType w:val="hybridMultilevel"/>
    <w:tmpl w:val="D590780C"/>
    <w:lvl w:ilvl="0" w:tplc="8D625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FE8C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F65B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7E7E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B67A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4E1E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BED0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8637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2A2A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F76745"/>
    <w:multiLevelType w:val="hybridMultilevel"/>
    <w:tmpl w:val="395ABE3C"/>
    <w:lvl w:ilvl="0" w:tplc="906855C6">
      <w:start w:val="37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02D8A"/>
    <w:multiLevelType w:val="hybridMultilevel"/>
    <w:tmpl w:val="88E8BC6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92E05"/>
    <w:multiLevelType w:val="hybridMultilevel"/>
    <w:tmpl w:val="2EF495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A1F4F"/>
    <w:multiLevelType w:val="hybridMultilevel"/>
    <w:tmpl w:val="B58430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071516">
    <w:abstractNumId w:val="0"/>
  </w:num>
  <w:num w:numId="2" w16cid:durableId="1253932993">
    <w:abstractNumId w:val="1"/>
  </w:num>
  <w:num w:numId="3" w16cid:durableId="800611528">
    <w:abstractNumId w:val="2"/>
  </w:num>
  <w:num w:numId="4" w16cid:durableId="1993947605">
    <w:abstractNumId w:val="3"/>
  </w:num>
  <w:num w:numId="5" w16cid:durableId="114756551">
    <w:abstractNumId w:val="4"/>
  </w:num>
  <w:num w:numId="6" w16cid:durableId="103964915">
    <w:abstractNumId w:val="9"/>
  </w:num>
  <w:num w:numId="7" w16cid:durableId="161628585">
    <w:abstractNumId w:val="5"/>
  </w:num>
  <w:num w:numId="8" w16cid:durableId="2058625831">
    <w:abstractNumId w:val="6"/>
  </w:num>
  <w:num w:numId="9" w16cid:durableId="1257059361">
    <w:abstractNumId w:val="7"/>
  </w:num>
  <w:num w:numId="10" w16cid:durableId="922762802">
    <w:abstractNumId w:val="8"/>
  </w:num>
  <w:num w:numId="11" w16cid:durableId="810445064">
    <w:abstractNumId w:val="10"/>
  </w:num>
  <w:num w:numId="12" w16cid:durableId="861822917">
    <w:abstractNumId w:val="11"/>
  </w:num>
  <w:num w:numId="13" w16cid:durableId="532351358">
    <w:abstractNumId w:val="15"/>
  </w:num>
  <w:num w:numId="14" w16cid:durableId="486165896">
    <w:abstractNumId w:val="14"/>
  </w:num>
  <w:num w:numId="15" w16cid:durableId="1545633137">
    <w:abstractNumId w:val="12"/>
  </w:num>
  <w:num w:numId="16" w16cid:durableId="301350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EA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28FC"/>
    <w:rsid w:val="00053E8F"/>
    <w:rsid w:val="00053F80"/>
    <w:rsid w:val="00054F95"/>
    <w:rsid w:val="00054FC1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2AEF"/>
    <w:rsid w:val="0012336C"/>
    <w:rsid w:val="00123E79"/>
    <w:rsid w:val="0012413D"/>
    <w:rsid w:val="00125A9E"/>
    <w:rsid w:val="00127308"/>
    <w:rsid w:val="00130032"/>
    <w:rsid w:val="00130C1C"/>
    <w:rsid w:val="00133095"/>
    <w:rsid w:val="0013414A"/>
    <w:rsid w:val="0013444A"/>
    <w:rsid w:val="001345F7"/>
    <w:rsid w:val="00135734"/>
    <w:rsid w:val="0013646B"/>
    <w:rsid w:val="00142536"/>
    <w:rsid w:val="0014308D"/>
    <w:rsid w:val="001432B5"/>
    <w:rsid w:val="00144301"/>
    <w:rsid w:val="00145023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3E3B"/>
    <w:rsid w:val="00176532"/>
    <w:rsid w:val="0017659C"/>
    <w:rsid w:val="00177212"/>
    <w:rsid w:val="0018163E"/>
    <w:rsid w:val="00181B72"/>
    <w:rsid w:val="00182176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4439"/>
    <w:rsid w:val="001A616B"/>
    <w:rsid w:val="001A7262"/>
    <w:rsid w:val="001B19B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5FB5"/>
    <w:rsid w:val="001D7B03"/>
    <w:rsid w:val="001E043D"/>
    <w:rsid w:val="001E3EFC"/>
    <w:rsid w:val="001E4ED6"/>
    <w:rsid w:val="001E5C4C"/>
    <w:rsid w:val="001E67EB"/>
    <w:rsid w:val="001F07EE"/>
    <w:rsid w:val="001F07F7"/>
    <w:rsid w:val="001F0888"/>
    <w:rsid w:val="001F0F8B"/>
    <w:rsid w:val="001F12D6"/>
    <w:rsid w:val="001F1A76"/>
    <w:rsid w:val="001F1E0A"/>
    <w:rsid w:val="001F1ED4"/>
    <w:rsid w:val="001F2430"/>
    <w:rsid w:val="001F313E"/>
    <w:rsid w:val="001F3E21"/>
    <w:rsid w:val="001F7063"/>
    <w:rsid w:val="001F7A51"/>
    <w:rsid w:val="00201C80"/>
    <w:rsid w:val="00202FF5"/>
    <w:rsid w:val="0020536F"/>
    <w:rsid w:val="002056E6"/>
    <w:rsid w:val="00205967"/>
    <w:rsid w:val="0020637E"/>
    <w:rsid w:val="00206C03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46AED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5505"/>
    <w:rsid w:val="0029647F"/>
    <w:rsid w:val="00296B22"/>
    <w:rsid w:val="00296C2A"/>
    <w:rsid w:val="00297184"/>
    <w:rsid w:val="00297EBF"/>
    <w:rsid w:val="002A00FA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2F5E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D7FC7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B19"/>
    <w:rsid w:val="003023B8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47EDF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5AF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7F3"/>
    <w:rsid w:val="003B4B4E"/>
    <w:rsid w:val="003B5DB5"/>
    <w:rsid w:val="003B5E6B"/>
    <w:rsid w:val="003B689E"/>
    <w:rsid w:val="003C0FC6"/>
    <w:rsid w:val="003C1BE7"/>
    <w:rsid w:val="003C247B"/>
    <w:rsid w:val="003C3165"/>
    <w:rsid w:val="003C3299"/>
    <w:rsid w:val="003C558F"/>
    <w:rsid w:val="003C62C9"/>
    <w:rsid w:val="003C73D8"/>
    <w:rsid w:val="003D195E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006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09B"/>
    <w:rsid w:val="00441907"/>
    <w:rsid w:val="00441A36"/>
    <w:rsid w:val="00442DDB"/>
    <w:rsid w:val="00443858"/>
    <w:rsid w:val="00443AB1"/>
    <w:rsid w:val="004446AC"/>
    <w:rsid w:val="00445F7F"/>
    <w:rsid w:val="00446E08"/>
    <w:rsid w:val="004477E4"/>
    <w:rsid w:val="00450E5B"/>
    <w:rsid w:val="00452823"/>
    <w:rsid w:val="0045286A"/>
    <w:rsid w:val="00454795"/>
    <w:rsid w:val="00454AD2"/>
    <w:rsid w:val="00456F37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4033"/>
    <w:rsid w:val="004A403B"/>
    <w:rsid w:val="004B2634"/>
    <w:rsid w:val="004B2771"/>
    <w:rsid w:val="004B27C9"/>
    <w:rsid w:val="004B2A87"/>
    <w:rsid w:val="004C3C0D"/>
    <w:rsid w:val="004C4530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6FB0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6C4B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4206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38D"/>
    <w:rsid w:val="00611BE9"/>
    <w:rsid w:val="00613947"/>
    <w:rsid w:val="00614127"/>
    <w:rsid w:val="0061496E"/>
    <w:rsid w:val="00615328"/>
    <w:rsid w:val="00617D31"/>
    <w:rsid w:val="00621815"/>
    <w:rsid w:val="0062185B"/>
    <w:rsid w:val="006222A4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2F6D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EFA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C66A8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03DF"/>
    <w:rsid w:val="00713427"/>
    <w:rsid w:val="00713F81"/>
    <w:rsid w:val="00714E6F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5604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0EF4"/>
    <w:rsid w:val="007911A0"/>
    <w:rsid w:val="007913B5"/>
    <w:rsid w:val="00795076"/>
    <w:rsid w:val="00795960"/>
    <w:rsid w:val="00795D10"/>
    <w:rsid w:val="00796776"/>
    <w:rsid w:val="00797D12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1B13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1EF7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3CB"/>
    <w:rsid w:val="00887496"/>
    <w:rsid w:val="008874B3"/>
    <w:rsid w:val="0088785B"/>
    <w:rsid w:val="00887B40"/>
    <w:rsid w:val="00891106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99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1EAC"/>
    <w:rsid w:val="009127D5"/>
    <w:rsid w:val="009141D7"/>
    <w:rsid w:val="00917931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771"/>
    <w:rsid w:val="00951F5B"/>
    <w:rsid w:val="00954CB5"/>
    <w:rsid w:val="00955A9B"/>
    <w:rsid w:val="00960C4C"/>
    <w:rsid w:val="00961ABE"/>
    <w:rsid w:val="009621E2"/>
    <w:rsid w:val="009630C3"/>
    <w:rsid w:val="00963BCC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34A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6F94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12E4A"/>
    <w:rsid w:val="00A17851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31E"/>
    <w:rsid w:val="00A71CCC"/>
    <w:rsid w:val="00A72AD1"/>
    <w:rsid w:val="00A72B58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A19"/>
    <w:rsid w:val="00AA003F"/>
    <w:rsid w:val="00AA1375"/>
    <w:rsid w:val="00AA38A6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3B39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F72"/>
    <w:rsid w:val="00AE03C9"/>
    <w:rsid w:val="00AE39A0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ADB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1840"/>
    <w:rsid w:val="00B22E58"/>
    <w:rsid w:val="00B230CA"/>
    <w:rsid w:val="00B249B9"/>
    <w:rsid w:val="00B265ED"/>
    <w:rsid w:val="00B31112"/>
    <w:rsid w:val="00B31EEC"/>
    <w:rsid w:val="00B31FE1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286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BDB"/>
    <w:rsid w:val="00BD1C1C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38"/>
    <w:rsid w:val="00BF29AB"/>
    <w:rsid w:val="00BF3FCC"/>
    <w:rsid w:val="00BF466D"/>
    <w:rsid w:val="00BF7EE7"/>
    <w:rsid w:val="00C0274D"/>
    <w:rsid w:val="00C02CF7"/>
    <w:rsid w:val="00C03206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117F"/>
    <w:rsid w:val="00C71781"/>
    <w:rsid w:val="00C7202F"/>
    <w:rsid w:val="00C73020"/>
    <w:rsid w:val="00C74500"/>
    <w:rsid w:val="00C74BE7"/>
    <w:rsid w:val="00C76AB2"/>
    <w:rsid w:val="00C76CCF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4F77"/>
    <w:rsid w:val="00CA54E0"/>
    <w:rsid w:val="00CA5CC6"/>
    <w:rsid w:val="00CB253F"/>
    <w:rsid w:val="00CB2D98"/>
    <w:rsid w:val="00CB7A6B"/>
    <w:rsid w:val="00CC2FFE"/>
    <w:rsid w:val="00CC4468"/>
    <w:rsid w:val="00CC5BD7"/>
    <w:rsid w:val="00CD0933"/>
    <w:rsid w:val="00CD1B40"/>
    <w:rsid w:val="00CD3E17"/>
    <w:rsid w:val="00CD52BB"/>
    <w:rsid w:val="00CD75B0"/>
    <w:rsid w:val="00CD7622"/>
    <w:rsid w:val="00CD782A"/>
    <w:rsid w:val="00CE1E75"/>
    <w:rsid w:val="00CE37ED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38A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5F69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5ED8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0D6E"/>
    <w:rsid w:val="00DB3AC1"/>
    <w:rsid w:val="00DB468C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4F3C"/>
    <w:rsid w:val="00E069A6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5A16"/>
    <w:rsid w:val="00E26DA9"/>
    <w:rsid w:val="00E27B6C"/>
    <w:rsid w:val="00E30521"/>
    <w:rsid w:val="00E31FD9"/>
    <w:rsid w:val="00E328B5"/>
    <w:rsid w:val="00E330CE"/>
    <w:rsid w:val="00E33D1A"/>
    <w:rsid w:val="00E341DD"/>
    <w:rsid w:val="00E35809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2BF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E7188"/>
    <w:rsid w:val="00EF0442"/>
    <w:rsid w:val="00EF5E75"/>
    <w:rsid w:val="00EF656F"/>
    <w:rsid w:val="00F0285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360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3FE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9CD"/>
    <w:rsid w:val="00F92D40"/>
    <w:rsid w:val="00F936BC"/>
    <w:rsid w:val="00F9448D"/>
    <w:rsid w:val="00F94E68"/>
    <w:rsid w:val="00F958BC"/>
    <w:rsid w:val="00F960AE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152"/>
    <w:rsid w:val="00FD4F88"/>
    <w:rsid w:val="00FD7D5E"/>
    <w:rsid w:val="00FE2506"/>
    <w:rsid w:val="00FE2B1A"/>
    <w:rsid w:val="00FE2F50"/>
    <w:rsid w:val="00FE4FE9"/>
    <w:rsid w:val="00FE51AF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ADED6"/>
  <w14:defaultImageDpi w14:val="300"/>
  <w15:chartTrackingRefBased/>
  <w15:docId w15:val="{34D55245-86A1-6E41-A902-BDF7F462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771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51771"/>
    <w:pPr>
      <w:keepNext/>
      <w:spacing w:before="240" w:after="360" w:line="480" w:lineRule="exact"/>
      <w:outlineLvl w:val="0"/>
    </w:pPr>
    <w:rPr>
      <w:rFonts w:cs="Arial"/>
      <w:b/>
      <w:bCs/>
      <w:color w:val="06325F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51771"/>
    <w:pPr>
      <w:keepNext/>
      <w:spacing w:before="240" w:after="120"/>
      <w:outlineLvl w:val="1"/>
    </w:pPr>
    <w:rPr>
      <w:rFonts w:cs="Arial"/>
      <w:bCs/>
      <w:iCs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51771"/>
    <w:pPr>
      <w:keepNext/>
      <w:spacing w:before="160" w:after="60"/>
      <w:outlineLvl w:val="2"/>
    </w:pPr>
    <w:rPr>
      <w:rFonts w:cs="Arial"/>
      <w:bCs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1771"/>
    <w:pPr>
      <w:spacing w:before="120" w:after="60"/>
      <w:outlineLvl w:val="3"/>
    </w:pPr>
    <w:rPr>
      <w:rFonts w:eastAsiaTheme="majorEastAsia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4E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EEA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rsid w:val="00951771"/>
    <w:rPr>
      <w:rFonts w:ascii="Arial" w:eastAsiaTheme="majorEastAsia" w:hAnsi="Arial" w:cs="Arial"/>
      <w:b/>
      <w:i/>
      <w:iCs/>
      <w:color w:val="000000" w:themeColor="text1"/>
      <w:sz w:val="2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951771"/>
    <w:rPr>
      <w:rFonts w:ascii="Arial" w:hAnsi="Arial" w:cs="Arial"/>
      <w:bCs/>
      <w:iCs/>
      <w:sz w:val="32"/>
      <w:szCs w:val="30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951771"/>
    <w:rPr>
      <w:rFonts w:ascii="Arial" w:hAnsi="Arial" w:cs="Arial"/>
      <w:bCs/>
      <w:color w:val="000000" w:themeColor="text1"/>
      <w:sz w:val="28"/>
      <w:szCs w:val="26"/>
      <w:lang w:eastAsia="en-AU"/>
    </w:rPr>
  </w:style>
  <w:style w:type="table" w:styleId="TableGrid">
    <w:name w:val="Table Grid"/>
    <w:basedOn w:val="TableNormal"/>
    <w:uiPriority w:val="39"/>
    <w:rsid w:val="00C76C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E069A6"/>
    <w:rPr>
      <w:rFonts w:ascii="Arial" w:hAnsi="Arial"/>
      <w:sz w:val="22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61138D"/>
    <w:pPr>
      <w:ind w:left="720"/>
      <w:contextualSpacing/>
    </w:pPr>
  </w:style>
  <w:style w:type="character" w:styleId="CommentReference">
    <w:name w:val="annotation reference"/>
    <w:basedOn w:val="DefaultParagraphFont"/>
    <w:rsid w:val="003745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5AF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374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45AF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45734b7-3c4a-4003-87e0-54aa8a21508e" ContentTypeId="0x010100B152FE0A27636C4F8C85B65586C31A9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B63503CD2F5DE7479F525553B7B79697" ma:contentTypeVersion="10" ma:contentTypeDescription="Create a new Standard document." ma:contentTypeScope="" ma:versionID="339701743fc1466988fe37c8fcfe7340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3da4967299cd044280bfd9feef9e3864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b7fcd359-19c8-40e3-b19f-91106bd6c442">Draft</DocumentStatus>
    <TaxCatchAll xmlns="b7fcd359-19c8-40e3-b19f-91106bd6c442">
      <Value>2</Value>
      <Value>1</Value>
    </TaxCatchAll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A8734-3B6D-4B8F-B92B-B911BDCD08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2824F4-B0B4-4538-BA7C-3BDEFB191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d359-19c8-40e3-b19f-91106bd6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F0241-AD77-4A30-8D3A-D19825C44D1B}">
  <ds:schemaRefs>
    <ds:schemaRef ds:uri="http://schemas.microsoft.com/office/2006/metadata/properties"/>
    <ds:schemaRef ds:uri="http://schemas.microsoft.com/office/infopath/2007/PartnerControls"/>
    <ds:schemaRef ds:uri="b7fcd359-19c8-40e3-b19f-91106bd6c442"/>
  </ds:schemaRefs>
</ds:datastoreItem>
</file>

<file path=customXml/itemProps4.xml><?xml version="1.0" encoding="utf-8"?>
<ds:datastoreItem xmlns:ds="http://schemas.openxmlformats.org/officeDocument/2006/customXml" ds:itemID="{8D2C7F31-EA53-4BA4-947F-EBC8328556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607494-A41F-4CB9-A6E2-0DAD94433F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factsheet landscape A4 with top banner</vt:lpstr>
    </vt:vector>
  </TitlesOfParts>
  <Manager/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factsheet landscape A4 with top banner</dc:title>
  <dc:subject>Template</dc:subject>
  <dc:creator>Communications Services</dc:creator>
  <cp:keywords>factsheet, landscape, YJ, youth justice, A4</cp:keywords>
  <cp:lastModifiedBy>Karen Ashton</cp:lastModifiedBy>
  <cp:revision>2</cp:revision>
  <cp:lastPrinted>2025-07-17T06:16:00Z</cp:lastPrinted>
  <dcterms:created xsi:type="dcterms:W3CDTF">2025-07-18T00:52:00Z</dcterms:created>
  <dcterms:modified xsi:type="dcterms:W3CDTF">2025-07-18T00:52:00Z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0x010100B152FE0A27636C4F8C85B65586C31A9400B63503CD2F5DE7479F525553B7B79697</vt:lpwstr>
  </property>
  <property fmtid="{D5CDD505-2E9C-101B-9397-08002B2CF9AE}" pid="3" name="MediaServiceImageTags">
    <vt:lpwstr/>
  </property>
  <property fmtid="{D5CDD505-2E9C-101B-9397-08002B2CF9AE}" pid="4" name="TypeOfDocument">
    <vt:lpwstr>1;#General|0d2b879a-0e80-4be0-a339-283a7d647e61</vt:lpwstr>
  </property>
  <property fmtid="{D5CDD505-2E9C-101B-9397-08002B2CF9AE}" pid="5" name="RecordsCategory">
    <vt:lpwstr>2;#Youth Justice Services|bb81fddc-2000-41ca-80b6-ccc12b0080ef</vt:lpwstr>
  </property>
  <property fmtid="{D5CDD505-2E9C-101B-9397-08002B2CF9AE}" pid="6" name="lcf76f155ced4ddcb4097134ff3c332f">
    <vt:lpwstr/>
  </property>
</Properties>
</file>