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9F16" w14:textId="77777777" w:rsidR="00C76CCF" w:rsidRPr="00C76CCF" w:rsidRDefault="00C76CCF" w:rsidP="00C76CCF">
      <w:pPr>
        <w:pStyle w:val="Heading2"/>
      </w:pPr>
      <w:r w:rsidRPr="00C76CCF">
        <w:t xml:space="preserve">Department of Youth Justice and Victim Support Service Delivery Standards </w:t>
      </w:r>
      <w:proofErr w:type="gramStart"/>
      <w:r w:rsidRPr="00C76CCF">
        <w:t>at</w:t>
      </w:r>
      <w:proofErr w:type="gramEnd"/>
      <w:r w:rsidRPr="00C76CCF">
        <w:t xml:space="preserve"> 31 December 2024</w:t>
      </w:r>
    </w:p>
    <w:p w14:paraId="2CF8FC8A" w14:textId="77777777" w:rsidR="00C76CCF" w:rsidRPr="00C76CCF" w:rsidRDefault="00C76CCF" w:rsidP="00C76CCF">
      <w:pPr>
        <w:spacing w:after="0"/>
        <w:jc w:val="center"/>
        <w:rPr>
          <w:rFonts w:cs="Arial"/>
          <w:b/>
          <w:bCs/>
          <w:szCs w:val="22"/>
          <w:u w:val="single"/>
        </w:rPr>
      </w:pPr>
    </w:p>
    <w:tbl>
      <w:tblPr>
        <w:tblStyle w:val="TableGrid"/>
        <w:tblW w:w="14454" w:type="dxa"/>
        <w:tblLayout w:type="fixed"/>
        <w:tblCellMar>
          <w:top w:w="57" w:type="dxa"/>
        </w:tblCellMar>
        <w:tblLook w:val="04A0" w:firstRow="1" w:lastRow="0" w:firstColumn="1" w:lastColumn="0" w:noHBand="0" w:noVBand="1"/>
      </w:tblPr>
      <w:tblGrid>
        <w:gridCol w:w="4390"/>
        <w:gridCol w:w="1677"/>
        <w:gridCol w:w="1677"/>
        <w:gridCol w:w="1678"/>
        <w:gridCol w:w="1677"/>
        <w:gridCol w:w="1677"/>
        <w:gridCol w:w="1678"/>
      </w:tblGrid>
      <w:tr w:rsidR="00C76CCF" w:rsidRPr="00C76CCF" w14:paraId="26F9C530" w14:textId="77777777" w:rsidTr="001A4439">
        <w:trPr>
          <w:trHeight w:val="920"/>
          <w:tblHeader/>
        </w:trPr>
        <w:tc>
          <w:tcPr>
            <w:tcW w:w="4390" w:type="dxa"/>
            <w:shd w:val="clear" w:color="auto" w:fill="1F3864" w:themeFill="accent1" w:themeFillShade="80"/>
            <w:vAlign w:val="center"/>
          </w:tcPr>
          <w:p w14:paraId="66FD0E93" w14:textId="77777777" w:rsidR="00C76CCF" w:rsidRPr="00C76CCF" w:rsidRDefault="00C76CCF" w:rsidP="00C76CCF">
            <w:pPr>
              <w:rPr>
                <w:rFonts w:cs="Arial"/>
                <w:color w:val="FFFFFF" w:themeColor="background1"/>
              </w:rPr>
            </w:pPr>
            <w:r w:rsidRPr="00C76CCF">
              <w:rPr>
                <w:rFonts w:cs="Arial"/>
                <w:color w:val="FFFFFF" w:themeColor="background1"/>
              </w:rPr>
              <w:t>Service Standards</w:t>
            </w:r>
          </w:p>
        </w:tc>
        <w:tc>
          <w:tcPr>
            <w:tcW w:w="1677" w:type="dxa"/>
            <w:shd w:val="clear" w:color="auto" w:fill="1F3864" w:themeFill="accent1" w:themeFillShade="80"/>
            <w:vAlign w:val="center"/>
          </w:tcPr>
          <w:p w14:paraId="15251271" w14:textId="77777777" w:rsidR="00C76CCF" w:rsidRPr="00C76CCF" w:rsidRDefault="00C76CCF" w:rsidP="00C76CCF">
            <w:pPr>
              <w:spacing w:after="120"/>
              <w:jc w:val="center"/>
              <w:rPr>
                <w:rFonts w:cs="Arial"/>
                <w:color w:val="FFFFFF" w:themeColor="background1"/>
              </w:rPr>
            </w:pPr>
            <w:r w:rsidRPr="00C76CCF">
              <w:rPr>
                <w:rFonts w:cs="Arial"/>
                <w:color w:val="FFFFFF" w:themeColor="background1"/>
              </w:rPr>
              <w:t>12 months to 31 Dec 2023 Actual</w:t>
            </w:r>
          </w:p>
        </w:tc>
        <w:tc>
          <w:tcPr>
            <w:tcW w:w="1677" w:type="dxa"/>
            <w:shd w:val="clear" w:color="auto" w:fill="1F3864" w:themeFill="accent1" w:themeFillShade="80"/>
            <w:vAlign w:val="center"/>
          </w:tcPr>
          <w:p w14:paraId="4A414840" w14:textId="649978BE" w:rsidR="00C76CCF" w:rsidRPr="00C76CCF" w:rsidRDefault="00C76CCF" w:rsidP="00C76CCF">
            <w:pPr>
              <w:spacing w:after="120"/>
              <w:jc w:val="center"/>
              <w:rPr>
                <w:rFonts w:cs="Arial"/>
                <w:color w:val="FFFFFF" w:themeColor="background1"/>
              </w:rPr>
            </w:pPr>
            <w:r w:rsidRPr="00C76CCF">
              <w:rPr>
                <w:rFonts w:cs="Arial"/>
                <w:color w:val="FFFFFF" w:themeColor="background1"/>
              </w:rPr>
              <w:t>12 months to 31 Mar 2024 Actual</w:t>
            </w:r>
          </w:p>
        </w:tc>
        <w:tc>
          <w:tcPr>
            <w:tcW w:w="1678" w:type="dxa"/>
            <w:shd w:val="clear" w:color="auto" w:fill="1F3864" w:themeFill="accent1" w:themeFillShade="80"/>
            <w:vAlign w:val="center"/>
          </w:tcPr>
          <w:p w14:paraId="457D98DD" w14:textId="30832190" w:rsidR="00C76CCF" w:rsidRPr="00C76CCF" w:rsidRDefault="004F5315" w:rsidP="00C76CCF">
            <w:pPr>
              <w:spacing w:after="120"/>
              <w:jc w:val="center"/>
              <w:rPr>
                <w:rFonts w:cs="Arial"/>
                <w:color w:val="FFFFFF" w:themeColor="background1"/>
              </w:rPr>
            </w:pPr>
            <w:r>
              <w:rPr>
                <w:rFonts w:cs="Arial"/>
                <w:color w:val="FFFFFF" w:themeColor="background1"/>
              </w:rPr>
              <w:t xml:space="preserve">12 months to 30 Jun </w:t>
            </w:r>
            <w:r w:rsidR="00C76CCF" w:rsidRPr="00C76CCF">
              <w:rPr>
                <w:rFonts w:cs="Arial"/>
                <w:color w:val="FFFFFF" w:themeColor="background1"/>
              </w:rPr>
              <w:t>2024 Actual</w:t>
            </w:r>
          </w:p>
        </w:tc>
        <w:tc>
          <w:tcPr>
            <w:tcW w:w="1677" w:type="dxa"/>
            <w:shd w:val="clear" w:color="auto" w:fill="1F3864" w:themeFill="accent1" w:themeFillShade="80"/>
            <w:vAlign w:val="center"/>
          </w:tcPr>
          <w:p w14:paraId="7E5E3969" w14:textId="260EB800" w:rsidR="00C76CCF" w:rsidRPr="00C76CCF" w:rsidRDefault="004F5315" w:rsidP="00C76CCF">
            <w:pPr>
              <w:spacing w:after="120"/>
              <w:jc w:val="center"/>
              <w:rPr>
                <w:rFonts w:cs="Arial"/>
                <w:color w:val="FFFFFF" w:themeColor="background1"/>
              </w:rPr>
            </w:pPr>
            <w:r>
              <w:rPr>
                <w:rFonts w:cs="Arial"/>
                <w:color w:val="FFFFFF" w:themeColor="background1"/>
              </w:rPr>
              <w:t>12 months</w:t>
            </w:r>
            <w:r w:rsidR="00C76CCF" w:rsidRPr="00C76CCF">
              <w:rPr>
                <w:rFonts w:cs="Arial"/>
                <w:color w:val="FFFFFF" w:themeColor="background1"/>
              </w:rPr>
              <w:t xml:space="preserve"> to 26 Sep 2024 </w:t>
            </w:r>
            <w:r w:rsidR="009C41D8">
              <w:rPr>
                <w:rFonts w:cs="Arial"/>
                <w:color w:val="FFFFFF" w:themeColor="background1"/>
                <w:vertAlign w:val="superscript"/>
              </w:rPr>
              <w:t>i</w:t>
            </w:r>
            <w:r w:rsidR="009C41D8" w:rsidRPr="00C76CCF">
              <w:rPr>
                <w:rFonts w:cs="Arial"/>
                <w:color w:val="FFFFFF" w:themeColor="background1"/>
              </w:rPr>
              <w:t xml:space="preserve"> </w:t>
            </w:r>
            <w:r w:rsidR="00C76CCF" w:rsidRPr="00C76CCF">
              <w:rPr>
                <w:rFonts w:cs="Arial"/>
                <w:color w:val="FFFFFF" w:themeColor="background1"/>
              </w:rPr>
              <w:t>Actual</w:t>
            </w:r>
          </w:p>
        </w:tc>
        <w:tc>
          <w:tcPr>
            <w:tcW w:w="1677" w:type="dxa"/>
            <w:shd w:val="clear" w:color="auto" w:fill="1F3864" w:themeFill="accent1" w:themeFillShade="80"/>
            <w:vAlign w:val="center"/>
          </w:tcPr>
          <w:p w14:paraId="7FCD7D42" w14:textId="77777777" w:rsidR="00C76CCF" w:rsidRPr="00C76CCF" w:rsidRDefault="00C76CCF" w:rsidP="00C76CCF">
            <w:pPr>
              <w:spacing w:after="120"/>
              <w:jc w:val="center"/>
              <w:rPr>
                <w:rFonts w:cs="Arial"/>
                <w:color w:val="FFFFFF" w:themeColor="background1"/>
              </w:rPr>
            </w:pPr>
            <w:r w:rsidRPr="00C76CCF">
              <w:rPr>
                <w:rFonts w:cs="Arial"/>
                <w:color w:val="FFFFFF" w:themeColor="background1"/>
              </w:rPr>
              <w:t>12 months to 31 Dec 2024 Actual</w:t>
            </w:r>
          </w:p>
        </w:tc>
        <w:tc>
          <w:tcPr>
            <w:tcW w:w="1678" w:type="dxa"/>
            <w:shd w:val="clear" w:color="auto" w:fill="1F3864" w:themeFill="accent1" w:themeFillShade="80"/>
            <w:vAlign w:val="center"/>
          </w:tcPr>
          <w:p w14:paraId="094B4098" w14:textId="77777777" w:rsidR="00C76CCF" w:rsidRPr="00C76CCF" w:rsidRDefault="00C76CCF" w:rsidP="00C76CCF">
            <w:pPr>
              <w:jc w:val="center"/>
              <w:rPr>
                <w:rFonts w:cs="Arial"/>
                <w:color w:val="FFFFFF" w:themeColor="background1"/>
              </w:rPr>
            </w:pPr>
            <w:r w:rsidRPr="00C76CCF">
              <w:rPr>
                <w:rFonts w:cs="Arial"/>
                <w:color w:val="FFFFFF" w:themeColor="background1"/>
              </w:rPr>
              <w:t>2024-25 Target/Est.</w:t>
            </w:r>
          </w:p>
        </w:tc>
      </w:tr>
      <w:tr w:rsidR="00C76CCF" w:rsidRPr="00C76CCF" w14:paraId="50EBA886" w14:textId="77777777" w:rsidTr="001E6B79">
        <w:tc>
          <w:tcPr>
            <w:tcW w:w="4390" w:type="dxa"/>
            <w:vAlign w:val="center"/>
          </w:tcPr>
          <w:p w14:paraId="570E7E3B" w14:textId="1DB59B37" w:rsidR="00C76CCF" w:rsidRPr="00C76CCF" w:rsidRDefault="00C76CCF" w:rsidP="00C76CCF">
            <w:pPr>
              <w:spacing w:after="120"/>
              <w:contextualSpacing/>
              <w:rPr>
                <w:rFonts w:cs="Arial"/>
              </w:rPr>
            </w:pPr>
            <w:r w:rsidRPr="00C76CCF">
              <w:rPr>
                <w:rFonts w:cs="Arial"/>
              </w:rPr>
              <w:t xml:space="preserve">Rate of young people aged 10-17 who have contact with Youth Justice </w:t>
            </w:r>
            <w:r w:rsidR="009C41D8">
              <w:rPr>
                <w:rFonts w:cs="Arial"/>
                <w:vertAlign w:val="superscript"/>
              </w:rPr>
              <w:t>ii</w:t>
            </w:r>
            <w:r w:rsidRPr="00C76CCF">
              <w:rPr>
                <w:rFonts w:cs="Arial"/>
              </w:rPr>
              <w:t xml:space="preserve">, per 10,000 population: </w:t>
            </w:r>
          </w:p>
          <w:p w14:paraId="620D7553" w14:textId="77777777" w:rsidR="00C76CCF" w:rsidRPr="00C76CCF" w:rsidRDefault="00C76CCF" w:rsidP="00C76CCF">
            <w:pPr>
              <w:numPr>
                <w:ilvl w:val="0"/>
                <w:numId w:val="13"/>
              </w:numPr>
              <w:spacing w:after="120" w:line="259" w:lineRule="auto"/>
              <w:contextualSpacing/>
              <w:rPr>
                <w:rFonts w:cs="Arial"/>
                <w:szCs w:val="22"/>
                <w:lang w:eastAsia="en-US"/>
              </w:rPr>
            </w:pPr>
            <w:r w:rsidRPr="00C76CCF">
              <w:rPr>
                <w:rFonts w:cs="Arial"/>
                <w:szCs w:val="22"/>
                <w:lang w:eastAsia="en-US"/>
              </w:rPr>
              <w:t xml:space="preserve">Aboriginal and Torres Strait Islander </w:t>
            </w:r>
          </w:p>
          <w:p w14:paraId="395ACD77" w14:textId="77777777" w:rsidR="00C76CCF" w:rsidRPr="00C76CCF" w:rsidRDefault="00C76CCF" w:rsidP="00C76CCF">
            <w:pPr>
              <w:numPr>
                <w:ilvl w:val="0"/>
                <w:numId w:val="13"/>
              </w:numPr>
              <w:spacing w:after="0" w:line="259" w:lineRule="auto"/>
              <w:contextualSpacing/>
              <w:rPr>
                <w:rFonts w:cs="Arial"/>
                <w:szCs w:val="22"/>
                <w:lang w:eastAsia="en-US"/>
              </w:rPr>
            </w:pPr>
            <w:r w:rsidRPr="00C76CCF">
              <w:rPr>
                <w:rFonts w:cs="Arial"/>
                <w:szCs w:val="22"/>
                <w:lang w:eastAsia="en-US"/>
              </w:rPr>
              <w:t>Other</w:t>
            </w:r>
          </w:p>
          <w:p w14:paraId="6B891FAD" w14:textId="77777777" w:rsidR="00C76CCF" w:rsidRPr="00C76CCF" w:rsidRDefault="00C76CCF" w:rsidP="00C76CCF">
            <w:pPr>
              <w:numPr>
                <w:ilvl w:val="0"/>
                <w:numId w:val="13"/>
              </w:numPr>
              <w:spacing w:after="120"/>
              <w:ind w:left="357" w:hanging="357"/>
              <w:contextualSpacing/>
              <w:rPr>
                <w:rFonts w:asciiTheme="minorHAnsi" w:hAnsiTheme="minorHAnsi" w:cs="Arial"/>
                <w:szCs w:val="22"/>
                <w:lang w:eastAsia="en-US"/>
              </w:rPr>
            </w:pPr>
            <w:r w:rsidRPr="00C76CCF">
              <w:rPr>
                <w:rFonts w:cs="Arial"/>
                <w:szCs w:val="22"/>
                <w:lang w:eastAsia="en-US"/>
              </w:rPr>
              <w:t>Total</w:t>
            </w:r>
            <w:r w:rsidRPr="00C76CCF">
              <w:rPr>
                <w:rFonts w:asciiTheme="minorHAnsi" w:hAnsiTheme="minorHAnsi" w:cs="Arial"/>
                <w:szCs w:val="22"/>
                <w:lang w:eastAsia="en-US"/>
              </w:rPr>
              <w:t xml:space="preserve"> </w:t>
            </w:r>
          </w:p>
        </w:tc>
        <w:tc>
          <w:tcPr>
            <w:tcW w:w="1677" w:type="dxa"/>
            <w:vAlign w:val="center"/>
          </w:tcPr>
          <w:p w14:paraId="06911AB3" w14:textId="77777777" w:rsidR="00C76CCF" w:rsidRPr="00C76CCF" w:rsidRDefault="00C76CCF" w:rsidP="00C76CCF">
            <w:pPr>
              <w:spacing w:after="0"/>
              <w:contextualSpacing/>
              <w:jc w:val="center"/>
              <w:rPr>
                <w:rFonts w:cs="Arial"/>
              </w:rPr>
            </w:pPr>
          </w:p>
          <w:p w14:paraId="07B9F968" w14:textId="77777777" w:rsidR="00C76CCF" w:rsidRPr="00C76CCF" w:rsidRDefault="00C76CCF" w:rsidP="00C76CCF">
            <w:pPr>
              <w:spacing w:after="0"/>
              <w:contextualSpacing/>
              <w:jc w:val="center"/>
              <w:rPr>
                <w:rFonts w:cs="Arial"/>
              </w:rPr>
            </w:pPr>
          </w:p>
          <w:p w14:paraId="04A1BCFD" w14:textId="77777777" w:rsidR="00C76CCF" w:rsidRPr="00C76CCF" w:rsidRDefault="00C76CCF" w:rsidP="00C76CCF">
            <w:pPr>
              <w:spacing w:after="0"/>
              <w:contextualSpacing/>
              <w:jc w:val="center"/>
              <w:rPr>
                <w:rFonts w:cs="Arial"/>
              </w:rPr>
            </w:pPr>
          </w:p>
          <w:p w14:paraId="4BDBDDD9" w14:textId="77777777" w:rsidR="00C76CCF" w:rsidRPr="00C76CCF" w:rsidRDefault="00C76CCF" w:rsidP="00C76CCF">
            <w:pPr>
              <w:spacing w:after="0"/>
              <w:contextualSpacing/>
              <w:jc w:val="center"/>
              <w:rPr>
                <w:rFonts w:cs="Arial"/>
              </w:rPr>
            </w:pPr>
            <w:r w:rsidRPr="00C76CCF">
              <w:rPr>
                <w:rFonts w:cs="Arial"/>
              </w:rPr>
              <w:t>430</w:t>
            </w:r>
          </w:p>
          <w:p w14:paraId="4CDAA08D" w14:textId="77777777" w:rsidR="00C76CCF" w:rsidRPr="00C76CCF" w:rsidRDefault="00C76CCF" w:rsidP="00C76CCF">
            <w:pPr>
              <w:spacing w:after="0"/>
              <w:contextualSpacing/>
              <w:jc w:val="center"/>
              <w:rPr>
                <w:rFonts w:cs="Arial"/>
              </w:rPr>
            </w:pPr>
            <w:r w:rsidRPr="00C76CCF">
              <w:rPr>
                <w:rFonts w:cs="Arial"/>
              </w:rPr>
              <w:t>33</w:t>
            </w:r>
          </w:p>
          <w:p w14:paraId="7A4E2F70" w14:textId="77777777" w:rsidR="00C76CCF" w:rsidRPr="00C76CCF" w:rsidRDefault="00C76CCF" w:rsidP="00C76CCF">
            <w:pPr>
              <w:spacing w:after="0"/>
              <w:contextualSpacing/>
              <w:jc w:val="center"/>
              <w:rPr>
                <w:rFonts w:cs="Arial"/>
              </w:rPr>
            </w:pPr>
            <w:r w:rsidRPr="00C76CCF">
              <w:rPr>
                <w:rFonts w:cs="Arial"/>
              </w:rPr>
              <w:t>65</w:t>
            </w:r>
          </w:p>
        </w:tc>
        <w:tc>
          <w:tcPr>
            <w:tcW w:w="1677" w:type="dxa"/>
            <w:vAlign w:val="center"/>
          </w:tcPr>
          <w:p w14:paraId="247EE34F" w14:textId="77777777" w:rsidR="00C76CCF" w:rsidRPr="00C76CCF" w:rsidRDefault="00C76CCF" w:rsidP="00C76CCF">
            <w:pPr>
              <w:spacing w:after="0"/>
              <w:contextualSpacing/>
              <w:jc w:val="center"/>
              <w:rPr>
                <w:rFonts w:cs="Arial"/>
              </w:rPr>
            </w:pPr>
          </w:p>
          <w:p w14:paraId="32E31ED9" w14:textId="77777777" w:rsidR="00C76CCF" w:rsidRPr="00C76CCF" w:rsidRDefault="00C76CCF" w:rsidP="00C76CCF">
            <w:pPr>
              <w:spacing w:after="0"/>
              <w:contextualSpacing/>
              <w:jc w:val="center"/>
              <w:rPr>
                <w:rFonts w:cs="Arial"/>
              </w:rPr>
            </w:pPr>
          </w:p>
          <w:p w14:paraId="4E2339CE" w14:textId="77777777" w:rsidR="00C76CCF" w:rsidRPr="00C76CCF" w:rsidRDefault="00C76CCF" w:rsidP="00C76CCF">
            <w:pPr>
              <w:spacing w:after="0"/>
              <w:contextualSpacing/>
              <w:jc w:val="center"/>
              <w:rPr>
                <w:rFonts w:cs="Arial"/>
              </w:rPr>
            </w:pPr>
          </w:p>
          <w:p w14:paraId="386D7EE9" w14:textId="77777777" w:rsidR="00C76CCF" w:rsidRPr="00C76CCF" w:rsidRDefault="00C76CCF" w:rsidP="00C76CCF">
            <w:pPr>
              <w:spacing w:after="0"/>
              <w:contextualSpacing/>
              <w:jc w:val="center"/>
              <w:rPr>
                <w:rFonts w:cs="Arial"/>
              </w:rPr>
            </w:pPr>
            <w:r w:rsidRPr="00C76CCF">
              <w:rPr>
                <w:rFonts w:cs="Arial"/>
              </w:rPr>
              <w:t>431</w:t>
            </w:r>
          </w:p>
          <w:p w14:paraId="5BAA79C6" w14:textId="77777777" w:rsidR="00C76CCF" w:rsidRPr="00C76CCF" w:rsidRDefault="00C76CCF" w:rsidP="00C76CCF">
            <w:pPr>
              <w:spacing w:after="0"/>
              <w:contextualSpacing/>
              <w:jc w:val="center"/>
              <w:rPr>
                <w:rFonts w:cs="Arial"/>
              </w:rPr>
            </w:pPr>
            <w:r w:rsidRPr="00C76CCF">
              <w:rPr>
                <w:rFonts w:cs="Arial"/>
              </w:rPr>
              <w:t>33</w:t>
            </w:r>
          </w:p>
          <w:p w14:paraId="360E858F" w14:textId="77777777" w:rsidR="00C76CCF" w:rsidRPr="00C76CCF" w:rsidRDefault="00C76CCF" w:rsidP="00C76CCF">
            <w:pPr>
              <w:spacing w:after="0"/>
              <w:contextualSpacing/>
              <w:jc w:val="center"/>
              <w:rPr>
                <w:rFonts w:cs="Arial"/>
              </w:rPr>
            </w:pPr>
            <w:r w:rsidRPr="00C76CCF">
              <w:rPr>
                <w:rFonts w:cs="Arial"/>
              </w:rPr>
              <w:t>65</w:t>
            </w:r>
          </w:p>
        </w:tc>
        <w:tc>
          <w:tcPr>
            <w:tcW w:w="1678" w:type="dxa"/>
            <w:vAlign w:val="center"/>
          </w:tcPr>
          <w:p w14:paraId="6626969D" w14:textId="77777777" w:rsidR="00C76CCF" w:rsidRPr="00C76CCF" w:rsidRDefault="00C76CCF" w:rsidP="00C76CCF">
            <w:pPr>
              <w:spacing w:after="0"/>
              <w:contextualSpacing/>
              <w:jc w:val="center"/>
              <w:rPr>
                <w:rFonts w:cs="Arial"/>
              </w:rPr>
            </w:pPr>
          </w:p>
          <w:p w14:paraId="716CF2CD" w14:textId="77777777" w:rsidR="00C76CCF" w:rsidRPr="00C76CCF" w:rsidRDefault="00C76CCF" w:rsidP="00C76CCF">
            <w:pPr>
              <w:spacing w:after="0"/>
              <w:contextualSpacing/>
              <w:jc w:val="center"/>
              <w:rPr>
                <w:rFonts w:cs="Arial"/>
              </w:rPr>
            </w:pPr>
          </w:p>
          <w:p w14:paraId="7BABA6A5" w14:textId="77777777" w:rsidR="00C76CCF" w:rsidRPr="00C76CCF" w:rsidRDefault="00C76CCF" w:rsidP="00C76CCF">
            <w:pPr>
              <w:spacing w:after="0"/>
              <w:contextualSpacing/>
              <w:jc w:val="center"/>
              <w:rPr>
                <w:rFonts w:cs="Arial"/>
              </w:rPr>
            </w:pPr>
          </w:p>
          <w:p w14:paraId="0324F1AB" w14:textId="77777777" w:rsidR="00C76CCF" w:rsidRPr="00C76CCF" w:rsidRDefault="00C76CCF" w:rsidP="00C76CCF">
            <w:pPr>
              <w:spacing w:after="0"/>
              <w:contextualSpacing/>
              <w:jc w:val="center"/>
              <w:rPr>
                <w:rFonts w:cs="Arial"/>
              </w:rPr>
            </w:pPr>
            <w:r w:rsidRPr="00C76CCF">
              <w:rPr>
                <w:rFonts w:cs="Arial"/>
              </w:rPr>
              <w:t>435</w:t>
            </w:r>
          </w:p>
          <w:p w14:paraId="3B57EBFD" w14:textId="77777777" w:rsidR="00C76CCF" w:rsidRPr="00C76CCF" w:rsidRDefault="00C76CCF" w:rsidP="00C76CCF">
            <w:pPr>
              <w:spacing w:after="0"/>
              <w:contextualSpacing/>
              <w:jc w:val="center"/>
              <w:rPr>
                <w:rFonts w:cs="Arial"/>
              </w:rPr>
            </w:pPr>
            <w:r w:rsidRPr="00C76CCF">
              <w:rPr>
                <w:rFonts w:cs="Arial"/>
              </w:rPr>
              <w:t>31</w:t>
            </w:r>
          </w:p>
          <w:p w14:paraId="37050B99" w14:textId="77777777" w:rsidR="00C76CCF" w:rsidRPr="00C76CCF" w:rsidRDefault="00C76CCF" w:rsidP="00C76CCF">
            <w:pPr>
              <w:spacing w:after="0"/>
              <w:contextualSpacing/>
              <w:jc w:val="center"/>
              <w:rPr>
                <w:rFonts w:cs="Arial"/>
              </w:rPr>
            </w:pPr>
            <w:r w:rsidRPr="00C76CCF">
              <w:rPr>
                <w:rFonts w:cs="Arial"/>
              </w:rPr>
              <w:t>60</w:t>
            </w:r>
          </w:p>
        </w:tc>
        <w:tc>
          <w:tcPr>
            <w:tcW w:w="1677" w:type="dxa"/>
            <w:shd w:val="clear" w:color="auto" w:fill="auto"/>
            <w:vAlign w:val="center"/>
          </w:tcPr>
          <w:p w14:paraId="579AD063" w14:textId="77777777" w:rsidR="00C76CCF" w:rsidRPr="00C76CCF" w:rsidRDefault="00C76CCF" w:rsidP="00C76CCF">
            <w:pPr>
              <w:spacing w:after="0"/>
              <w:contextualSpacing/>
              <w:jc w:val="center"/>
              <w:rPr>
                <w:rFonts w:cs="Arial"/>
              </w:rPr>
            </w:pPr>
          </w:p>
          <w:p w14:paraId="69393DB4" w14:textId="77777777" w:rsidR="00C76CCF" w:rsidRPr="00C76CCF" w:rsidRDefault="00C76CCF" w:rsidP="00C76CCF">
            <w:pPr>
              <w:spacing w:after="0"/>
              <w:contextualSpacing/>
              <w:jc w:val="center"/>
              <w:rPr>
                <w:rFonts w:cs="Arial"/>
              </w:rPr>
            </w:pPr>
          </w:p>
          <w:p w14:paraId="54011721" w14:textId="77777777" w:rsidR="00C76CCF" w:rsidRPr="00C76CCF" w:rsidRDefault="00C76CCF" w:rsidP="00C76CCF">
            <w:pPr>
              <w:spacing w:after="0"/>
              <w:contextualSpacing/>
              <w:jc w:val="center"/>
              <w:rPr>
                <w:rFonts w:cs="Arial"/>
              </w:rPr>
            </w:pPr>
          </w:p>
          <w:p w14:paraId="48E126AD" w14:textId="77777777" w:rsidR="00C76CCF" w:rsidRPr="00C76CCF" w:rsidRDefault="00C76CCF" w:rsidP="00C76CCF">
            <w:pPr>
              <w:spacing w:after="0"/>
              <w:contextualSpacing/>
              <w:jc w:val="center"/>
              <w:rPr>
                <w:rFonts w:cs="Arial"/>
              </w:rPr>
            </w:pPr>
            <w:r w:rsidRPr="00C76CCF">
              <w:rPr>
                <w:rFonts w:cs="Arial"/>
              </w:rPr>
              <w:t>423</w:t>
            </w:r>
          </w:p>
          <w:p w14:paraId="0095A4F3" w14:textId="77777777" w:rsidR="00C76CCF" w:rsidRPr="00C76CCF" w:rsidRDefault="00C76CCF" w:rsidP="00C76CCF">
            <w:pPr>
              <w:spacing w:after="0"/>
              <w:contextualSpacing/>
              <w:jc w:val="center"/>
              <w:rPr>
                <w:rFonts w:cs="Arial"/>
              </w:rPr>
            </w:pPr>
            <w:r w:rsidRPr="00C76CCF">
              <w:rPr>
                <w:rFonts w:cs="Arial"/>
              </w:rPr>
              <w:t>29</w:t>
            </w:r>
          </w:p>
          <w:p w14:paraId="07E5B98D" w14:textId="77777777" w:rsidR="00C76CCF" w:rsidRPr="00C76CCF" w:rsidRDefault="00C76CCF" w:rsidP="00C76CCF">
            <w:pPr>
              <w:spacing w:after="0"/>
              <w:contextualSpacing/>
              <w:jc w:val="center"/>
              <w:rPr>
                <w:rFonts w:cs="Arial"/>
              </w:rPr>
            </w:pPr>
            <w:r w:rsidRPr="00C76CCF">
              <w:rPr>
                <w:rFonts w:cs="Arial"/>
              </w:rPr>
              <w:t>59</w:t>
            </w:r>
          </w:p>
        </w:tc>
        <w:tc>
          <w:tcPr>
            <w:tcW w:w="1677" w:type="dxa"/>
            <w:shd w:val="clear" w:color="auto" w:fill="auto"/>
            <w:vAlign w:val="center"/>
          </w:tcPr>
          <w:p w14:paraId="130BFD57" w14:textId="77777777" w:rsidR="00C76CCF" w:rsidRPr="00C76CCF" w:rsidRDefault="00C76CCF" w:rsidP="00C76CCF">
            <w:pPr>
              <w:spacing w:after="0"/>
              <w:contextualSpacing/>
              <w:jc w:val="center"/>
              <w:rPr>
                <w:rFonts w:cs="Arial"/>
              </w:rPr>
            </w:pPr>
          </w:p>
          <w:p w14:paraId="4E02AA8A" w14:textId="77777777" w:rsidR="00C76CCF" w:rsidRPr="00C76CCF" w:rsidRDefault="00C76CCF" w:rsidP="00C76CCF">
            <w:pPr>
              <w:spacing w:after="0"/>
              <w:contextualSpacing/>
              <w:jc w:val="center"/>
              <w:rPr>
                <w:rFonts w:cs="Arial"/>
              </w:rPr>
            </w:pPr>
          </w:p>
          <w:p w14:paraId="57554D9B" w14:textId="77777777" w:rsidR="00C76CCF" w:rsidRPr="00C76CCF" w:rsidRDefault="00C76CCF" w:rsidP="00C76CCF">
            <w:pPr>
              <w:spacing w:after="0"/>
              <w:contextualSpacing/>
              <w:jc w:val="center"/>
              <w:rPr>
                <w:rFonts w:cs="Arial"/>
              </w:rPr>
            </w:pPr>
          </w:p>
          <w:p w14:paraId="7E8F10D1" w14:textId="77777777" w:rsidR="00C76CCF" w:rsidRPr="00C76CCF" w:rsidRDefault="00C76CCF" w:rsidP="00C76CCF">
            <w:pPr>
              <w:spacing w:after="0"/>
              <w:contextualSpacing/>
              <w:jc w:val="center"/>
              <w:rPr>
                <w:rFonts w:cs="Arial"/>
              </w:rPr>
            </w:pPr>
          </w:p>
          <w:p w14:paraId="51851624" w14:textId="5B103DD5" w:rsidR="00C76CCF" w:rsidRPr="00C76CCF" w:rsidRDefault="00C76CCF" w:rsidP="00C76CCF">
            <w:pPr>
              <w:spacing w:after="0"/>
              <w:contextualSpacing/>
              <w:jc w:val="center"/>
              <w:rPr>
                <w:rFonts w:cs="Arial"/>
              </w:rPr>
            </w:pPr>
            <w:r w:rsidRPr="00C76CCF">
              <w:rPr>
                <w:rFonts w:cs="Arial"/>
              </w:rPr>
              <w:t>356</w:t>
            </w:r>
            <w:r w:rsidRPr="00C76CCF">
              <w:rPr>
                <w:rFonts w:cs="Arial"/>
                <w:vertAlign w:val="superscript"/>
              </w:rPr>
              <w:t xml:space="preserve"> </w:t>
            </w:r>
            <w:r w:rsidR="009C41D8">
              <w:rPr>
                <w:rFonts w:cs="Arial"/>
                <w:vertAlign w:val="superscript"/>
              </w:rPr>
              <w:t>v</w:t>
            </w:r>
          </w:p>
          <w:p w14:paraId="79AF326D" w14:textId="77777777" w:rsidR="00C76CCF" w:rsidRPr="00C76CCF" w:rsidRDefault="00C76CCF" w:rsidP="00C76CCF">
            <w:pPr>
              <w:spacing w:after="0"/>
              <w:contextualSpacing/>
              <w:jc w:val="center"/>
              <w:rPr>
                <w:rFonts w:cs="Arial"/>
              </w:rPr>
            </w:pPr>
            <w:r w:rsidRPr="00C76CCF">
              <w:rPr>
                <w:rFonts w:cs="Arial"/>
              </w:rPr>
              <w:t>30</w:t>
            </w:r>
          </w:p>
          <w:p w14:paraId="512E6726" w14:textId="77777777" w:rsidR="00C76CCF" w:rsidRPr="00C76CCF" w:rsidRDefault="00C76CCF" w:rsidP="00C76CCF">
            <w:pPr>
              <w:spacing w:after="0"/>
              <w:contextualSpacing/>
              <w:jc w:val="center"/>
              <w:rPr>
                <w:rFonts w:cs="Arial"/>
              </w:rPr>
            </w:pPr>
            <w:r w:rsidRPr="00C76CCF">
              <w:rPr>
                <w:rFonts w:cs="Arial"/>
              </w:rPr>
              <w:t>59</w:t>
            </w:r>
          </w:p>
          <w:p w14:paraId="7C37F7D7" w14:textId="77777777" w:rsidR="00C76CCF" w:rsidRPr="00C76CCF" w:rsidRDefault="00C76CCF" w:rsidP="00C76CCF">
            <w:pPr>
              <w:spacing w:after="0"/>
              <w:contextualSpacing/>
              <w:jc w:val="center"/>
              <w:rPr>
                <w:rFonts w:cs="Arial"/>
              </w:rPr>
            </w:pPr>
          </w:p>
        </w:tc>
        <w:tc>
          <w:tcPr>
            <w:tcW w:w="1678" w:type="dxa"/>
            <w:shd w:val="clear" w:color="auto" w:fill="FFFFFF" w:themeFill="background1"/>
            <w:vAlign w:val="center"/>
          </w:tcPr>
          <w:p w14:paraId="0A2BE78C" w14:textId="77777777" w:rsidR="00C76CCF" w:rsidRPr="00C76CCF" w:rsidRDefault="00C76CCF" w:rsidP="00C76CCF">
            <w:pPr>
              <w:spacing w:after="0"/>
              <w:contextualSpacing/>
              <w:jc w:val="center"/>
              <w:rPr>
                <w:rFonts w:cs="Arial"/>
              </w:rPr>
            </w:pPr>
          </w:p>
          <w:p w14:paraId="515EA3D3" w14:textId="77777777" w:rsidR="00C76CCF" w:rsidRPr="00C76CCF" w:rsidRDefault="00C76CCF" w:rsidP="00C76CCF">
            <w:pPr>
              <w:spacing w:after="0"/>
              <w:contextualSpacing/>
              <w:jc w:val="center"/>
              <w:rPr>
                <w:rFonts w:cs="Arial"/>
              </w:rPr>
            </w:pPr>
          </w:p>
          <w:p w14:paraId="36BFB7CF" w14:textId="77777777" w:rsidR="00C76CCF" w:rsidRPr="00C76CCF" w:rsidRDefault="00C76CCF" w:rsidP="00C76CCF">
            <w:pPr>
              <w:spacing w:after="0"/>
              <w:contextualSpacing/>
              <w:jc w:val="center"/>
              <w:rPr>
                <w:rFonts w:cs="Arial"/>
              </w:rPr>
            </w:pPr>
          </w:p>
          <w:p w14:paraId="73FB5816" w14:textId="77777777" w:rsidR="00C76CCF" w:rsidRPr="00C76CCF" w:rsidRDefault="00C76CCF" w:rsidP="00C76CCF">
            <w:pPr>
              <w:spacing w:after="0"/>
              <w:contextualSpacing/>
              <w:jc w:val="center"/>
              <w:rPr>
                <w:rFonts w:cs="Arial"/>
              </w:rPr>
            </w:pPr>
            <w:r w:rsidRPr="00C76CCF">
              <w:rPr>
                <w:rFonts w:cs="Arial"/>
              </w:rPr>
              <w:t>390</w:t>
            </w:r>
          </w:p>
          <w:p w14:paraId="0C6F46AC" w14:textId="77777777" w:rsidR="00C76CCF" w:rsidRPr="00C76CCF" w:rsidRDefault="00C76CCF" w:rsidP="00C76CCF">
            <w:pPr>
              <w:spacing w:after="0"/>
              <w:contextualSpacing/>
              <w:jc w:val="center"/>
              <w:rPr>
                <w:rFonts w:cs="Arial"/>
              </w:rPr>
            </w:pPr>
            <w:r w:rsidRPr="00C76CCF">
              <w:rPr>
                <w:rFonts w:cs="Arial"/>
              </w:rPr>
              <w:t>30</w:t>
            </w:r>
          </w:p>
          <w:p w14:paraId="23F6DF92" w14:textId="77777777" w:rsidR="00C76CCF" w:rsidRPr="00C76CCF" w:rsidRDefault="00C76CCF" w:rsidP="00C76CCF">
            <w:pPr>
              <w:spacing w:after="0"/>
              <w:contextualSpacing/>
              <w:jc w:val="center"/>
              <w:rPr>
                <w:rFonts w:cs="Arial"/>
              </w:rPr>
            </w:pPr>
            <w:r w:rsidRPr="00C76CCF">
              <w:rPr>
                <w:rFonts w:cs="Arial"/>
              </w:rPr>
              <w:t>59</w:t>
            </w:r>
          </w:p>
        </w:tc>
      </w:tr>
      <w:tr w:rsidR="00C76CCF" w:rsidRPr="00C76CCF" w14:paraId="52321CB7" w14:textId="77777777" w:rsidTr="001E6B79">
        <w:tc>
          <w:tcPr>
            <w:tcW w:w="4390" w:type="dxa"/>
            <w:vAlign w:val="center"/>
          </w:tcPr>
          <w:p w14:paraId="7BACF744" w14:textId="1920FEB4" w:rsidR="00C76CCF" w:rsidRPr="00C76CCF" w:rsidRDefault="00C76CCF" w:rsidP="00C76CCF">
            <w:pPr>
              <w:spacing w:before="60"/>
              <w:rPr>
                <w:rFonts w:cs="Arial"/>
              </w:rPr>
            </w:pPr>
            <w:r w:rsidRPr="00C76CCF">
              <w:rPr>
                <w:rFonts w:cs="Arial"/>
              </w:rPr>
              <w:t xml:space="preserve">Proportion of young people declared a serious repeat offender under the </w:t>
            </w:r>
            <w:r w:rsidRPr="00C76CCF">
              <w:rPr>
                <w:rFonts w:cs="Arial"/>
                <w:i/>
                <w:iCs/>
              </w:rPr>
              <w:t>Youth Justice Act 1992</w:t>
            </w:r>
            <w:r w:rsidRPr="00C76CCF">
              <w:rPr>
                <w:rFonts w:cs="Arial"/>
              </w:rPr>
              <w:t xml:space="preserve"> out of all young people with a proven finalised offence </w:t>
            </w:r>
            <w:r w:rsidR="009C41D8">
              <w:rPr>
                <w:rFonts w:cs="Arial"/>
                <w:vertAlign w:val="superscript"/>
              </w:rPr>
              <w:t>iii</w:t>
            </w:r>
          </w:p>
        </w:tc>
        <w:tc>
          <w:tcPr>
            <w:tcW w:w="1677" w:type="dxa"/>
            <w:vAlign w:val="center"/>
          </w:tcPr>
          <w:p w14:paraId="3596DCB2" w14:textId="77777777" w:rsidR="00C76CCF" w:rsidRPr="00C76CCF" w:rsidRDefault="00C76CCF" w:rsidP="00C76CCF">
            <w:pPr>
              <w:jc w:val="center"/>
              <w:rPr>
                <w:rFonts w:cs="Arial"/>
              </w:rPr>
            </w:pPr>
            <w:r w:rsidRPr="00C76CCF">
              <w:rPr>
                <w:rFonts w:cs="Arial"/>
              </w:rPr>
              <w:t>1.6%</w:t>
            </w:r>
          </w:p>
        </w:tc>
        <w:tc>
          <w:tcPr>
            <w:tcW w:w="1677" w:type="dxa"/>
            <w:vAlign w:val="center"/>
          </w:tcPr>
          <w:p w14:paraId="779D6F34" w14:textId="77777777" w:rsidR="00C76CCF" w:rsidRPr="00C76CCF" w:rsidRDefault="00C76CCF" w:rsidP="00C76CCF">
            <w:pPr>
              <w:jc w:val="center"/>
              <w:rPr>
                <w:rFonts w:cs="Arial"/>
              </w:rPr>
            </w:pPr>
            <w:r w:rsidRPr="00C76CCF">
              <w:rPr>
                <w:rFonts w:cs="Arial"/>
              </w:rPr>
              <w:t>1.5%</w:t>
            </w:r>
          </w:p>
        </w:tc>
        <w:tc>
          <w:tcPr>
            <w:tcW w:w="1678" w:type="dxa"/>
            <w:vAlign w:val="center"/>
          </w:tcPr>
          <w:p w14:paraId="6DC01639" w14:textId="77777777" w:rsidR="00C76CCF" w:rsidRPr="00C76CCF" w:rsidRDefault="00C76CCF" w:rsidP="00C76CCF">
            <w:pPr>
              <w:jc w:val="center"/>
              <w:rPr>
                <w:rFonts w:cs="Arial"/>
              </w:rPr>
            </w:pPr>
            <w:r w:rsidRPr="00C76CCF">
              <w:rPr>
                <w:rFonts w:cs="Arial"/>
              </w:rPr>
              <w:t>1.5%</w:t>
            </w:r>
          </w:p>
        </w:tc>
        <w:tc>
          <w:tcPr>
            <w:tcW w:w="1677" w:type="dxa"/>
            <w:shd w:val="clear" w:color="auto" w:fill="auto"/>
            <w:vAlign w:val="center"/>
          </w:tcPr>
          <w:p w14:paraId="7D217E1E" w14:textId="77777777" w:rsidR="00C76CCF" w:rsidRPr="00C76CCF" w:rsidRDefault="00C76CCF" w:rsidP="00C76CCF">
            <w:pPr>
              <w:jc w:val="center"/>
              <w:rPr>
                <w:rFonts w:cs="Arial"/>
              </w:rPr>
            </w:pPr>
            <w:r w:rsidRPr="00C76CCF">
              <w:rPr>
                <w:rFonts w:cs="Arial"/>
              </w:rPr>
              <w:t>1.3%</w:t>
            </w:r>
          </w:p>
        </w:tc>
        <w:tc>
          <w:tcPr>
            <w:tcW w:w="1677" w:type="dxa"/>
            <w:shd w:val="clear" w:color="auto" w:fill="auto"/>
            <w:vAlign w:val="center"/>
          </w:tcPr>
          <w:p w14:paraId="08F03705" w14:textId="77777777" w:rsidR="00C76CCF" w:rsidRPr="00C76CCF" w:rsidRDefault="00C76CCF" w:rsidP="00C76CCF">
            <w:pPr>
              <w:jc w:val="center"/>
              <w:rPr>
                <w:rFonts w:cs="Arial"/>
              </w:rPr>
            </w:pPr>
            <w:r w:rsidRPr="00C76CCF">
              <w:rPr>
                <w:rFonts w:cs="Arial"/>
              </w:rPr>
              <w:t>1.1%</w:t>
            </w:r>
          </w:p>
        </w:tc>
        <w:tc>
          <w:tcPr>
            <w:tcW w:w="1678" w:type="dxa"/>
            <w:shd w:val="clear" w:color="auto" w:fill="FFFFFF" w:themeFill="background1"/>
            <w:vAlign w:val="center"/>
          </w:tcPr>
          <w:p w14:paraId="027B6082" w14:textId="77777777" w:rsidR="00C76CCF" w:rsidRPr="00C76CCF" w:rsidRDefault="00C76CCF" w:rsidP="00C76CCF">
            <w:pPr>
              <w:jc w:val="center"/>
              <w:rPr>
                <w:rFonts w:cs="Arial"/>
              </w:rPr>
            </w:pPr>
            <w:r w:rsidRPr="00C76CCF">
              <w:rPr>
                <w:rFonts w:cs="Arial"/>
              </w:rPr>
              <w:t>1.5%</w:t>
            </w:r>
          </w:p>
        </w:tc>
      </w:tr>
      <w:tr w:rsidR="00C76CCF" w:rsidRPr="00C76CCF" w14:paraId="518AFEAE" w14:textId="77777777" w:rsidTr="001E6B79">
        <w:tc>
          <w:tcPr>
            <w:tcW w:w="4390" w:type="dxa"/>
            <w:vAlign w:val="center"/>
          </w:tcPr>
          <w:p w14:paraId="678468E1" w14:textId="21D80F91" w:rsidR="00C76CCF" w:rsidRPr="00C76CCF" w:rsidRDefault="00C76CCF" w:rsidP="00C76CCF">
            <w:pPr>
              <w:keepNext/>
              <w:spacing w:before="120" w:after="0"/>
              <w:contextualSpacing/>
              <w:rPr>
                <w:rFonts w:cs="Arial"/>
              </w:rPr>
            </w:pPr>
            <w:r w:rsidRPr="00C76CCF">
              <w:rPr>
                <w:rFonts w:cs="Arial"/>
              </w:rPr>
              <w:t xml:space="preserve">Average daily number of young people in youth detention centres </w:t>
            </w:r>
            <w:r w:rsidR="009C41D8">
              <w:rPr>
                <w:rFonts w:cs="Arial"/>
                <w:vertAlign w:val="superscript"/>
              </w:rPr>
              <w:t>iv</w:t>
            </w:r>
            <w:r w:rsidRPr="00C76CCF">
              <w:rPr>
                <w:rFonts w:cs="Arial"/>
              </w:rPr>
              <w:t xml:space="preserve">, rate per 10,000 population: </w:t>
            </w:r>
          </w:p>
          <w:p w14:paraId="5DB86CC2" w14:textId="77777777" w:rsidR="00C76CCF" w:rsidRPr="00C76CCF" w:rsidRDefault="00C76CCF" w:rsidP="00C76CCF">
            <w:pPr>
              <w:keepNext/>
              <w:numPr>
                <w:ilvl w:val="0"/>
                <w:numId w:val="12"/>
              </w:numPr>
              <w:spacing w:before="120" w:after="0"/>
              <w:contextualSpacing/>
              <w:rPr>
                <w:rFonts w:cs="Arial"/>
                <w:szCs w:val="22"/>
                <w:lang w:eastAsia="en-US"/>
              </w:rPr>
            </w:pPr>
            <w:r w:rsidRPr="00C76CCF">
              <w:rPr>
                <w:rFonts w:cs="Arial"/>
                <w:szCs w:val="22"/>
                <w:lang w:eastAsia="en-US"/>
              </w:rPr>
              <w:t>Aboriginal and Torres Strait Islander</w:t>
            </w:r>
          </w:p>
          <w:p w14:paraId="07313355" w14:textId="77777777" w:rsidR="00C76CCF" w:rsidRPr="00C76CCF" w:rsidRDefault="00C76CCF" w:rsidP="00C76CCF">
            <w:pPr>
              <w:keepNext/>
              <w:numPr>
                <w:ilvl w:val="0"/>
                <w:numId w:val="12"/>
              </w:numPr>
              <w:spacing w:after="0"/>
              <w:contextualSpacing/>
              <w:rPr>
                <w:rFonts w:cs="Arial"/>
                <w:szCs w:val="22"/>
                <w:lang w:eastAsia="en-US"/>
              </w:rPr>
            </w:pPr>
            <w:r w:rsidRPr="00C76CCF">
              <w:rPr>
                <w:rFonts w:cs="Arial"/>
                <w:szCs w:val="22"/>
                <w:lang w:eastAsia="en-US"/>
              </w:rPr>
              <w:t>Other</w:t>
            </w:r>
          </w:p>
          <w:p w14:paraId="058B0A17" w14:textId="77777777" w:rsidR="00C76CCF" w:rsidRPr="00C76CCF" w:rsidRDefault="00C76CCF" w:rsidP="00C76CCF">
            <w:pPr>
              <w:keepNext/>
              <w:numPr>
                <w:ilvl w:val="0"/>
                <w:numId w:val="12"/>
              </w:numPr>
              <w:spacing w:after="120"/>
              <w:ind w:left="357" w:hanging="357"/>
              <w:contextualSpacing/>
              <w:rPr>
                <w:rFonts w:cs="Arial"/>
                <w:szCs w:val="22"/>
                <w:lang w:eastAsia="en-US"/>
              </w:rPr>
            </w:pPr>
            <w:r w:rsidRPr="00C76CCF">
              <w:rPr>
                <w:rFonts w:cs="Arial"/>
                <w:szCs w:val="22"/>
                <w:lang w:eastAsia="en-US"/>
              </w:rPr>
              <w:t>Total</w:t>
            </w:r>
          </w:p>
        </w:tc>
        <w:tc>
          <w:tcPr>
            <w:tcW w:w="1677" w:type="dxa"/>
            <w:vAlign w:val="center"/>
          </w:tcPr>
          <w:p w14:paraId="420ECF66" w14:textId="77777777" w:rsidR="00C76CCF" w:rsidRPr="00C76CCF" w:rsidRDefault="00C76CCF" w:rsidP="00C76CCF">
            <w:pPr>
              <w:keepNext/>
              <w:contextualSpacing/>
              <w:jc w:val="center"/>
              <w:rPr>
                <w:rFonts w:cs="Arial"/>
              </w:rPr>
            </w:pPr>
          </w:p>
          <w:p w14:paraId="4D375AFD" w14:textId="77777777" w:rsidR="00C76CCF" w:rsidRPr="00C76CCF" w:rsidRDefault="00C76CCF" w:rsidP="00C76CCF">
            <w:pPr>
              <w:keepNext/>
              <w:spacing w:before="120" w:after="0"/>
              <w:contextualSpacing/>
              <w:jc w:val="center"/>
              <w:rPr>
                <w:rFonts w:cs="Arial"/>
              </w:rPr>
            </w:pPr>
          </w:p>
          <w:p w14:paraId="5FAA7B11" w14:textId="77777777" w:rsidR="00C76CCF" w:rsidRPr="00C76CCF" w:rsidRDefault="00C76CCF" w:rsidP="00C76CCF">
            <w:pPr>
              <w:keepNext/>
              <w:spacing w:before="120" w:after="0"/>
              <w:contextualSpacing/>
              <w:jc w:val="center"/>
              <w:rPr>
                <w:rFonts w:cs="Arial"/>
              </w:rPr>
            </w:pPr>
          </w:p>
          <w:p w14:paraId="2A402F3E" w14:textId="77777777" w:rsidR="00C76CCF" w:rsidRPr="00C76CCF" w:rsidRDefault="00C76CCF" w:rsidP="00C76CCF">
            <w:pPr>
              <w:keepNext/>
              <w:spacing w:before="120" w:after="0"/>
              <w:contextualSpacing/>
              <w:jc w:val="center"/>
              <w:rPr>
                <w:rFonts w:cs="Arial"/>
              </w:rPr>
            </w:pPr>
            <w:r w:rsidRPr="00C76CCF">
              <w:rPr>
                <w:rFonts w:cs="Arial"/>
              </w:rPr>
              <w:t>46.3</w:t>
            </w:r>
          </w:p>
          <w:p w14:paraId="7B611EDC" w14:textId="77777777" w:rsidR="00C76CCF" w:rsidRPr="00C76CCF" w:rsidRDefault="00C76CCF" w:rsidP="00C76CCF">
            <w:pPr>
              <w:keepNext/>
              <w:contextualSpacing/>
              <w:jc w:val="center"/>
              <w:rPr>
                <w:rFonts w:cs="Arial"/>
              </w:rPr>
            </w:pPr>
            <w:r w:rsidRPr="00C76CCF">
              <w:rPr>
                <w:rFonts w:cs="Arial"/>
              </w:rPr>
              <w:t>1.7</w:t>
            </w:r>
          </w:p>
          <w:p w14:paraId="57E9C6BF" w14:textId="77777777" w:rsidR="00C76CCF" w:rsidRPr="00C76CCF" w:rsidRDefault="00C76CCF" w:rsidP="00C76CCF">
            <w:pPr>
              <w:keepNext/>
              <w:contextualSpacing/>
              <w:jc w:val="center"/>
              <w:rPr>
                <w:rFonts w:cs="Arial"/>
              </w:rPr>
            </w:pPr>
            <w:r w:rsidRPr="00C76CCF">
              <w:rPr>
                <w:rFonts w:cs="Arial"/>
              </w:rPr>
              <w:t>5.3</w:t>
            </w:r>
          </w:p>
        </w:tc>
        <w:tc>
          <w:tcPr>
            <w:tcW w:w="1677" w:type="dxa"/>
            <w:vAlign w:val="center"/>
          </w:tcPr>
          <w:p w14:paraId="3E7A6BB9" w14:textId="77777777" w:rsidR="00C76CCF" w:rsidRPr="00C76CCF" w:rsidRDefault="00C76CCF" w:rsidP="00C76CCF">
            <w:pPr>
              <w:keepNext/>
              <w:contextualSpacing/>
              <w:jc w:val="center"/>
              <w:rPr>
                <w:rFonts w:cs="Arial"/>
              </w:rPr>
            </w:pPr>
          </w:p>
          <w:p w14:paraId="798365FB" w14:textId="77777777" w:rsidR="00C76CCF" w:rsidRPr="00C76CCF" w:rsidRDefault="00C76CCF" w:rsidP="00C76CCF">
            <w:pPr>
              <w:keepNext/>
              <w:contextualSpacing/>
              <w:jc w:val="center"/>
              <w:rPr>
                <w:rFonts w:cs="Arial"/>
              </w:rPr>
            </w:pPr>
          </w:p>
          <w:p w14:paraId="40EC3CDA" w14:textId="77777777" w:rsidR="00C76CCF" w:rsidRPr="00C76CCF" w:rsidRDefault="00C76CCF" w:rsidP="00C76CCF">
            <w:pPr>
              <w:keepNext/>
              <w:contextualSpacing/>
              <w:jc w:val="center"/>
              <w:rPr>
                <w:rFonts w:cs="Arial"/>
              </w:rPr>
            </w:pPr>
          </w:p>
          <w:p w14:paraId="41E75BF9" w14:textId="77777777" w:rsidR="00C76CCF" w:rsidRPr="00C76CCF" w:rsidRDefault="00C76CCF" w:rsidP="00C76CCF">
            <w:pPr>
              <w:keepNext/>
              <w:contextualSpacing/>
              <w:jc w:val="center"/>
              <w:rPr>
                <w:rFonts w:cs="Arial"/>
              </w:rPr>
            </w:pPr>
            <w:r w:rsidRPr="00C76CCF">
              <w:rPr>
                <w:rFonts w:cs="Arial"/>
              </w:rPr>
              <w:t>46.1</w:t>
            </w:r>
          </w:p>
          <w:p w14:paraId="63C0450F" w14:textId="77777777" w:rsidR="00C76CCF" w:rsidRPr="00C76CCF" w:rsidRDefault="00C76CCF" w:rsidP="00C76CCF">
            <w:pPr>
              <w:keepNext/>
              <w:contextualSpacing/>
              <w:jc w:val="center"/>
              <w:rPr>
                <w:rFonts w:cs="Arial"/>
              </w:rPr>
            </w:pPr>
            <w:r w:rsidRPr="00C76CCF">
              <w:rPr>
                <w:rFonts w:cs="Arial"/>
              </w:rPr>
              <w:t>1.7</w:t>
            </w:r>
          </w:p>
          <w:p w14:paraId="622635FA" w14:textId="77777777" w:rsidR="00C76CCF" w:rsidRPr="00C76CCF" w:rsidRDefault="00C76CCF" w:rsidP="00C76CCF">
            <w:pPr>
              <w:keepNext/>
              <w:contextualSpacing/>
              <w:jc w:val="center"/>
              <w:rPr>
                <w:rFonts w:cs="Arial"/>
              </w:rPr>
            </w:pPr>
            <w:r w:rsidRPr="00C76CCF">
              <w:rPr>
                <w:rFonts w:cs="Arial"/>
              </w:rPr>
              <w:t>5.2</w:t>
            </w:r>
          </w:p>
        </w:tc>
        <w:tc>
          <w:tcPr>
            <w:tcW w:w="1678" w:type="dxa"/>
            <w:vAlign w:val="center"/>
          </w:tcPr>
          <w:p w14:paraId="6EF19661" w14:textId="77777777" w:rsidR="00C76CCF" w:rsidRPr="00C76CCF" w:rsidRDefault="00C76CCF" w:rsidP="00C76CCF">
            <w:pPr>
              <w:keepNext/>
              <w:contextualSpacing/>
              <w:jc w:val="center"/>
              <w:rPr>
                <w:rFonts w:cs="Arial"/>
              </w:rPr>
            </w:pPr>
          </w:p>
          <w:p w14:paraId="4522E9EB" w14:textId="77777777" w:rsidR="00C76CCF" w:rsidRPr="00C76CCF" w:rsidRDefault="00C76CCF" w:rsidP="00C76CCF">
            <w:pPr>
              <w:keepNext/>
              <w:contextualSpacing/>
              <w:jc w:val="center"/>
              <w:rPr>
                <w:rFonts w:cs="Arial"/>
              </w:rPr>
            </w:pPr>
          </w:p>
          <w:p w14:paraId="6774BEC0" w14:textId="77777777" w:rsidR="00C76CCF" w:rsidRPr="00C76CCF" w:rsidRDefault="00C76CCF" w:rsidP="00C76CCF">
            <w:pPr>
              <w:keepNext/>
              <w:contextualSpacing/>
              <w:jc w:val="center"/>
              <w:rPr>
                <w:rFonts w:cs="Arial"/>
              </w:rPr>
            </w:pPr>
          </w:p>
          <w:p w14:paraId="04C6B88D" w14:textId="77777777" w:rsidR="00C76CCF" w:rsidRPr="00C76CCF" w:rsidRDefault="00C76CCF" w:rsidP="00C76CCF">
            <w:pPr>
              <w:keepNext/>
              <w:contextualSpacing/>
              <w:jc w:val="center"/>
              <w:rPr>
                <w:rFonts w:cs="Arial"/>
              </w:rPr>
            </w:pPr>
            <w:r w:rsidRPr="00C76CCF">
              <w:rPr>
                <w:rFonts w:cs="Arial"/>
              </w:rPr>
              <w:t>46.5</w:t>
            </w:r>
          </w:p>
          <w:p w14:paraId="56A2A2CF" w14:textId="77777777" w:rsidR="00C76CCF" w:rsidRPr="00C76CCF" w:rsidRDefault="00C76CCF" w:rsidP="00C76CCF">
            <w:pPr>
              <w:keepNext/>
              <w:contextualSpacing/>
              <w:jc w:val="center"/>
              <w:rPr>
                <w:rFonts w:cs="Arial"/>
              </w:rPr>
            </w:pPr>
            <w:r w:rsidRPr="00C76CCF">
              <w:rPr>
                <w:rFonts w:cs="Arial"/>
              </w:rPr>
              <w:t>1.7</w:t>
            </w:r>
          </w:p>
          <w:p w14:paraId="384CB1C5" w14:textId="77777777" w:rsidR="00C76CCF" w:rsidRPr="00C76CCF" w:rsidRDefault="00C76CCF" w:rsidP="00C76CCF">
            <w:pPr>
              <w:keepNext/>
              <w:contextualSpacing/>
              <w:jc w:val="center"/>
              <w:rPr>
                <w:rFonts w:cs="Arial"/>
              </w:rPr>
            </w:pPr>
            <w:r w:rsidRPr="00C76CCF">
              <w:rPr>
                <w:rFonts w:cs="Arial"/>
              </w:rPr>
              <w:t>5.0</w:t>
            </w:r>
          </w:p>
        </w:tc>
        <w:tc>
          <w:tcPr>
            <w:tcW w:w="1677" w:type="dxa"/>
            <w:shd w:val="clear" w:color="auto" w:fill="auto"/>
            <w:vAlign w:val="center"/>
          </w:tcPr>
          <w:p w14:paraId="714CB2D9" w14:textId="77777777" w:rsidR="00C76CCF" w:rsidRPr="00C76CCF" w:rsidRDefault="00C76CCF" w:rsidP="00C76CCF">
            <w:pPr>
              <w:keepNext/>
              <w:contextualSpacing/>
              <w:jc w:val="center"/>
              <w:rPr>
                <w:rFonts w:cs="Arial"/>
              </w:rPr>
            </w:pPr>
          </w:p>
          <w:p w14:paraId="26761855" w14:textId="77777777" w:rsidR="00C76CCF" w:rsidRPr="00C76CCF" w:rsidRDefault="00C76CCF" w:rsidP="00C76CCF">
            <w:pPr>
              <w:keepNext/>
              <w:contextualSpacing/>
              <w:jc w:val="center"/>
              <w:rPr>
                <w:rFonts w:cs="Arial"/>
              </w:rPr>
            </w:pPr>
          </w:p>
          <w:p w14:paraId="1B904521" w14:textId="77777777" w:rsidR="00C76CCF" w:rsidRPr="00C76CCF" w:rsidRDefault="00C76CCF" w:rsidP="00C76CCF">
            <w:pPr>
              <w:keepNext/>
              <w:contextualSpacing/>
              <w:jc w:val="center"/>
              <w:rPr>
                <w:rFonts w:cs="Arial"/>
              </w:rPr>
            </w:pPr>
          </w:p>
          <w:p w14:paraId="08B8CB13" w14:textId="77777777" w:rsidR="00C76CCF" w:rsidRPr="00C76CCF" w:rsidRDefault="00C76CCF" w:rsidP="00C76CCF">
            <w:pPr>
              <w:keepNext/>
              <w:contextualSpacing/>
              <w:jc w:val="center"/>
              <w:rPr>
                <w:rFonts w:cs="Arial"/>
              </w:rPr>
            </w:pPr>
            <w:r w:rsidRPr="00C76CCF">
              <w:rPr>
                <w:rFonts w:cs="Arial"/>
              </w:rPr>
              <w:t>46.0</w:t>
            </w:r>
          </w:p>
          <w:p w14:paraId="34534157" w14:textId="77777777" w:rsidR="00C76CCF" w:rsidRPr="00C76CCF" w:rsidRDefault="00C76CCF" w:rsidP="00C76CCF">
            <w:pPr>
              <w:keepNext/>
              <w:contextualSpacing/>
              <w:jc w:val="center"/>
              <w:rPr>
                <w:rFonts w:cs="Arial"/>
              </w:rPr>
            </w:pPr>
            <w:r w:rsidRPr="00C76CCF">
              <w:rPr>
                <w:rFonts w:cs="Arial"/>
              </w:rPr>
              <w:t>1.5</w:t>
            </w:r>
          </w:p>
          <w:p w14:paraId="78FE6B3D" w14:textId="77777777" w:rsidR="00C76CCF" w:rsidRPr="00C76CCF" w:rsidRDefault="00C76CCF" w:rsidP="00C76CCF">
            <w:pPr>
              <w:keepNext/>
              <w:contextualSpacing/>
              <w:jc w:val="center"/>
              <w:rPr>
                <w:rFonts w:cs="Arial"/>
              </w:rPr>
            </w:pPr>
            <w:r w:rsidRPr="00C76CCF">
              <w:rPr>
                <w:rFonts w:cs="Arial"/>
              </w:rPr>
              <w:t>4.9</w:t>
            </w:r>
          </w:p>
        </w:tc>
        <w:tc>
          <w:tcPr>
            <w:tcW w:w="1677" w:type="dxa"/>
            <w:shd w:val="clear" w:color="auto" w:fill="auto"/>
            <w:vAlign w:val="center"/>
          </w:tcPr>
          <w:p w14:paraId="5364EBAF" w14:textId="77777777" w:rsidR="00C76CCF" w:rsidRPr="00C76CCF" w:rsidRDefault="00C76CCF" w:rsidP="00C76CCF">
            <w:pPr>
              <w:keepNext/>
              <w:contextualSpacing/>
              <w:jc w:val="center"/>
              <w:rPr>
                <w:rFonts w:cs="Arial"/>
              </w:rPr>
            </w:pPr>
          </w:p>
          <w:p w14:paraId="61B28166" w14:textId="77777777" w:rsidR="00C76CCF" w:rsidRPr="00C76CCF" w:rsidRDefault="00C76CCF" w:rsidP="00C76CCF">
            <w:pPr>
              <w:keepNext/>
              <w:contextualSpacing/>
              <w:jc w:val="center"/>
              <w:rPr>
                <w:rFonts w:cs="Arial"/>
              </w:rPr>
            </w:pPr>
          </w:p>
          <w:p w14:paraId="181B0451" w14:textId="77777777" w:rsidR="00C76CCF" w:rsidRPr="00C76CCF" w:rsidRDefault="00C76CCF" w:rsidP="00C76CCF">
            <w:pPr>
              <w:keepNext/>
              <w:contextualSpacing/>
              <w:jc w:val="center"/>
              <w:rPr>
                <w:rFonts w:cs="Arial"/>
              </w:rPr>
            </w:pPr>
          </w:p>
          <w:p w14:paraId="5F815E3B" w14:textId="78D9EEC9" w:rsidR="00C76CCF" w:rsidRPr="00C76CCF" w:rsidRDefault="00C76CCF" w:rsidP="00C76CCF">
            <w:pPr>
              <w:keepNext/>
              <w:contextualSpacing/>
              <w:jc w:val="center"/>
              <w:rPr>
                <w:rFonts w:cs="Arial"/>
              </w:rPr>
            </w:pPr>
            <w:r w:rsidRPr="00C76CCF">
              <w:rPr>
                <w:rFonts w:cs="Arial"/>
              </w:rPr>
              <w:t xml:space="preserve">39.7 </w:t>
            </w:r>
            <w:r w:rsidR="009C41D8">
              <w:rPr>
                <w:rFonts w:cs="Arial"/>
                <w:vertAlign w:val="superscript"/>
              </w:rPr>
              <w:t>v</w:t>
            </w:r>
          </w:p>
          <w:p w14:paraId="0108F03A" w14:textId="77777777" w:rsidR="00C76CCF" w:rsidRPr="00C76CCF" w:rsidRDefault="00C76CCF" w:rsidP="00C76CCF">
            <w:pPr>
              <w:keepNext/>
              <w:contextualSpacing/>
              <w:jc w:val="center"/>
              <w:rPr>
                <w:rFonts w:cs="Arial"/>
              </w:rPr>
            </w:pPr>
            <w:r w:rsidRPr="00C76CCF">
              <w:rPr>
                <w:rFonts w:cs="Arial"/>
              </w:rPr>
              <w:t>1.5</w:t>
            </w:r>
          </w:p>
          <w:p w14:paraId="4EF49F09" w14:textId="77777777" w:rsidR="00C76CCF" w:rsidRPr="00C76CCF" w:rsidRDefault="00C76CCF" w:rsidP="00C76CCF">
            <w:pPr>
              <w:keepNext/>
              <w:contextualSpacing/>
              <w:jc w:val="center"/>
              <w:rPr>
                <w:rFonts w:cs="Arial"/>
              </w:rPr>
            </w:pPr>
            <w:r w:rsidRPr="00C76CCF">
              <w:rPr>
                <w:rFonts w:cs="Arial"/>
              </w:rPr>
              <w:t>4.9</w:t>
            </w:r>
          </w:p>
        </w:tc>
        <w:tc>
          <w:tcPr>
            <w:tcW w:w="1678" w:type="dxa"/>
            <w:shd w:val="clear" w:color="auto" w:fill="FFFFFF" w:themeFill="background1"/>
            <w:vAlign w:val="center"/>
          </w:tcPr>
          <w:p w14:paraId="1985FE6E" w14:textId="77777777" w:rsidR="00C76CCF" w:rsidRPr="00C76CCF" w:rsidRDefault="00C76CCF" w:rsidP="00C76CCF">
            <w:pPr>
              <w:keepNext/>
              <w:contextualSpacing/>
              <w:jc w:val="center"/>
              <w:rPr>
                <w:rFonts w:cs="Arial"/>
              </w:rPr>
            </w:pPr>
          </w:p>
          <w:p w14:paraId="447E7EF4" w14:textId="77777777" w:rsidR="00C76CCF" w:rsidRPr="00C76CCF" w:rsidRDefault="00C76CCF" w:rsidP="00C76CCF">
            <w:pPr>
              <w:keepNext/>
              <w:contextualSpacing/>
              <w:jc w:val="center"/>
              <w:rPr>
                <w:rFonts w:cs="Arial"/>
              </w:rPr>
            </w:pPr>
          </w:p>
          <w:p w14:paraId="43D92AEF" w14:textId="77777777" w:rsidR="00C76CCF" w:rsidRPr="00C76CCF" w:rsidRDefault="00C76CCF" w:rsidP="00C76CCF">
            <w:pPr>
              <w:keepNext/>
              <w:contextualSpacing/>
              <w:jc w:val="center"/>
              <w:rPr>
                <w:rFonts w:cs="Arial"/>
              </w:rPr>
            </w:pPr>
          </w:p>
          <w:p w14:paraId="7D50F9EC" w14:textId="77777777" w:rsidR="00C76CCF" w:rsidRPr="00C76CCF" w:rsidRDefault="00C76CCF" w:rsidP="00C76CCF">
            <w:pPr>
              <w:keepNext/>
              <w:contextualSpacing/>
              <w:jc w:val="center"/>
              <w:rPr>
                <w:rFonts w:cs="Arial"/>
              </w:rPr>
            </w:pPr>
            <w:r w:rsidRPr="00C76CCF">
              <w:rPr>
                <w:rFonts w:cs="Arial"/>
              </w:rPr>
              <w:t>46.1</w:t>
            </w:r>
          </w:p>
          <w:p w14:paraId="2690D08A" w14:textId="77777777" w:rsidR="00C76CCF" w:rsidRPr="00C76CCF" w:rsidRDefault="00C76CCF" w:rsidP="00C76CCF">
            <w:pPr>
              <w:keepNext/>
              <w:contextualSpacing/>
              <w:jc w:val="center"/>
              <w:rPr>
                <w:rFonts w:cs="Arial"/>
              </w:rPr>
            </w:pPr>
            <w:r w:rsidRPr="00C76CCF">
              <w:rPr>
                <w:rFonts w:cs="Arial"/>
              </w:rPr>
              <w:t>1.7</w:t>
            </w:r>
          </w:p>
          <w:p w14:paraId="1C9D1713" w14:textId="77777777" w:rsidR="00C76CCF" w:rsidRPr="00C76CCF" w:rsidRDefault="00C76CCF" w:rsidP="00C76CCF">
            <w:pPr>
              <w:keepNext/>
              <w:contextualSpacing/>
              <w:jc w:val="center"/>
              <w:rPr>
                <w:rFonts w:cs="Arial"/>
              </w:rPr>
            </w:pPr>
            <w:r w:rsidRPr="00C76CCF">
              <w:rPr>
                <w:rFonts w:cs="Arial"/>
              </w:rPr>
              <w:t>5.3</w:t>
            </w:r>
          </w:p>
        </w:tc>
      </w:tr>
    </w:tbl>
    <w:p w14:paraId="70B163E1" w14:textId="77777777" w:rsidR="00F82BB7" w:rsidRDefault="00F82BB7" w:rsidP="00D43894">
      <w:pPr>
        <w:pStyle w:val="ListParagraph"/>
        <w:spacing w:after="60"/>
        <w:contextualSpacing w:val="0"/>
        <w:jc w:val="both"/>
        <w:rPr>
          <w:rFonts w:asciiTheme="minorHAnsi" w:eastAsiaTheme="minorHAnsi" w:hAnsiTheme="minorHAnsi" w:cstheme="minorBidi"/>
          <w:sz w:val="20"/>
          <w:szCs w:val="20"/>
          <w:lang w:eastAsia="en-US"/>
        </w:rPr>
      </w:pPr>
    </w:p>
    <w:p w14:paraId="591980C3" w14:textId="3C465180" w:rsidR="008602BD" w:rsidRPr="003745AF" w:rsidRDefault="008602BD" w:rsidP="008602BD">
      <w:pPr>
        <w:pStyle w:val="ListParagraph"/>
        <w:numPr>
          <w:ilvl w:val="0"/>
          <w:numId w:val="16"/>
        </w:numPr>
        <w:spacing w:after="60"/>
        <w:contextualSpacing w:val="0"/>
        <w:jc w:val="both"/>
        <w:rPr>
          <w:rFonts w:asciiTheme="minorHAnsi" w:eastAsiaTheme="minorHAnsi" w:hAnsiTheme="minorHAnsi" w:cstheme="minorBidi"/>
          <w:sz w:val="20"/>
          <w:szCs w:val="20"/>
          <w:lang w:eastAsia="en-US"/>
        </w:rPr>
      </w:pPr>
      <w:r w:rsidRPr="003745AF">
        <w:rPr>
          <w:rFonts w:asciiTheme="minorHAnsi" w:eastAsiaTheme="minorHAnsi" w:hAnsiTheme="minorHAnsi" w:cstheme="minorBidi"/>
          <w:sz w:val="20"/>
          <w:szCs w:val="20"/>
          <w:lang w:eastAsia="en-US"/>
        </w:rPr>
        <w:t xml:space="preserve">A decision was made in the previous term of Government to update the department’s Information System which meant that corporate data for reporting would be unavailable for </w:t>
      </w:r>
      <w:proofErr w:type="gramStart"/>
      <w:r w:rsidRPr="003745AF">
        <w:rPr>
          <w:rFonts w:asciiTheme="minorHAnsi" w:eastAsiaTheme="minorHAnsi" w:hAnsiTheme="minorHAnsi" w:cstheme="minorBidi"/>
          <w:sz w:val="20"/>
          <w:szCs w:val="20"/>
          <w:lang w:eastAsia="en-US"/>
        </w:rPr>
        <w:t>a number of</w:t>
      </w:r>
      <w:proofErr w:type="gramEnd"/>
      <w:r w:rsidRPr="003745AF">
        <w:rPr>
          <w:rFonts w:asciiTheme="minorHAnsi" w:eastAsiaTheme="minorHAnsi" w:hAnsiTheme="minorHAnsi" w:cstheme="minorBidi"/>
          <w:sz w:val="20"/>
          <w:szCs w:val="20"/>
          <w:lang w:eastAsia="en-US"/>
        </w:rPr>
        <w:t xml:space="preserve"> months. The newly established DYJVS has prioritised workarounds </w:t>
      </w:r>
      <w:r>
        <w:rPr>
          <w:rFonts w:asciiTheme="minorHAnsi" w:eastAsiaTheme="minorHAnsi" w:hAnsiTheme="minorHAnsi" w:cstheme="minorBidi"/>
          <w:sz w:val="20"/>
          <w:szCs w:val="20"/>
          <w:lang w:eastAsia="en-US"/>
        </w:rPr>
        <w:t xml:space="preserve">(which may represent a marginal undercount) </w:t>
      </w:r>
      <w:r w:rsidRPr="003745AF">
        <w:rPr>
          <w:rFonts w:asciiTheme="minorHAnsi" w:eastAsiaTheme="minorHAnsi" w:hAnsiTheme="minorHAnsi" w:cstheme="minorBidi"/>
          <w:sz w:val="20"/>
          <w:szCs w:val="20"/>
          <w:lang w:eastAsia="en-US"/>
        </w:rPr>
        <w:t>to ensure data can be reported while the work on the new Unify information system reporting capability is completed</w:t>
      </w:r>
      <w:r>
        <w:rPr>
          <w:rFonts w:asciiTheme="minorHAnsi" w:eastAsiaTheme="minorHAnsi" w:hAnsiTheme="minorHAnsi" w:cstheme="minorBidi"/>
          <w:sz w:val="20"/>
          <w:szCs w:val="20"/>
          <w:lang w:eastAsia="en-US"/>
        </w:rPr>
        <w:t>.</w:t>
      </w:r>
    </w:p>
    <w:p w14:paraId="426D94F4" w14:textId="431933EE" w:rsidR="008602BD" w:rsidRPr="003745AF" w:rsidRDefault="008602BD" w:rsidP="008602BD">
      <w:pPr>
        <w:pStyle w:val="ListParagraph"/>
        <w:numPr>
          <w:ilvl w:val="0"/>
          <w:numId w:val="16"/>
        </w:numPr>
        <w:spacing w:after="60"/>
        <w:contextualSpacing w:val="0"/>
        <w:jc w:val="both"/>
        <w:rPr>
          <w:rFonts w:asciiTheme="minorHAnsi" w:eastAsiaTheme="minorHAnsi" w:hAnsiTheme="minorHAnsi" w:cstheme="minorBidi"/>
          <w:sz w:val="20"/>
          <w:szCs w:val="20"/>
          <w:lang w:eastAsia="en-US"/>
        </w:rPr>
      </w:pPr>
      <w:r w:rsidRPr="00A12E4A">
        <w:rPr>
          <w:rFonts w:asciiTheme="minorHAnsi" w:eastAsiaTheme="minorHAnsi" w:hAnsiTheme="minorHAnsi" w:cstheme="minorBidi"/>
          <w:sz w:val="20"/>
          <w:szCs w:val="20"/>
          <w:lang w:eastAsia="en-US"/>
        </w:rPr>
        <w:t xml:space="preserve">In contact with Youth Justice is defined as any young person </w:t>
      </w:r>
      <w:r w:rsidRPr="003745AF">
        <w:rPr>
          <w:rFonts w:asciiTheme="minorHAnsi" w:eastAsiaTheme="minorHAnsi" w:hAnsiTheme="minorHAnsi" w:cstheme="minorBidi"/>
          <w:sz w:val="20"/>
          <w:szCs w:val="20"/>
          <w:lang w:eastAsia="en-US"/>
        </w:rPr>
        <w:t>who during the reference period</w:t>
      </w:r>
      <w:r w:rsidRPr="00A12E4A">
        <w:rPr>
          <w:rFonts w:asciiTheme="minorHAnsi" w:eastAsiaTheme="minorHAnsi" w:hAnsiTheme="minorHAnsi" w:cstheme="minorBidi"/>
          <w:sz w:val="20"/>
          <w:szCs w:val="20"/>
          <w:lang w:eastAsia="en-US"/>
        </w:rPr>
        <w:t xml:space="preserve"> was </w:t>
      </w:r>
      <w:r w:rsidRPr="003745AF">
        <w:rPr>
          <w:rFonts w:asciiTheme="minorHAnsi" w:eastAsiaTheme="minorHAnsi" w:hAnsiTheme="minorHAnsi" w:cstheme="minorBidi"/>
          <w:sz w:val="20"/>
          <w:szCs w:val="20"/>
          <w:lang w:eastAsia="en-US"/>
        </w:rPr>
        <w:t>on a sentenced youth justice order (community- or detention-based)</w:t>
      </w:r>
      <w:r w:rsidRPr="00A12E4A">
        <w:rPr>
          <w:rFonts w:asciiTheme="minorHAnsi" w:eastAsiaTheme="minorHAnsi" w:hAnsiTheme="minorHAnsi" w:cstheme="minorBidi"/>
          <w:sz w:val="20"/>
          <w:szCs w:val="20"/>
          <w:lang w:eastAsia="en-US"/>
        </w:rPr>
        <w:t>,</w:t>
      </w:r>
      <w:r w:rsidRPr="003745AF">
        <w:rPr>
          <w:rFonts w:asciiTheme="minorHAnsi" w:eastAsiaTheme="minorHAnsi" w:hAnsiTheme="minorHAnsi" w:cstheme="minorBidi"/>
          <w:sz w:val="20"/>
          <w:szCs w:val="20"/>
          <w:lang w:eastAsia="en-US"/>
        </w:rPr>
        <w:t xml:space="preserve"> </w:t>
      </w:r>
      <w:r w:rsidRPr="00A12E4A">
        <w:rPr>
          <w:rFonts w:asciiTheme="minorHAnsi" w:eastAsiaTheme="minorHAnsi" w:hAnsiTheme="minorHAnsi" w:cstheme="minorBidi"/>
          <w:sz w:val="20"/>
          <w:szCs w:val="20"/>
          <w:lang w:eastAsia="en-US"/>
        </w:rPr>
        <w:t xml:space="preserve">was on a </w:t>
      </w:r>
      <w:r w:rsidRPr="003745AF">
        <w:rPr>
          <w:rFonts w:asciiTheme="minorHAnsi" w:eastAsiaTheme="minorHAnsi" w:hAnsiTheme="minorHAnsi" w:cstheme="minorBidi"/>
          <w:sz w:val="20"/>
          <w:szCs w:val="20"/>
          <w:lang w:eastAsia="en-US"/>
        </w:rPr>
        <w:t>conditional bail program</w:t>
      </w:r>
      <w:r w:rsidRPr="00A12E4A">
        <w:rPr>
          <w:rFonts w:asciiTheme="minorHAnsi" w:eastAsiaTheme="minorHAnsi" w:hAnsiTheme="minorHAnsi" w:cstheme="minorBidi"/>
          <w:sz w:val="20"/>
          <w:szCs w:val="20"/>
          <w:lang w:eastAsia="en-US"/>
        </w:rPr>
        <w:t xml:space="preserve">, </w:t>
      </w:r>
      <w:r w:rsidRPr="003745AF">
        <w:rPr>
          <w:rFonts w:asciiTheme="minorHAnsi" w:eastAsiaTheme="minorHAnsi" w:hAnsiTheme="minorHAnsi" w:cstheme="minorBidi"/>
          <w:sz w:val="20"/>
          <w:szCs w:val="20"/>
          <w:lang w:eastAsia="en-US"/>
        </w:rPr>
        <w:t xml:space="preserve">had at least one overnight stay in a youth detention centre (on pre-court custody, court-ordered remand or sentenced detention) or in </w:t>
      </w:r>
      <w:r w:rsidRPr="003745AF">
        <w:rPr>
          <w:rFonts w:asciiTheme="minorHAnsi" w:eastAsiaTheme="minorHAnsi" w:hAnsiTheme="minorHAnsi" w:cstheme="minorBidi"/>
          <w:sz w:val="20"/>
          <w:szCs w:val="20"/>
          <w:lang w:eastAsia="en-US"/>
        </w:rPr>
        <w:lastRenderedPageBreak/>
        <w:t xml:space="preserve">a police watchhouse/police transit (on court-ordered remand or sentenced-detention); </w:t>
      </w:r>
      <w:r w:rsidRPr="00A12E4A">
        <w:rPr>
          <w:rFonts w:asciiTheme="minorHAnsi" w:eastAsiaTheme="minorHAnsi" w:hAnsiTheme="minorHAnsi" w:cstheme="minorBidi"/>
          <w:sz w:val="20"/>
          <w:szCs w:val="20"/>
          <w:lang w:eastAsia="en-US"/>
        </w:rPr>
        <w:t xml:space="preserve">was </w:t>
      </w:r>
      <w:r w:rsidRPr="003745AF">
        <w:rPr>
          <w:rFonts w:asciiTheme="minorHAnsi" w:eastAsiaTheme="minorHAnsi" w:hAnsiTheme="minorHAnsi" w:cstheme="minorBidi"/>
          <w:sz w:val="20"/>
          <w:szCs w:val="20"/>
          <w:lang w:eastAsia="en-US"/>
        </w:rPr>
        <w:t>subject to a pre-sentence report</w:t>
      </w:r>
      <w:r w:rsidRPr="00A12E4A">
        <w:rPr>
          <w:rFonts w:asciiTheme="minorHAnsi" w:eastAsiaTheme="minorHAnsi" w:hAnsiTheme="minorHAnsi" w:cstheme="minorBidi"/>
          <w:sz w:val="20"/>
          <w:szCs w:val="20"/>
          <w:lang w:eastAsia="en-US"/>
        </w:rPr>
        <w:t xml:space="preserve">, </w:t>
      </w:r>
      <w:r w:rsidRPr="003745AF">
        <w:rPr>
          <w:rFonts w:asciiTheme="minorHAnsi" w:eastAsiaTheme="minorHAnsi" w:hAnsiTheme="minorHAnsi" w:cstheme="minorBidi"/>
          <w:sz w:val="20"/>
          <w:szCs w:val="20"/>
          <w:lang w:eastAsia="en-US"/>
        </w:rPr>
        <w:t xml:space="preserve">or had participated in a restorative justice process. </w:t>
      </w:r>
      <w:r w:rsidRPr="00A12E4A">
        <w:rPr>
          <w:rFonts w:asciiTheme="minorHAnsi" w:eastAsiaTheme="minorHAnsi" w:hAnsiTheme="minorHAnsi" w:cstheme="minorBidi"/>
          <w:sz w:val="20"/>
          <w:szCs w:val="20"/>
          <w:lang w:eastAsia="en-US"/>
        </w:rPr>
        <w:t xml:space="preserve">Young people held in a </w:t>
      </w:r>
      <w:proofErr w:type="gramStart"/>
      <w:r w:rsidRPr="00A12E4A">
        <w:rPr>
          <w:rFonts w:asciiTheme="minorHAnsi" w:eastAsiaTheme="minorHAnsi" w:hAnsiTheme="minorHAnsi" w:cstheme="minorBidi"/>
          <w:sz w:val="20"/>
          <w:szCs w:val="20"/>
          <w:lang w:eastAsia="en-US"/>
        </w:rPr>
        <w:t>police</w:t>
      </w:r>
      <w:proofErr w:type="gramEnd"/>
      <w:r w:rsidRPr="00A12E4A">
        <w:rPr>
          <w:rFonts w:asciiTheme="minorHAnsi" w:eastAsiaTheme="minorHAnsi" w:hAnsiTheme="minorHAnsi" w:cstheme="minorBidi"/>
          <w:sz w:val="20"/>
          <w:szCs w:val="20"/>
          <w:lang w:eastAsia="en-US"/>
        </w:rPr>
        <w:t xml:space="preserve"> watchhouse on pre-court custody only are excluded from the count. </w:t>
      </w:r>
      <w:r w:rsidRPr="003745AF">
        <w:rPr>
          <w:rFonts w:asciiTheme="minorHAnsi" w:eastAsiaTheme="minorHAnsi" w:hAnsiTheme="minorHAnsi" w:cstheme="minorBidi"/>
          <w:sz w:val="20"/>
          <w:szCs w:val="20"/>
          <w:lang w:eastAsia="en-US"/>
        </w:rPr>
        <w:t xml:space="preserve">In the 12 months to </w:t>
      </w:r>
      <w:r w:rsidRPr="00C76CCF">
        <w:rPr>
          <w:rFonts w:asciiTheme="minorHAnsi" w:eastAsiaTheme="minorHAnsi" w:hAnsiTheme="minorHAnsi" w:cstheme="minorBidi"/>
          <w:sz w:val="20"/>
          <w:szCs w:val="20"/>
          <w:lang w:eastAsia="en-US"/>
        </w:rPr>
        <w:t>31 December 2024, there were 1,820 Aboriginal and Torres Strait Islander young people, 1,584 other young people, and a total of 3,404 young people who had contact with Youth Justice.</w:t>
      </w:r>
    </w:p>
    <w:p w14:paraId="0310BD26" w14:textId="6736D91B" w:rsidR="009C41D8" w:rsidRPr="00C76CCF" w:rsidRDefault="008602BD" w:rsidP="00F57A43">
      <w:pPr>
        <w:pStyle w:val="ListParagraph"/>
        <w:numPr>
          <w:ilvl w:val="0"/>
          <w:numId w:val="16"/>
        </w:numPr>
        <w:spacing w:after="60"/>
        <w:contextualSpacing w:val="0"/>
        <w:jc w:val="both"/>
        <w:rPr>
          <w:rFonts w:asciiTheme="minorHAnsi" w:eastAsiaTheme="minorHAnsi" w:hAnsiTheme="minorHAnsi" w:cstheme="minorBidi"/>
          <w:sz w:val="20"/>
          <w:szCs w:val="20"/>
          <w:lang w:eastAsia="en-US"/>
        </w:rPr>
      </w:pPr>
      <w:r w:rsidRPr="009C41D8">
        <w:rPr>
          <w:rFonts w:asciiTheme="minorHAnsi" w:eastAsiaTheme="minorHAnsi" w:hAnsiTheme="minorHAnsi" w:cstheme="minorBidi"/>
          <w:sz w:val="20"/>
          <w:szCs w:val="20"/>
          <w:lang w:eastAsia="en-US"/>
        </w:rPr>
        <w:t xml:space="preserve">Serious Repeat Offender Declarations came into effect on 22 March 2023. To calculate the percentage of youth declared a Serious Repeat Offender, only those youth with a proven finalised offence from the date the legislation came into effect are used in the denominator. This means that those youth who may have had a proven offence finalised prior to 22 March 2023 are not included in percentage calculations for the applicable period. </w:t>
      </w:r>
      <w:r w:rsidR="005C4222" w:rsidRPr="005C4222">
        <w:rPr>
          <w:rFonts w:asciiTheme="minorHAnsi" w:eastAsiaTheme="minorHAnsi" w:hAnsiTheme="minorHAnsi" w:cstheme="minorBidi"/>
          <w:sz w:val="20"/>
          <w:szCs w:val="20"/>
          <w:lang w:eastAsia="en-US"/>
        </w:rPr>
        <w:t>Data on young people declared a Serious Repeat Offender are based on a</w:t>
      </w:r>
      <w:r w:rsidR="005C4222" w:rsidRPr="005C4222">
        <w:rPr>
          <w:rFonts w:asciiTheme="minorHAnsi" w:eastAsiaTheme="minorHAnsi" w:hAnsiTheme="minorHAnsi" w:cstheme="minorBidi"/>
          <w:b/>
          <w:bCs/>
          <w:sz w:val="20"/>
          <w:szCs w:val="20"/>
          <w:lang w:eastAsia="en-US"/>
        </w:rPr>
        <w:t xml:space="preserve"> </w:t>
      </w:r>
      <w:r w:rsidR="005C4222" w:rsidRPr="005C4222">
        <w:rPr>
          <w:rFonts w:asciiTheme="minorHAnsi" w:eastAsiaTheme="minorHAnsi" w:hAnsiTheme="minorHAnsi" w:cstheme="minorBidi"/>
          <w:sz w:val="20"/>
          <w:szCs w:val="20"/>
          <w:lang w:eastAsia="en-US"/>
        </w:rPr>
        <w:t>manual collection</w:t>
      </w:r>
      <w:r w:rsidR="005C4222">
        <w:rPr>
          <w:rFonts w:asciiTheme="minorHAnsi" w:eastAsiaTheme="minorHAnsi" w:hAnsiTheme="minorHAnsi" w:cstheme="minorBidi"/>
          <w:sz w:val="20"/>
          <w:szCs w:val="20"/>
          <w:lang w:eastAsia="en-US"/>
        </w:rPr>
        <w:t xml:space="preserve">. </w:t>
      </w:r>
      <w:r w:rsidRPr="009C41D8">
        <w:rPr>
          <w:rFonts w:asciiTheme="minorHAnsi" w:eastAsiaTheme="minorHAnsi" w:hAnsiTheme="minorHAnsi" w:cstheme="minorBidi"/>
          <w:sz w:val="20"/>
          <w:szCs w:val="20"/>
          <w:lang w:eastAsia="en-US"/>
        </w:rPr>
        <w:t xml:space="preserve">In the 12 months to </w:t>
      </w:r>
      <w:r w:rsidR="009C41D8" w:rsidRPr="00C76CCF">
        <w:rPr>
          <w:rFonts w:asciiTheme="minorHAnsi" w:eastAsiaTheme="minorHAnsi" w:hAnsiTheme="minorHAnsi" w:cstheme="minorBidi"/>
          <w:sz w:val="20"/>
          <w:szCs w:val="20"/>
          <w:lang w:eastAsia="en-US"/>
        </w:rPr>
        <w:t>31 December 2024, there were 37 declarations relating to 36 distinct young people, out of a total of 3,195 distinct young people with a proven finalised offence.</w:t>
      </w:r>
    </w:p>
    <w:p w14:paraId="1B4065CF" w14:textId="07F0671F" w:rsidR="009C41D8" w:rsidRDefault="008602BD" w:rsidP="008602BD">
      <w:pPr>
        <w:numPr>
          <w:ilvl w:val="0"/>
          <w:numId w:val="16"/>
        </w:numPr>
        <w:spacing w:after="60"/>
        <w:jc w:val="both"/>
        <w:rPr>
          <w:rFonts w:asciiTheme="minorHAnsi" w:eastAsiaTheme="minorHAnsi" w:hAnsiTheme="minorHAnsi" w:cstheme="minorBidi"/>
          <w:sz w:val="20"/>
          <w:szCs w:val="20"/>
          <w:lang w:eastAsia="en-US"/>
        </w:rPr>
      </w:pPr>
      <w:r w:rsidRPr="009C41D8">
        <w:rPr>
          <w:rFonts w:asciiTheme="minorHAnsi" w:eastAsiaTheme="minorHAnsi" w:hAnsiTheme="minorHAnsi" w:cstheme="minorBidi"/>
          <w:sz w:val="20"/>
          <w:szCs w:val="20"/>
          <w:lang w:eastAsia="en-US"/>
        </w:rPr>
        <w:t xml:space="preserve">Includes youth in a youth detention centre on pre-court custody, court-ordered remand, or sentenced detention. Excludes youth held in police watchhouses with any legal status. The actual average daily count for the 12 months to </w:t>
      </w:r>
      <w:r w:rsidR="009C41D8" w:rsidRPr="00C76CCF">
        <w:rPr>
          <w:rFonts w:asciiTheme="minorHAnsi" w:eastAsiaTheme="minorHAnsi" w:hAnsiTheme="minorHAnsi" w:cstheme="minorBidi"/>
          <w:sz w:val="20"/>
          <w:szCs w:val="20"/>
          <w:lang w:eastAsia="en-US"/>
        </w:rPr>
        <w:t>31 December 2024 was 203 for Aboriginal and Torres Strait Islander young people, 81 for other young people, and 284 in total.</w:t>
      </w:r>
    </w:p>
    <w:p w14:paraId="7AEC3E27" w14:textId="3044ABFB" w:rsidR="008602BD" w:rsidRPr="00F57A43" w:rsidRDefault="008602BD" w:rsidP="00F57A43">
      <w:pPr>
        <w:numPr>
          <w:ilvl w:val="0"/>
          <w:numId w:val="16"/>
        </w:numPr>
        <w:spacing w:after="60"/>
        <w:jc w:val="both"/>
        <w:rPr>
          <w:rFonts w:asciiTheme="minorHAnsi" w:eastAsiaTheme="minorHAnsi" w:hAnsiTheme="minorHAnsi" w:cstheme="minorBidi"/>
          <w:sz w:val="20"/>
          <w:szCs w:val="20"/>
          <w:lang w:eastAsia="en-US"/>
        </w:rPr>
      </w:pPr>
      <w:r w:rsidRPr="009C41D8">
        <w:rPr>
          <w:rFonts w:asciiTheme="minorHAnsi" w:eastAsiaTheme="minorHAnsi" w:hAnsiTheme="minorHAnsi" w:cstheme="minorBidi"/>
          <w:sz w:val="20"/>
          <w:szCs w:val="20"/>
          <w:lang w:eastAsia="en-US"/>
        </w:rPr>
        <w:t xml:space="preserve">Figures for the 12 months to 31 December 2024 use </w:t>
      </w:r>
      <w:r w:rsidR="00F82BB7">
        <w:rPr>
          <w:rFonts w:asciiTheme="minorHAnsi" w:eastAsiaTheme="minorHAnsi" w:hAnsiTheme="minorHAnsi" w:cstheme="minorBidi"/>
          <w:sz w:val="20"/>
          <w:szCs w:val="20"/>
          <w:lang w:eastAsia="en-US"/>
        </w:rPr>
        <w:t xml:space="preserve">the most </w:t>
      </w:r>
      <w:r w:rsidRPr="009C41D8">
        <w:rPr>
          <w:rFonts w:asciiTheme="minorHAnsi" w:eastAsiaTheme="minorHAnsi" w:hAnsiTheme="minorHAnsi" w:cstheme="minorBidi"/>
          <w:sz w:val="20"/>
          <w:szCs w:val="20"/>
          <w:lang w:eastAsia="en-US"/>
        </w:rPr>
        <w:t xml:space="preserve">recently released 2021 Census-based population estimates derived by the Australian Bureau of Statistics (ABS) and are not directly comparable to those reported for other periods, nor with targets, which use earlier ABS 2016 Census-based population estimates. This </w:t>
      </w:r>
      <w:r w:rsidR="00E564BA">
        <w:rPr>
          <w:rFonts w:asciiTheme="minorHAnsi" w:eastAsiaTheme="minorHAnsi" w:hAnsiTheme="minorHAnsi" w:cstheme="minorBidi"/>
          <w:sz w:val="20"/>
          <w:szCs w:val="20"/>
          <w:lang w:eastAsia="en-US"/>
        </w:rPr>
        <w:t>later</w:t>
      </w:r>
      <w:r w:rsidRPr="009C41D8">
        <w:rPr>
          <w:rFonts w:asciiTheme="minorHAnsi" w:eastAsiaTheme="minorHAnsi" w:hAnsiTheme="minorHAnsi" w:cstheme="minorBidi"/>
          <w:sz w:val="20"/>
          <w:szCs w:val="20"/>
          <w:lang w:eastAsia="en-US"/>
        </w:rPr>
        <w:t xml:space="preserve"> ABS </w:t>
      </w:r>
      <w:r w:rsidR="00E564BA">
        <w:rPr>
          <w:rFonts w:asciiTheme="minorHAnsi" w:eastAsiaTheme="minorHAnsi" w:hAnsiTheme="minorHAnsi" w:cstheme="minorBidi"/>
          <w:sz w:val="20"/>
          <w:szCs w:val="20"/>
          <w:lang w:eastAsia="en-US"/>
        </w:rPr>
        <w:t>2021</w:t>
      </w:r>
      <w:r w:rsidRPr="009C41D8">
        <w:rPr>
          <w:rFonts w:asciiTheme="minorHAnsi" w:eastAsiaTheme="minorHAnsi" w:hAnsiTheme="minorHAnsi" w:cstheme="minorBidi"/>
          <w:sz w:val="20"/>
          <w:szCs w:val="20"/>
          <w:lang w:eastAsia="en-US"/>
        </w:rPr>
        <w:t xml:space="preserve"> release included </w:t>
      </w:r>
      <w:r w:rsidR="00E564BA">
        <w:rPr>
          <w:rFonts w:asciiTheme="minorHAnsi" w:eastAsiaTheme="minorHAnsi" w:hAnsiTheme="minorHAnsi" w:cstheme="minorBidi"/>
          <w:sz w:val="20"/>
          <w:szCs w:val="20"/>
          <w:lang w:eastAsia="en-US"/>
        </w:rPr>
        <w:t>higher</w:t>
      </w:r>
      <w:r w:rsidRPr="009C41D8">
        <w:rPr>
          <w:rFonts w:asciiTheme="minorHAnsi" w:eastAsiaTheme="minorHAnsi" w:hAnsiTheme="minorHAnsi" w:cstheme="minorBidi"/>
          <w:sz w:val="20"/>
          <w:szCs w:val="20"/>
          <w:lang w:eastAsia="en-US"/>
        </w:rPr>
        <w:t xml:space="preserve"> estimates of the 10-17-year-old First Nations population in Queensland, and, in turn, </w:t>
      </w:r>
      <w:r w:rsidR="00E564BA">
        <w:rPr>
          <w:rFonts w:asciiTheme="minorHAnsi" w:eastAsiaTheme="minorHAnsi" w:hAnsiTheme="minorHAnsi" w:cstheme="minorBidi"/>
          <w:sz w:val="20"/>
          <w:szCs w:val="20"/>
          <w:lang w:eastAsia="en-US"/>
        </w:rPr>
        <w:t>lower</w:t>
      </w:r>
      <w:r w:rsidRPr="009C41D8">
        <w:rPr>
          <w:rFonts w:asciiTheme="minorHAnsi" w:eastAsiaTheme="minorHAnsi" w:hAnsiTheme="minorHAnsi" w:cstheme="minorBidi"/>
          <w:sz w:val="20"/>
          <w:szCs w:val="20"/>
          <w:lang w:eastAsia="en-US"/>
        </w:rPr>
        <w:t xml:space="preserve"> representation rates compared with those reported for </w:t>
      </w:r>
      <w:r w:rsidR="00E564BA">
        <w:rPr>
          <w:rFonts w:asciiTheme="minorHAnsi" w:eastAsiaTheme="minorHAnsi" w:hAnsiTheme="minorHAnsi" w:cstheme="minorBidi"/>
          <w:sz w:val="20"/>
          <w:szCs w:val="20"/>
          <w:lang w:eastAsia="en-US"/>
        </w:rPr>
        <w:t>earlier</w:t>
      </w:r>
      <w:r w:rsidRPr="009C41D8">
        <w:rPr>
          <w:rFonts w:asciiTheme="minorHAnsi" w:eastAsiaTheme="minorHAnsi" w:hAnsiTheme="minorHAnsi" w:cstheme="minorBidi"/>
          <w:sz w:val="20"/>
          <w:szCs w:val="20"/>
          <w:lang w:eastAsia="en-US"/>
        </w:rPr>
        <w:t xml:space="preserve"> periods.</w:t>
      </w:r>
    </w:p>
    <w:sectPr w:rsidR="008602BD" w:rsidRPr="00F57A43" w:rsidSect="00C76CCF">
      <w:headerReference w:type="even" r:id="rId11"/>
      <w:headerReference w:type="default" r:id="rId12"/>
      <w:footerReference w:type="even" r:id="rId13"/>
      <w:footerReference w:type="default" r:id="rId14"/>
      <w:headerReference w:type="first" r:id="rId15"/>
      <w:footerReference w:type="first" r:id="rId16"/>
      <w:pgSz w:w="16838" w:h="11906" w:orient="landscape"/>
      <w:pgMar w:top="198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FB5C" w14:textId="77777777" w:rsidR="00871FEF" w:rsidRDefault="00871FEF">
      <w:r>
        <w:separator/>
      </w:r>
    </w:p>
  </w:endnote>
  <w:endnote w:type="continuationSeparator" w:id="0">
    <w:p w14:paraId="2A0AA476" w14:textId="77777777" w:rsidR="00871FEF" w:rsidRDefault="0087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C06B" w14:textId="77777777" w:rsidR="001A4439" w:rsidRDefault="001A4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C751" w14:textId="77777777" w:rsidR="001A4439" w:rsidRDefault="001A4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F994" w14:textId="77777777" w:rsidR="001A4439" w:rsidRDefault="001A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CA6D" w14:textId="77777777" w:rsidR="00871FEF" w:rsidRDefault="00871FEF">
      <w:r>
        <w:separator/>
      </w:r>
    </w:p>
  </w:footnote>
  <w:footnote w:type="continuationSeparator" w:id="0">
    <w:p w14:paraId="5C7E4347" w14:textId="77777777" w:rsidR="00871FEF" w:rsidRDefault="0087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F8C3" w14:textId="3241E6C7" w:rsidR="001A4439" w:rsidRDefault="001A4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EF3D" w14:textId="253F368A" w:rsidR="00951771" w:rsidRDefault="00951771">
    <w:pPr>
      <w:pStyle w:val="Header"/>
    </w:pPr>
    <w:r>
      <w:rPr>
        <w:noProof/>
      </w:rPr>
      <w:drawing>
        <wp:anchor distT="0" distB="0" distL="114300" distR="114300" simplePos="0" relativeHeight="251660288" behindDoc="1" locked="0" layoutInCell="1" allowOverlap="1" wp14:anchorId="2207E887" wp14:editId="24705611">
          <wp:simplePos x="0" y="0"/>
          <wp:positionH relativeFrom="page">
            <wp:posOffset>0</wp:posOffset>
          </wp:positionH>
          <wp:positionV relativeFrom="page">
            <wp:posOffset>-10714</wp:posOffset>
          </wp:positionV>
          <wp:extent cx="10757173" cy="7604842"/>
          <wp:effectExtent l="0" t="0" r="6350" b="0"/>
          <wp:wrapNone/>
          <wp:docPr id="1592557776" name="Picture 159255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10757173" cy="760484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3495" w14:textId="6EB509B2" w:rsidR="00951771" w:rsidRDefault="00C76CCF">
    <w:pPr>
      <w:pStyle w:val="Header"/>
    </w:pPr>
    <w:r>
      <w:rPr>
        <w:noProof/>
      </w:rPr>
      <w:drawing>
        <wp:anchor distT="0" distB="0" distL="114300" distR="114300" simplePos="0" relativeHeight="251663360" behindDoc="1" locked="0" layoutInCell="1" allowOverlap="1" wp14:anchorId="026C5A3C" wp14:editId="11CE55DD">
          <wp:simplePos x="0" y="0"/>
          <wp:positionH relativeFrom="page">
            <wp:posOffset>0</wp:posOffset>
          </wp:positionH>
          <wp:positionV relativeFrom="page">
            <wp:posOffset>0</wp:posOffset>
          </wp:positionV>
          <wp:extent cx="10757173" cy="7604842"/>
          <wp:effectExtent l="0" t="0" r="6350" b="0"/>
          <wp:wrapNone/>
          <wp:docPr id="1831941252" name="Picture 183194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10757173" cy="7604842"/>
                  </a:xfrm>
                  <a:prstGeom prst="rect">
                    <a:avLst/>
                  </a:prstGeom>
                </pic:spPr>
              </pic:pic>
            </a:graphicData>
          </a:graphic>
          <wp14:sizeRelH relativeFrom="margin">
            <wp14:pctWidth>0</wp14:pctWidth>
          </wp14:sizeRelH>
          <wp14:sizeRelV relativeFrom="margin">
            <wp14:pctHeight>0</wp14:pctHeight>
          </wp14:sizeRelV>
        </wp:anchor>
      </w:drawing>
    </w:r>
    <w:r w:rsidR="00951771">
      <w:rPr>
        <w:noProof/>
      </w:rPr>
      <w:drawing>
        <wp:anchor distT="0" distB="0" distL="114300" distR="114300" simplePos="0" relativeHeight="251661312" behindDoc="1" locked="0" layoutInCell="1" allowOverlap="1" wp14:anchorId="1BB1DB70" wp14:editId="5AEBF1D3">
          <wp:simplePos x="0" y="0"/>
          <wp:positionH relativeFrom="page">
            <wp:align>right</wp:align>
          </wp:positionH>
          <wp:positionV relativeFrom="page">
            <wp:align>top</wp:align>
          </wp:positionV>
          <wp:extent cx="10683098" cy="7552475"/>
          <wp:effectExtent l="0" t="0" r="4445" b="0"/>
          <wp:wrapNone/>
          <wp:docPr id="1166775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75040" name="Picture 2"/>
                  <pic:cNvPicPr/>
                </pic:nvPicPr>
                <pic:blipFill>
                  <a:blip r:embed="rId2"/>
                  <a:stretch>
                    <a:fillRect/>
                  </a:stretch>
                </pic:blipFill>
                <pic:spPr>
                  <a:xfrm>
                    <a:off x="0" y="0"/>
                    <a:ext cx="10683098" cy="75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C6D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A8481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B582D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074B1B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E0F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D8A9E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8D2222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C1817E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42C88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80A69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EA6B7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355A1"/>
    <w:multiLevelType w:val="hybridMultilevel"/>
    <w:tmpl w:val="D590780C"/>
    <w:lvl w:ilvl="0" w:tplc="8D625D64">
      <w:start w:val="1"/>
      <w:numFmt w:val="bullet"/>
      <w:lvlText w:val=""/>
      <w:lvlJc w:val="left"/>
      <w:pPr>
        <w:ind w:left="360" w:hanging="360"/>
      </w:pPr>
      <w:rPr>
        <w:rFonts w:ascii="Symbol" w:hAnsi="Symbol" w:hint="default"/>
      </w:rPr>
    </w:lvl>
    <w:lvl w:ilvl="1" w:tplc="27FE8C24" w:tentative="1">
      <w:start w:val="1"/>
      <w:numFmt w:val="bullet"/>
      <w:lvlText w:val="o"/>
      <w:lvlJc w:val="left"/>
      <w:pPr>
        <w:ind w:left="1080" w:hanging="360"/>
      </w:pPr>
      <w:rPr>
        <w:rFonts w:ascii="Courier New" w:hAnsi="Courier New" w:cs="Courier New" w:hint="default"/>
      </w:rPr>
    </w:lvl>
    <w:lvl w:ilvl="2" w:tplc="D1F65B6E" w:tentative="1">
      <w:start w:val="1"/>
      <w:numFmt w:val="bullet"/>
      <w:lvlText w:val=""/>
      <w:lvlJc w:val="left"/>
      <w:pPr>
        <w:ind w:left="1800" w:hanging="360"/>
      </w:pPr>
      <w:rPr>
        <w:rFonts w:ascii="Wingdings" w:hAnsi="Wingdings" w:hint="default"/>
      </w:rPr>
    </w:lvl>
    <w:lvl w:ilvl="3" w:tplc="E77E7E5E" w:tentative="1">
      <w:start w:val="1"/>
      <w:numFmt w:val="bullet"/>
      <w:lvlText w:val=""/>
      <w:lvlJc w:val="left"/>
      <w:pPr>
        <w:ind w:left="2520" w:hanging="360"/>
      </w:pPr>
      <w:rPr>
        <w:rFonts w:ascii="Symbol" w:hAnsi="Symbol" w:hint="default"/>
      </w:rPr>
    </w:lvl>
    <w:lvl w:ilvl="4" w:tplc="7EB67AFC" w:tentative="1">
      <w:start w:val="1"/>
      <w:numFmt w:val="bullet"/>
      <w:lvlText w:val="o"/>
      <w:lvlJc w:val="left"/>
      <w:pPr>
        <w:ind w:left="3240" w:hanging="360"/>
      </w:pPr>
      <w:rPr>
        <w:rFonts w:ascii="Courier New" w:hAnsi="Courier New" w:cs="Courier New" w:hint="default"/>
      </w:rPr>
    </w:lvl>
    <w:lvl w:ilvl="5" w:tplc="8C4E1E9A" w:tentative="1">
      <w:start w:val="1"/>
      <w:numFmt w:val="bullet"/>
      <w:lvlText w:val=""/>
      <w:lvlJc w:val="left"/>
      <w:pPr>
        <w:ind w:left="3960" w:hanging="360"/>
      </w:pPr>
      <w:rPr>
        <w:rFonts w:ascii="Wingdings" w:hAnsi="Wingdings" w:hint="default"/>
      </w:rPr>
    </w:lvl>
    <w:lvl w:ilvl="6" w:tplc="52BED09E" w:tentative="1">
      <w:start w:val="1"/>
      <w:numFmt w:val="bullet"/>
      <w:lvlText w:val=""/>
      <w:lvlJc w:val="left"/>
      <w:pPr>
        <w:ind w:left="4680" w:hanging="360"/>
      </w:pPr>
      <w:rPr>
        <w:rFonts w:ascii="Symbol" w:hAnsi="Symbol" w:hint="default"/>
      </w:rPr>
    </w:lvl>
    <w:lvl w:ilvl="7" w:tplc="E686370C" w:tentative="1">
      <w:start w:val="1"/>
      <w:numFmt w:val="bullet"/>
      <w:lvlText w:val="o"/>
      <w:lvlJc w:val="left"/>
      <w:pPr>
        <w:ind w:left="5400" w:hanging="360"/>
      </w:pPr>
      <w:rPr>
        <w:rFonts w:ascii="Courier New" w:hAnsi="Courier New" w:cs="Courier New" w:hint="default"/>
      </w:rPr>
    </w:lvl>
    <w:lvl w:ilvl="8" w:tplc="1D2A2A36" w:tentative="1">
      <w:start w:val="1"/>
      <w:numFmt w:val="bullet"/>
      <w:lvlText w:val=""/>
      <w:lvlJc w:val="left"/>
      <w:pPr>
        <w:ind w:left="6120" w:hanging="360"/>
      </w:pPr>
      <w:rPr>
        <w:rFonts w:ascii="Wingdings" w:hAnsi="Wingdings" w:hint="default"/>
      </w:rPr>
    </w:lvl>
  </w:abstractNum>
  <w:abstractNum w:abstractNumId="12" w15:restartNumberingAfterBreak="0">
    <w:nsid w:val="0AF76745"/>
    <w:multiLevelType w:val="hybridMultilevel"/>
    <w:tmpl w:val="395ABE3C"/>
    <w:lvl w:ilvl="0" w:tplc="906855C6">
      <w:start w:val="371"/>
      <w:numFmt w:val="bullet"/>
      <w:lvlText w:val="-"/>
      <w:lvlJc w:val="left"/>
      <w:pPr>
        <w:ind w:left="1080" w:hanging="360"/>
      </w:pPr>
      <w:rPr>
        <w:rFonts w:ascii="Calibri" w:eastAsiaTheme="minorHAnsi" w:hAnsi="Calibri" w:cs="Calibri"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102D8A"/>
    <w:multiLevelType w:val="hybridMultilevel"/>
    <w:tmpl w:val="0AA81C1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792E05"/>
    <w:multiLevelType w:val="hybridMultilevel"/>
    <w:tmpl w:val="86363D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943628"/>
    <w:multiLevelType w:val="hybridMultilevel"/>
    <w:tmpl w:val="86363D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5A1F4F"/>
    <w:multiLevelType w:val="hybridMultilevel"/>
    <w:tmpl w:val="B5843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071516">
    <w:abstractNumId w:val="0"/>
  </w:num>
  <w:num w:numId="2" w16cid:durableId="1253932993">
    <w:abstractNumId w:val="1"/>
  </w:num>
  <w:num w:numId="3" w16cid:durableId="800611528">
    <w:abstractNumId w:val="2"/>
  </w:num>
  <w:num w:numId="4" w16cid:durableId="1993947605">
    <w:abstractNumId w:val="3"/>
  </w:num>
  <w:num w:numId="5" w16cid:durableId="114756551">
    <w:abstractNumId w:val="4"/>
  </w:num>
  <w:num w:numId="6" w16cid:durableId="103964915">
    <w:abstractNumId w:val="9"/>
  </w:num>
  <w:num w:numId="7" w16cid:durableId="161628585">
    <w:abstractNumId w:val="5"/>
  </w:num>
  <w:num w:numId="8" w16cid:durableId="2058625831">
    <w:abstractNumId w:val="6"/>
  </w:num>
  <w:num w:numId="9" w16cid:durableId="1257059361">
    <w:abstractNumId w:val="7"/>
  </w:num>
  <w:num w:numId="10" w16cid:durableId="922762802">
    <w:abstractNumId w:val="8"/>
  </w:num>
  <w:num w:numId="11" w16cid:durableId="810445064">
    <w:abstractNumId w:val="10"/>
  </w:num>
  <w:num w:numId="12" w16cid:durableId="861822917">
    <w:abstractNumId w:val="11"/>
  </w:num>
  <w:num w:numId="13" w16cid:durableId="532351358">
    <w:abstractNumId w:val="16"/>
  </w:num>
  <w:num w:numId="14" w16cid:durableId="486165896">
    <w:abstractNumId w:val="14"/>
  </w:num>
  <w:num w:numId="15" w16cid:durableId="1545633137">
    <w:abstractNumId w:val="12"/>
  </w:num>
  <w:num w:numId="16" w16cid:durableId="301350042">
    <w:abstractNumId w:val="13"/>
  </w:num>
  <w:num w:numId="17" w16cid:durableId="13048894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EEA"/>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7714"/>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4BA9"/>
    <w:rsid w:val="0007559F"/>
    <w:rsid w:val="0007574E"/>
    <w:rsid w:val="00077D38"/>
    <w:rsid w:val="000829FC"/>
    <w:rsid w:val="000853A1"/>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2E85"/>
    <w:rsid w:val="0012336C"/>
    <w:rsid w:val="00123E79"/>
    <w:rsid w:val="0012413D"/>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1B2C"/>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3E3B"/>
    <w:rsid w:val="00176532"/>
    <w:rsid w:val="0017659C"/>
    <w:rsid w:val="00177212"/>
    <w:rsid w:val="0018163E"/>
    <w:rsid w:val="00181B72"/>
    <w:rsid w:val="00182176"/>
    <w:rsid w:val="00182717"/>
    <w:rsid w:val="0018452C"/>
    <w:rsid w:val="0018468F"/>
    <w:rsid w:val="00184986"/>
    <w:rsid w:val="00184D78"/>
    <w:rsid w:val="0018555E"/>
    <w:rsid w:val="00190BDD"/>
    <w:rsid w:val="001920CF"/>
    <w:rsid w:val="00192503"/>
    <w:rsid w:val="00193C14"/>
    <w:rsid w:val="001A1697"/>
    <w:rsid w:val="001A18B0"/>
    <w:rsid w:val="001A2237"/>
    <w:rsid w:val="001A29E7"/>
    <w:rsid w:val="001A37C0"/>
    <w:rsid w:val="001A4439"/>
    <w:rsid w:val="001A616B"/>
    <w:rsid w:val="001A7262"/>
    <w:rsid w:val="001B36FF"/>
    <w:rsid w:val="001B38C4"/>
    <w:rsid w:val="001B42DD"/>
    <w:rsid w:val="001B46A5"/>
    <w:rsid w:val="001B7FD2"/>
    <w:rsid w:val="001C0B09"/>
    <w:rsid w:val="001C213E"/>
    <w:rsid w:val="001C47C9"/>
    <w:rsid w:val="001C5775"/>
    <w:rsid w:val="001C7A7C"/>
    <w:rsid w:val="001D15F1"/>
    <w:rsid w:val="001D1D3D"/>
    <w:rsid w:val="001D234D"/>
    <w:rsid w:val="001D5559"/>
    <w:rsid w:val="001D5FB5"/>
    <w:rsid w:val="001D7B03"/>
    <w:rsid w:val="001E043D"/>
    <w:rsid w:val="001E3EFC"/>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1C80"/>
    <w:rsid w:val="00202FF5"/>
    <w:rsid w:val="0020536F"/>
    <w:rsid w:val="002056E6"/>
    <w:rsid w:val="00205967"/>
    <w:rsid w:val="0020637E"/>
    <w:rsid w:val="00206C03"/>
    <w:rsid w:val="002140B9"/>
    <w:rsid w:val="002203A6"/>
    <w:rsid w:val="00226951"/>
    <w:rsid w:val="00226BFA"/>
    <w:rsid w:val="00226D91"/>
    <w:rsid w:val="00230F7C"/>
    <w:rsid w:val="002313BE"/>
    <w:rsid w:val="002314C8"/>
    <w:rsid w:val="00232FAE"/>
    <w:rsid w:val="0023311A"/>
    <w:rsid w:val="00233842"/>
    <w:rsid w:val="00234730"/>
    <w:rsid w:val="00234764"/>
    <w:rsid w:val="002358C4"/>
    <w:rsid w:val="00240804"/>
    <w:rsid w:val="00240EC4"/>
    <w:rsid w:val="00241526"/>
    <w:rsid w:val="00245995"/>
    <w:rsid w:val="0024689F"/>
    <w:rsid w:val="00246AED"/>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3B8"/>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47EDF"/>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5E21"/>
    <w:rsid w:val="003A6C0E"/>
    <w:rsid w:val="003A7E49"/>
    <w:rsid w:val="003B07F1"/>
    <w:rsid w:val="003B1815"/>
    <w:rsid w:val="003B3D4E"/>
    <w:rsid w:val="003B3FBC"/>
    <w:rsid w:val="003B47F3"/>
    <w:rsid w:val="003B4B4E"/>
    <w:rsid w:val="003B5DB5"/>
    <w:rsid w:val="003B5E6B"/>
    <w:rsid w:val="003B689E"/>
    <w:rsid w:val="003C0FC6"/>
    <w:rsid w:val="003C1637"/>
    <w:rsid w:val="003C1BE7"/>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006"/>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AE1"/>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009B"/>
    <w:rsid w:val="00441907"/>
    <w:rsid w:val="00441A36"/>
    <w:rsid w:val="00442DDB"/>
    <w:rsid w:val="00443858"/>
    <w:rsid w:val="00443AB1"/>
    <w:rsid w:val="004446AC"/>
    <w:rsid w:val="00445F7F"/>
    <w:rsid w:val="004477E4"/>
    <w:rsid w:val="00450E5B"/>
    <w:rsid w:val="00452823"/>
    <w:rsid w:val="0045286A"/>
    <w:rsid w:val="00454795"/>
    <w:rsid w:val="00454AD2"/>
    <w:rsid w:val="00456F37"/>
    <w:rsid w:val="00460670"/>
    <w:rsid w:val="00461540"/>
    <w:rsid w:val="00462DFB"/>
    <w:rsid w:val="00463665"/>
    <w:rsid w:val="00464047"/>
    <w:rsid w:val="004656A1"/>
    <w:rsid w:val="0046600D"/>
    <w:rsid w:val="00466620"/>
    <w:rsid w:val="004713FE"/>
    <w:rsid w:val="004721A1"/>
    <w:rsid w:val="0047419E"/>
    <w:rsid w:val="00476B61"/>
    <w:rsid w:val="004815BA"/>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1E4D"/>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315"/>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9C1"/>
    <w:rsid w:val="005458E1"/>
    <w:rsid w:val="00545C9B"/>
    <w:rsid w:val="0054609D"/>
    <w:rsid w:val="005460D0"/>
    <w:rsid w:val="00546C4B"/>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4222"/>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B2C"/>
    <w:rsid w:val="00617D31"/>
    <w:rsid w:val="00621815"/>
    <w:rsid w:val="0062185B"/>
    <w:rsid w:val="006222A4"/>
    <w:rsid w:val="0062267C"/>
    <w:rsid w:val="00623463"/>
    <w:rsid w:val="0062449B"/>
    <w:rsid w:val="006247E7"/>
    <w:rsid w:val="006250D4"/>
    <w:rsid w:val="00627C93"/>
    <w:rsid w:val="0063036C"/>
    <w:rsid w:val="00632F8F"/>
    <w:rsid w:val="00633B9B"/>
    <w:rsid w:val="00633CAB"/>
    <w:rsid w:val="00635F8E"/>
    <w:rsid w:val="0063788F"/>
    <w:rsid w:val="00640F77"/>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6C83"/>
    <w:rsid w:val="00687024"/>
    <w:rsid w:val="00687A7A"/>
    <w:rsid w:val="00692A07"/>
    <w:rsid w:val="00692F6D"/>
    <w:rsid w:val="006953F5"/>
    <w:rsid w:val="00696638"/>
    <w:rsid w:val="006A06BD"/>
    <w:rsid w:val="006A1FE2"/>
    <w:rsid w:val="006A2B45"/>
    <w:rsid w:val="006A3FA7"/>
    <w:rsid w:val="006A5B16"/>
    <w:rsid w:val="006A60DB"/>
    <w:rsid w:val="006A6CB1"/>
    <w:rsid w:val="006A7C14"/>
    <w:rsid w:val="006B0DA8"/>
    <w:rsid w:val="006B1EFA"/>
    <w:rsid w:val="006B2F0B"/>
    <w:rsid w:val="006B38CE"/>
    <w:rsid w:val="006B4416"/>
    <w:rsid w:val="006B5B47"/>
    <w:rsid w:val="006B5F51"/>
    <w:rsid w:val="006B7E8F"/>
    <w:rsid w:val="006C18D7"/>
    <w:rsid w:val="006C402E"/>
    <w:rsid w:val="006C4FBC"/>
    <w:rsid w:val="006C6050"/>
    <w:rsid w:val="006C6530"/>
    <w:rsid w:val="006C66A8"/>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03DF"/>
    <w:rsid w:val="00713427"/>
    <w:rsid w:val="00713F81"/>
    <w:rsid w:val="00714E6F"/>
    <w:rsid w:val="007152E6"/>
    <w:rsid w:val="0071602D"/>
    <w:rsid w:val="007177B2"/>
    <w:rsid w:val="007225BE"/>
    <w:rsid w:val="00724AF6"/>
    <w:rsid w:val="00731F8F"/>
    <w:rsid w:val="007332B1"/>
    <w:rsid w:val="00733823"/>
    <w:rsid w:val="00735225"/>
    <w:rsid w:val="00735604"/>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57E6"/>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B13"/>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129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2BD"/>
    <w:rsid w:val="0086202D"/>
    <w:rsid w:val="00863899"/>
    <w:rsid w:val="008639A2"/>
    <w:rsid w:val="0086739B"/>
    <w:rsid w:val="008675B4"/>
    <w:rsid w:val="00870796"/>
    <w:rsid w:val="00871110"/>
    <w:rsid w:val="00871FEF"/>
    <w:rsid w:val="00872CD3"/>
    <w:rsid w:val="0087325B"/>
    <w:rsid w:val="008737E5"/>
    <w:rsid w:val="00875BDF"/>
    <w:rsid w:val="008765E5"/>
    <w:rsid w:val="00880216"/>
    <w:rsid w:val="00880E55"/>
    <w:rsid w:val="00881E63"/>
    <w:rsid w:val="0088498C"/>
    <w:rsid w:val="00884E7C"/>
    <w:rsid w:val="00886D67"/>
    <w:rsid w:val="00886E38"/>
    <w:rsid w:val="00886F69"/>
    <w:rsid w:val="00887010"/>
    <w:rsid w:val="008873CB"/>
    <w:rsid w:val="00887496"/>
    <w:rsid w:val="008874B3"/>
    <w:rsid w:val="0088785B"/>
    <w:rsid w:val="00887B40"/>
    <w:rsid w:val="00891106"/>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952"/>
    <w:rsid w:val="008E0BD0"/>
    <w:rsid w:val="008E1B21"/>
    <w:rsid w:val="008E22AD"/>
    <w:rsid w:val="008E2EB5"/>
    <w:rsid w:val="008E3952"/>
    <w:rsid w:val="008E3C99"/>
    <w:rsid w:val="008E3CB5"/>
    <w:rsid w:val="008E4873"/>
    <w:rsid w:val="008E5613"/>
    <w:rsid w:val="008E58D4"/>
    <w:rsid w:val="008E5AB5"/>
    <w:rsid w:val="008F0777"/>
    <w:rsid w:val="008F3E9F"/>
    <w:rsid w:val="008F600F"/>
    <w:rsid w:val="008F6A56"/>
    <w:rsid w:val="00901EE5"/>
    <w:rsid w:val="00903E57"/>
    <w:rsid w:val="0090472F"/>
    <w:rsid w:val="0090647A"/>
    <w:rsid w:val="009067A8"/>
    <w:rsid w:val="009071FC"/>
    <w:rsid w:val="0091153A"/>
    <w:rsid w:val="00911A43"/>
    <w:rsid w:val="00911EAC"/>
    <w:rsid w:val="009127D5"/>
    <w:rsid w:val="00917931"/>
    <w:rsid w:val="009229CC"/>
    <w:rsid w:val="00922B2D"/>
    <w:rsid w:val="00923072"/>
    <w:rsid w:val="00923681"/>
    <w:rsid w:val="0092524B"/>
    <w:rsid w:val="009254A7"/>
    <w:rsid w:val="009259FE"/>
    <w:rsid w:val="0092633E"/>
    <w:rsid w:val="00926A36"/>
    <w:rsid w:val="00926AAD"/>
    <w:rsid w:val="0093117B"/>
    <w:rsid w:val="0093147B"/>
    <w:rsid w:val="0093291B"/>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771"/>
    <w:rsid w:val="00951F5B"/>
    <w:rsid w:val="00954CB5"/>
    <w:rsid w:val="00955A9B"/>
    <w:rsid w:val="00960C4C"/>
    <w:rsid w:val="00961ABE"/>
    <w:rsid w:val="009621E2"/>
    <w:rsid w:val="009630C3"/>
    <w:rsid w:val="00963BCC"/>
    <w:rsid w:val="0096492F"/>
    <w:rsid w:val="00964E50"/>
    <w:rsid w:val="00966553"/>
    <w:rsid w:val="009702D6"/>
    <w:rsid w:val="00972A76"/>
    <w:rsid w:val="00974484"/>
    <w:rsid w:val="00976440"/>
    <w:rsid w:val="00977D81"/>
    <w:rsid w:val="00980717"/>
    <w:rsid w:val="00981812"/>
    <w:rsid w:val="00981E91"/>
    <w:rsid w:val="00982117"/>
    <w:rsid w:val="0098234A"/>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1D8"/>
    <w:rsid w:val="009C44B2"/>
    <w:rsid w:val="009C5179"/>
    <w:rsid w:val="009C56E7"/>
    <w:rsid w:val="009C57F9"/>
    <w:rsid w:val="009C5A18"/>
    <w:rsid w:val="009C6261"/>
    <w:rsid w:val="009C6AD5"/>
    <w:rsid w:val="009C6F94"/>
    <w:rsid w:val="009C7E4F"/>
    <w:rsid w:val="009D3309"/>
    <w:rsid w:val="009D5178"/>
    <w:rsid w:val="009D7997"/>
    <w:rsid w:val="009D7D13"/>
    <w:rsid w:val="009E05C7"/>
    <w:rsid w:val="009E19D5"/>
    <w:rsid w:val="009E240E"/>
    <w:rsid w:val="009E499C"/>
    <w:rsid w:val="009E4E93"/>
    <w:rsid w:val="009E73B5"/>
    <w:rsid w:val="009F06BB"/>
    <w:rsid w:val="009F3AAE"/>
    <w:rsid w:val="009F503F"/>
    <w:rsid w:val="009F7110"/>
    <w:rsid w:val="00A01078"/>
    <w:rsid w:val="00A01C47"/>
    <w:rsid w:val="00A01C84"/>
    <w:rsid w:val="00A03D81"/>
    <w:rsid w:val="00A04DDA"/>
    <w:rsid w:val="00A0606D"/>
    <w:rsid w:val="00A1080B"/>
    <w:rsid w:val="00A10FBF"/>
    <w:rsid w:val="00A12574"/>
    <w:rsid w:val="00A17851"/>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38A6"/>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777"/>
    <w:rsid w:val="00AD6F72"/>
    <w:rsid w:val="00AE03C9"/>
    <w:rsid w:val="00AE39A0"/>
    <w:rsid w:val="00AE41AD"/>
    <w:rsid w:val="00AE4239"/>
    <w:rsid w:val="00AE61E2"/>
    <w:rsid w:val="00AE6D22"/>
    <w:rsid w:val="00AE6FDE"/>
    <w:rsid w:val="00AF0F41"/>
    <w:rsid w:val="00AF1635"/>
    <w:rsid w:val="00AF29D8"/>
    <w:rsid w:val="00AF3602"/>
    <w:rsid w:val="00AF3C02"/>
    <w:rsid w:val="00AF56B1"/>
    <w:rsid w:val="00AF6779"/>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11C"/>
    <w:rsid w:val="00B16A63"/>
    <w:rsid w:val="00B16F38"/>
    <w:rsid w:val="00B1792D"/>
    <w:rsid w:val="00B200A8"/>
    <w:rsid w:val="00B20ABE"/>
    <w:rsid w:val="00B20E84"/>
    <w:rsid w:val="00B21840"/>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BDB"/>
    <w:rsid w:val="00BD1C1C"/>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1DDB"/>
    <w:rsid w:val="00C0274D"/>
    <w:rsid w:val="00C02CF7"/>
    <w:rsid w:val="00C03206"/>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27588"/>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4C47"/>
    <w:rsid w:val="00C6660D"/>
    <w:rsid w:val="00C66F39"/>
    <w:rsid w:val="00C7117F"/>
    <w:rsid w:val="00C71781"/>
    <w:rsid w:val="00C7202F"/>
    <w:rsid w:val="00C73020"/>
    <w:rsid w:val="00C74500"/>
    <w:rsid w:val="00C74BE7"/>
    <w:rsid w:val="00C76AB2"/>
    <w:rsid w:val="00C76CCF"/>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4F77"/>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B37"/>
    <w:rsid w:val="00CE1E75"/>
    <w:rsid w:val="00CE37ED"/>
    <w:rsid w:val="00CE650F"/>
    <w:rsid w:val="00CE6BC3"/>
    <w:rsid w:val="00CE71AA"/>
    <w:rsid w:val="00CE79A3"/>
    <w:rsid w:val="00CE7D31"/>
    <w:rsid w:val="00CF0C27"/>
    <w:rsid w:val="00CF10FC"/>
    <w:rsid w:val="00CF1E63"/>
    <w:rsid w:val="00CF2166"/>
    <w:rsid w:val="00CF238A"/>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3894"/>
    <w:rsid w:val="00D445D6"/>
    <w:rsid w:val="00D44FCB"/>
    <w:rsid w:val="00D45505"/>
    <w:rsid w:val="00D45DB5"/>
    <w:rsid w:val="00D45F69"/>
    <w:rsid w:val="00D47852"/>
    <w:rsid w:val="00D51A30"/>
    <w:rsid w:val="00D52A96"/>
    <w:rsid w:val="00D534A4"/>
    <w:rsid w:val="00D54E4C"/>
    <w:rsid w:val="00D54E4E"/>
    <w:rsid w:val="00D572C4"/>
    <w:rsid w:val="00D60D53"/>
    <w:rsid w:val="00D6133A"/>
    <w:rsid w:val="00D61FAD"/>
    <w:rsid w:val="00D62B2B"/>
    <w:rsid w:val="00D6405F"/>
    <w:rsid w:val="00D64366"/>
    <w:rsid w:val="00D64EEA"/>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3CC5"/>
    <w:rsid w:val="00E564BA"/>
    <w:rsid w:val="00E56DCD"/>
    <w:rsid w:val="00E57392"/>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E7188"/>
    <w:rsid w:val="00EF0442"/>
    <w:rsid w:val="00EF5E75"/>
    <w:rsid w:val="00EF656F"/>
    <w:rsid w:val="00F0285F"/>
    <w:rsid w:val="00F033B4"/>
    <w:rsid w:val="00F04367"/>
    <w:rsid w:val="00F04618"/>
    <w:rsid w:val="00F04D02"/>
    <w:rsid w:val="00F11A7E"/>
    <w:rsid w:val="00F123F2"/>
    <w:rsid w:val="00F1590C"/>
    <w:rsid w:val="00F16B95"/>
    <w:rsid w:val="00F2021D"/>
    <w:rsid w:val="00F227E8"/>
    <w:rsid w:val="00F25360"/>
    <w:rsid w:val="00F25E1A"/>
    <w:rsid w:val="00F26C9C"/>
    <w:rsid w:val="00F27EDC"/>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7A43"/>
    <w:rsid w:val="00F603AD"/>
    <w:rsid w:val="00F61593"/>
    <w:rsid w:val="00F63069"/>
    <w:rsid w:val="00F64676"/>
    <w:rsid w:val="00F64E6F"/>
    <w:rsid w:val="00F663FE"/>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2BB7"/>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152"/>
    <w:rsid w:val="00FD4F88"/>
    <w:rsid w:val="00FD7D5E"/>
    <w:rsid w:val="00FE2506"/>
    <w:rsid w:val="00FE2B1A"/>
    <w:rsid w:val="00FE2F50"/>
    <w:rsid w:val="00FE4FE9"/>
    <w:rsid w:val="00FE51AF"/>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ADED6"/>
  <w14:defaultImageDpi w14:val="300"/>
  <w15:chartTrackingRefBased/>
  <w15:docId w15:val="{34D55245-86A1-6E41-A902-BDF7F462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771"/>
    <w:pPr>
      <w:spacing w:after="240"/>
    </w:pPr>
    <w:rPr>
      <w:rFonts w:ascii="Arial" w:hAnsi="Arial"/>
      <w:sz w:val="22"/>
      <w:szCs w:val="24"/>
      <w:lang w:eastAsia="en-AU"/>
    </w:rPr>
  </w:style>
  <w:style w:type="paragraph" w:styleId="Heading1">
    <w:name w:val="heading 1"/>
    <w:basedOn w:val="Normal"/>
    <w:next w:val="Normal"/>
    <w:qFormat/>
    <w:rsid w:val="00951771"/>
    <w:pPr>
      <w:keepNext/>
      <w:spacing w:before="240" w:after="360" w:line="480" w:lineRule="exact"/>
      <w:outlineLvl w:val="0"/>
    </w:pPr>
    <w:rPr>
      <w:rFonts w:cs="Arial"/>
      <w:b/>
      <w:bCs/>
      <w:color w:val="06325F"/>
      <w:kern w:val="32"/>
      <w:sz w:val="48"/>
      <w:szCs w:val="32"/>
      <w:lang w:val="en-US"/>
    </w:rPr>
  </w:style>
  <w:style w:type="paragraph" w:styleId="Heading2">
    <w:name w:val="heading 2"/>
    <w:basedOn w:val="Normal"/>
    <w:next w:val="Normal"/>
    <w:link w:val="Heading2Char"/>
    <w:qFormat/>
    <w:rsid w:val="00951771"/>
    <w:pPr>
      <w:keepNext/>
      <w:spacing w:before="240" w:after="120"/>
      <w:outlineLvl w:val="1"/>
    </w:pPr>
    <w:rPr>
      <w:rFonts w:cs="Arial"/>
      <w:bCs/>
      <w:iCs/>
      <w:sz w:val="32"/>
      <w:szCs w:val="30"/>
      <w:lang w:val="en-US"/>
    </w:rPr>
  </w:style>
  <w:style w:type="paragraph" w:styleId="Heading3">
    <w:name w:val="heading 3"/>
    <w:basedOn w:val="Normal"/>
    <w:next w:val="Normal"/>
    <w:link w:val="Heading3Char"/>
    <w:qFormat/>
    <w:rsid w:val="00951771"/>
    <w:pPr>
      <w:keepNext/>
      <w:spacing w:before="160" w:after="60"/>
      <w:outlineLvl w:val="2"/>
    </w:pPr>
    <w:rPr>
      <w:rFonts w:cs="Arial"/>
      <w:bCs/>
      <w:color w:val="000000" w:themeColor="text1"/>
      <w:sz w:val="28"/>
      <w:szCs w:val="26"/>
    </w:rPr>
  </w:style>
  <w:style w:type="paragraph" w:styleId="Heading4">
    <w:name w:val="heading 4"/>
    <w:basedOn w:val="Normal"/>
    <w:next w:val="Normal"/>
    <w:link w:val="Heading4Char"/>
    <w:unhideWhenUsed/>
    <w:qFormat/>
    <w:rsid w:val="00951771"/>
    <w:pPr>
      <w:spacing w:before="120" w:after="60"/>
      <w:outlineLvl w:val="3"/>
    </w:pPr>
    <w:rPr>
      <w:rFonts w:eastAsiaTheme="majorEastAsia" w:cs="Arial"/>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EEA"/>
    <w:pPr>
      <w:tabs>
        <w:tab w:val="center" w:pos="4153"/>
        <w:tab w:val="right" w:pos="8306"/>
      </w:tabs>
    </w:pPr>
  </w:style>
  <w:style w:type="paragraph" w:styleId="Footer">
    <w:name w:val="footer"/>
    <w:basedOn w:val="Normal"/>
    <w:rsid w:val="00D64EEA"/>
    <w:pPr>
      <w:tabs>
        <w:tab w:val="center" w:pos="4153"/>
        <w:tab w:val="right" w:pos="8306"/>
      </w:tabs>
    </w:pPr>
  </w:style>
  <w:style w:type="character" w:customStyle="1" w:styleId="Heading4Char">
    <w:name w:val="Heading 4 Char"/>
    <w:basedOn w:val="DefaultParagraphFont"/>
    <w:link w:val="Heading4"/>
    <w:rsid w:val="00951771"/>
    <w:rPr>
      <w:rFonts w:ascii="Arial" w:eastAsiaTheme="majorEastAsia" w:hAnsi="Arial" w:cs="Arial"/>
      <w:b/>
      <w:i/>
      <w:iCs/>
      <w:color w:val="000000" w:themeColor="text1"/>
      <w:sz w:val="22"/>
      <w:szCs w:val="24"/>
      <w:lang w:eastAsia="en-AU"/>
    </w:rPr>
  </w:style>
  <w:style w:type="character" w:customStyle="1" w:styleId="Heading2Char">
    <w:name w:val="Heading 2 Char"/>
    <w:basedOn w:val="DefaultParagraphFont"/>
    <w:link w:val="Heading2"/>
    <w:rsid w:val="00951771"/>
    <w:rPr>
      <w:rFonts w:ascii="Arial" w:hAnsi="Arial" w:cs="Arial"/>
      <w:bCs/>
      <w:iCs/>
      <w:sz w:val="32"/>
      <w:szCs w:val="30"/>
      <w:lang w:val="en-US" w:eastAsia="en-AU"/>
    </w:rPr>
  </w:style>
  <w:style w:type="character" w:customStyle="1" w:styleId="Heading3Char">
    <w:name w:val="Heading 3 Char"/>
    <w:basedOn w:val="DefaultParagraphFont"/>
    <w:link w:val="Heading3"/>
    <w:rsid w:val="00951771"/>
    <w:rPr>
      <w:rFonts w:ascii="Arial" w:hAnsi="Arial" w:cs="Arial"/>
      <w:bCs/>
      <w:color w:val="000000" w:themeColor="text1"/>
      <w:sz w:val="28"/>
      <w:szCs w:val="26"/>
      <w:lang w:eastAsia="en-AU"/>
    </w:rPr>
  </w:style>
  <w:style w:type="table" w:styleId="TableGrid">
    <w:name w:val="Table Grid"/>
    <w:basedOn w:val="TableNormal"/>
    <w:uiPriority w:val="39"/>
    <w:rsid w:val="00C76C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7857E6"/>
    <w:rPr>
      <w:rFonts w:ascii="Arial" w:hAnsi="Arial"/>
      <w:sz w:val="22"/>
      <w:szCs w:val="24"/>
      <w:lang w:eastAsia="en-AU"/>
    </w:rPr>
  </w:style>
  <w:style w:type="paragraph" w:styleId="ListParagraph">
    <w:name w:val="List Paragraph"/>
    <w:basedOn w:val="Normal"/>
    <w:uiPriority w:val="72"/>
    <w:qFormat/>
    <w:rsid w:val="008602BD"/>
    <w:pPr>
      <w:ind w:left="720"/>
      <w:contextualSpacing/>
    </w:pPr>
  </w:style>
  <w:style w:type="character" w:styleId="CommentReference">
    <w:name w:val="annotation reference"/>
    <w:basedOn w:val="DefaultParagraphFont"/>
    <w:rsid w:val="008602BD"/>
    <w:rPr>
      <w:sz w:val="16"/>
      <w:szCs w:val="16"/>
    </w:rPr>
  </w:style>
  <w:style w:type="paragraph" w:styleId="CommentText">
    <w:name w:val="annotation text"/>
    <w:basedOn w:val="Normal"/>
    <w:link w:val="CommentTextChar"/>
    <w:rsid w:val="008602BD"/>
    <w:rPr>
      <w:sz w:val="20"/>
      <w:szCs w:val="20"/>
    </w:rPr>
  </w:style>
  <w:style w:type="character" w:customStyle="1" w:styleId="CommentTextChar">
    <w:name w:val="Comment Text Char"/>
    <w:basedOn w:val="DefaultParagraphFont"/>
    <w:link w:val="CommentText"/>
    <w:rsid w:val="008602BD"/>
    <w:rPr>
      <w:rFonts w:ascii="Arial"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B63503CD2F5DE7479F525553B7B79697" ma:contentTypeVersion="10" ma:contentTypeDescription="Create a new Standard document." ma:contentTypeScope="" ma:versionID="339701743fc1466988fe37c8fcfe7340">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45734b7-3c4a-4003-87e0-54aa8a21508e" ContentTypeId="0x010100B152FE0A27636C4F8C85B65586C31A9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tatus xmlns="b7fcd359-19c8-40e3-b19f-91106bd6c442">Draft</DocumentStatus>
    <TaxCatchAll xmlns="b7fcd359-19c8-40e3-b19f-91106bd6c442">
      <Value>2</Value>
      <Value>1</Value>
    </TaxCatchAll>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Props1.xml><?xml version="1.0" encoding="utf-8"?>
<ds:datastoreItem xmlns:ds="http://schemas.openxmlformats.org/officeDocument/2006/customXml" ds:itemID="{B02824F4-B0B4-4538-BA7C-3BDEFB191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A8734-3B6D-4B8F-B92B-B911BDCD082F}">
  <ds:schemaRefs>
    <ds:schemaRef ds:uri="Microsoft.SharePoint.Taxonomy.ContentTypeSync"/>
  </ds:schemaRefs>
</ds:datastoreItem>
</file>

<file path=customXml/itemProps3.xml><?xml version="1.0" encoding="utf-8"?>
<ds:datastoreItem xmlns:ds="http://schemas.openxmlformats.org/officeDocument/2006/customXml" ds:itemID="{42607494-A41F-4CB9-A6E2-0DAD94433F51}">
  <ds:schemaRefs>
    <ds:schemaRef ds:uri="http://schemas.microsoft.com/sharepoint/v3/contenttype/forms"/>
  </ds:schemaRefs>
</ds:datastoreItem>
</file>

<file path=customXml/itemProps4.xml><?xml version="1.0" encoding="utf-8"?>
<ds:datastoreItem xmlns:ds="http://schemas.openxmlformats.org/officeDocument/2006/customXml" ds:itemID="{E17F0241-AD77-4A30-8D3A-D19825C44D1B}">
  <ds:schemaRefs>
    <ds:schemaRef ds:uri="http://schemas.microsoft.com/office/2006/metadata/properties"/>
    <ds:schemaRef ds:uri="http://schemas.microsoft.com/office/infopath/2007/PartnerControls"/>
    <ds:schemaRef ds:uri="b7fcd359-19c8-40e3-b19f-91106bd6c442"/>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Youth Justice factsheet landscape A4 with top banner</vt:lpstr>
    </vt:vector>
  </TitlesOfParts>
  <Manager/>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factsheet landscape A4 with top banner</dc:title>
  <dc:subject>Template</dc:subject>
  <dc:creator>Communications Services</dc:creator>
  <cp:keywords>factsheet, landscape, YJ, youth justice, A4</cp:keywords>
  <cp:lastModifiedBy>Karen Ashton</cp:lastModifiedBy>
  <cp:revision>2</cp:revision>
  <cp:lastPrinted>2025-07-18T00:45:00Z</cp:lastPrinted>
  <dcterms:created xsi:type="dcterms:W3CDTF">2025-07-18T00:45:00Z</dcterms:created>
  <dcterms:modified xsi:type="dcterms:W3CDTF">2025-07-18T00:45:00Z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0x010100B152FE0A27636C4F8C85B65586C31A9400B63503CD2F5DE7479F525553B7B79697</vt:lpwstr>
  </property>
  <property fmtid="{D5CDD505-2E9C-101B-9397-08002B2CF9AE}" pid="3" name="MediaServiceImageTags">
    <vt:lpwstr/>
  </property>
  <property fmtid="{D5CDD505-2E9C-101B-9397-08002B2CF9AE}" pid="4" name="TypeOfDocument">
    <vt:lpwstr>1;#General|0d2b879a-0e80-4be0-a339-283a7d647e61</vt:lpwstr>
  </property>
  <property fmtid="{D5CDD505-2E9C-101B-9397-08002B2CF9AE}" pid="5" name="RecordsCategory">
    <vt:lpwstr>2;#Youth Justice Services|bb81fddc-2000-41ca-80b6-ccc12b0080ef</vt:lpwstr>
  </property>
  <property fmtid="{D5CDD505-2E9C-101B-9397-08002B2CF9AE}" pid="6" name="lcf76f155ced4ddcb4097134ff3c332f">
    <vt:lpwstr/>
  </property>
</Properties>
</file>