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F253" w14:textId="77777777" w:rsidR="00245208" w:rsidRDefault="00245208" w:rsidP="001D4C2E"/>
    <w:p w14:paraId="386533C4" w14:textId="77777777" w:rsidR="00247D9F" w:rsidRDefault="00247D9F" w:rsidP="001D4C2E"/>
    <w:p w14:paraId="1D7FC956" w14:textId="77777777" w:rsidR="00247D9F" w:rsidRDefault="00247D9F" w:rsidP="001D4C2E"/>
    <w:p w14:paraId="4A5BA7A2" w14:textId="77777777" w:rsidR="00247D9F" w:rsidRDefault="00247D9F" w:rsidP="001D4C2E"/>
    <w:p w14:paraId="393ABEF4" w14:textId="12C283D6" w:rsidR="006C2141" w:rsidRDefault="00B10772" w:rsidP="0034333B">
      <w:pPr>
        <w:pStyle w:val="Heading1"/>
      </w:pPr>
      <w:r>
        <w:t>Forget the bet. Enjoy the game.</w:t>
      </w:r>
    </w:p>
    <w:p w14:paraId="040E5814" w14:textId="77777777" w:rsidR="007A7EF6" w:rsidRDefault="007A7EF6" w:rsidP="0034333B">
      <w:pPr>
        <w:pStyle w:val="Heading2"/>
      </w:pPr>
      <w:r>
        <w:t>Newsletter content</w:t>
      </w:r>
    </w:p>
    <w:p w14:paraId="08ABB2F8" w14:textId="0FA1FC11" w:rsidR="0021115D" w:rsidRPr="0021115D" w:rsidRDefault="0021115D" w:rsidP="0021115D">
      <w:pPr>
        <w:pStyle w:val="Heading3"/>
      </w:pPr>
      <w:r>
        <w:t>Long copy</w:t>
      </w:r>
    </w:p>
    <w:p w14:paraId="3555A38D" w14:textId="77777777" w:rsidR="007A7EF6" w:rsidRPr="00DD2D32" w:rsidRDefault="007A7EF6" w:rsidP="00DD2D32">
      <w:pPr>
        <w:rPr>
          <w:b/>
          <w:bCs/>
        </w:rPr>
      </w:pPr>
      <w:r w:rsidRPr="00DD2D32">
        <w:rPr>
          <w:b/>
          <w:bCs/>
        </w:rPr>
        <w:t>Forget the bet. Enjoy the game.</w:t>
      </w:r>
    </w:p>
    <w:p w14:paraId="3170191D" w14:textId="70ECFEB4" w:rsidR="007A7EF6" w:rsidRDefault="007A7EF6" w:rsidP="007A7EF6">
      <w:r w:rsidRPr="00F15124">
        <w:t xml:space="preserve">We’re all constantly bombarded by advertising, signage and online promotions, tempting us to bet on sport. In 2022 the Australian gambling industry spent more than $300 million on advertising. </w:t>
      </w:r>
      <w:r w:rsidR="001F5DEE">
        <w:t>T</w:t>
      </w:r>
      <w:r w:rsidRPr="00F15124">
        <w:t>hese betting ads create the impression that betting is an ordinary part of enjoying sports.</w:t>
      </w:r>
      <w:r>
        <w:t xml:space="preserve"> </w:t>
      </w:r>
      <w:r w:rsidR="001F5DEE">
        <w:t xml:space="preserve">In a recent survey, </w:t>
      </w:r>
      <w:r w:rsidRPr="002B5DC3">
        <w:t>more than half of young Queensland</w:t>
      </w:r>
      <w:r>
        <w:t xml:space="preserve"> respondents </w:t>
      </w:r>
      <w:r w:rsidRPr="002B5DC3">
        <w:t>aged 14 to 25 felt that betting on sport is part of Queensland’s culture.</w:t>
      </w:r>
    </w:p>
    <w:p w14:paraId="34802C8D" w14:textId="77777777" w:rsidR="007A7EF6" w:rsidRDefault="007A7EF6" w:rsidP="007A7EF6">
      <w:r>
        <w:t xml:space="preserve">Sports betting ads also make it seem like a fun, social activity that goes hand in hand with being a sports fan. </w:t>
      </w:r>
      <w:proofErr w:type="gramStart"/>
      <w:r>
        <w:t>In reality, gambling</w:t>
      </w:r>
      <w:proofErr w:type="gramEnd"/>
      <w:r>
        <w:t xml:space="preserve"> carries serious risks and the harm from gambling can have lifelong consequences for you, your friends and family.</w:t>
      </w:r>
    </w:p>
    <w:p w14:paraId="3439EDD9" w14:textId="77777777" w:rsidR="007A7EF6" w:rsidRDefault="007A7EF6" w:rsidP="007A7EF6">
      <w:r>
        <w:t>Consider these facts:</w:t>
      </w:r>
    </w:p>
    <w:p w14:paraId="2D666265" w14:textId="77777777" w:rsidR="007A7EF6" w:rsidRPr="00F15124" w:rsidRDefault="007A7EF6" w:rsidP="007A7EF6">
      <w:pPr>
        <w:pStyle w:val="ListParagraph"/>
        <w:numPr>
          <w:ilvl w:val="0"/>
          <w:numId w:val="9"/>
        </w:numPr>
        <w:spacing w:line="260" w:lineRule="exact"/>
      </w:pPr>
      <w:r w:rsidRPr="00F15124">
        <w:t>The more you gamble the more likely you are to experience negative consequences. One in 5 adults who suffer serious harm from gambling began before they turned 18.</w:t>
      </w:r>
    </w:p>
    <w:p w14:paraId="4BD977E2" w14:textId="77777777" w:rsidR="007A7EF6" w:rsidRPr="00F15124" w:rsidRDefault="007A7EF6" w:rsidP="007A7EF6">
      <w:pPr>
        <w:pStyle w:val="ListParagraph"/>
        <w:numPr>
          <w:ilvl w:val="0"/>
          <w:numId w:val="9"/>
        </w:numPr>
        <w:spacing w:line="260" w:lineRule="exact"/>
      </w:pPr>
      <w:r w:rsidRPr="00F15124">
        <w:t>Young people are particularly at-risk of harm from sports betting. You could even experience gambling harm before you reach your 20s.</w:t>
      </w:r>
    </w:p>
    <w:p w14:paraId="70D905F8" w14:textId="4EF42C56" w:rsidR="007A7EF6" w:rsidRDefault="00CC3E2D" w:rsidP="007A7EF6">
      <w:r w:rsidRPr="00282BEA">
        <w:rPr>
          <w:color w:val="auto"/>
        </w:rPr>
        <w:t xml:space="preserve">Our club is proud to </w:t>
      </w:r>
      <w:r w:rsidR="00A4404D" w:rsidRPr="00282BEA">
        <w:rPr>
          <w:color w:val="auto"/>
        </w:rPr>
        <w:t xml:space="preserve">announce we have signed up </w:t>
      </w:r>
      <w:r w:rsidR="006217CB">
        <w:rPr>
          <w:color w:val="auto"/>
        </w:rPr>
        <w:t>as</w:t>
      </w:r>
      <w:r w:rsidR="00A4404D" w:rsidRPr="00282BEA">
        <w:rPr>
          <w:color w:val="auto"/>
        </w:rPr>
        <w:t xml:space="preserve"> a ‘Forget the bet’ supporter club. </w:t>
      </w:r>
      <w:r w:rsidR="00282BEA" w:rsidRPr="00282BEA">
        <w:rPr>
          <w:color w:val="auto"/>
        </w:rPr>
        <w:t xml:space="preserve">We want to encourage our club members and community to </w:t>
      </w:r>
      <w:r w:rsidR="007A7EF6" w:rsidRPr="00282BEA">
        <w:rPr>
          <w:b/>
          <w:bCs/>
          <w:color w:val="auto"/>
        </w:rPr>
        <w:t>forget the bet and enjoy the game</w:t>
      </w:r>
      <w:r w:rsidR="007A7EF6" w:rsidRPr="00282BEA">
        <w:rPr>
          <w:color w:val="auto"/>
        </w:rPr>
        <w:t xml:space="preserve">. </w:t>
      </w:r>
      <w:r w:rsidR="007A7EF6">
        <w:t>Remember all the reasons you watch</w:t>
      </w:r>
      <w:r w:rsidR="00282BEA">
        <w:t xml:space="preserve"> and play</w:t>
      </w:r>
      <w:r w:rsidR="007A7EF6">
        <w:t xml:space="preserve"> sport —for the excitement, roar of the crowd, thrill of victory and the fun you have with friends.</w:t>
      </w:r>
    </w:p>
    <w:p w14:paraId="50C6F860" w14:textId="77777777" w:rsidR="007A7EF6" w:rsidRDefault="007A7EF6" w:rsidP="007A7EF6">
      <w:r>
        <w:t>I</w:t>
      </w:r>
      <w:r w:rsidRPr="009C2C7E">
        <w:t xml:space="preserve">f you find yourself watching the odds more than the action, it might be time to check on </w:t>
      </w:r>
      <w:proofErr w:type="gramStart"/>
      <w:r w:rsidRPr="009C2C7E">
        <w:t>your</w:t>
      </w:r>
      <w:proofErr w:type="gramEnd"/>
      <w:r w:rsidRPr="009C2C7E">
        <w:t xml:space="preserve"> betting.</w:t>
      </w:r>
      <w:r>
        <w:t xml:space="preserve"> </w:t>
      </w:r>
    </w:p>
    <w:p w14:paraId="7C334952" w14:textId="77777777" w:rsidR="007A7EF6" w:rsidRDefault="007A7EF6" w:rsidP="007A7EF6">
      <w:r>
        <w:t xml:space="preserve">To find out more, including tips on how to get back to enjoying the sports you love without being distracted by the bet, visit </w:t>
      </w:r>
      <w:hyperlink r:id="rId10" w:history="1">
        <w:r w:rsidRPr="00433275">
          <w:rPr>
            <w:rStyle w:val="Hyperlink"/>
          </w:rPr>
          <w:t>www.qld.gov.au/forgetthebet</w:t>
        </w:r>
      </w:hyperlink>
      <w:r>
        <w:t xml:space="preserve">. </w:t>
      </w:r>
    </w:p>
    <w:p w14:paraId="02D35F55" w14:textId="3972CC5E" w:rsidR="0021115D" w:rsidRDefault="001F5DEE" w:rsidP="007A7EF6">
      <w:r>
        <w:t xml:space="preserve">If you’re worried about your gambling – or someone else’s – reach out to </w:t>
      </w:r>
      <w:r w:rsidR="007A7EF6">
        <w:t xml:space="preserve">Gambling Help Queensland on 1800 858 858 or visit </w:t>
      </w:r>
      <w:hyperlink r:id="rId11" w:history="1">
        <w:r w:rsidR="007A7EF6" w:rsidRPr="00433275">
          <w:rPr>
            <w:rStyle w:val="Hyperlink"/>
          </w:rPr>
          <w:t>https://www.gamblinghelpqld.org.au</w:t>
        </w:r>
      </w:hyperlink>
      <w:r w:rsidR="007A7EF6">
        <w:t xml:space="preserve">. </w:t>
      </w:r>
    </w:p>
    <w:p w14:paraId="49B9070F" w14:textId="7780E0DB" w:rsidR="0021115D" w:rsidRPr="0021115D" w:rsidRDefault="0021115D" w:rsidP="0021115D">
      <w:pPr>
        <w:pStyle w:val="Heading3"/>
      </w:pPr>
      <w:r>
        <w:t>Short copy</w:t>
      </w:r>
    </w:p>
    <w:p w14:paraId="5A509693" w14:textId="77777777" w:rsidR="0021115D" w:rsidRPr="00DD2D32" w:rsidRDefault="0021115D" w:rsidP="0021115D">
      <w:pPr>
        <w:rPr>
          <w:b/>
          <w:bCs/>
        </w:rPr>
      </w:pPr>
      <w:r w:rsidRPr="00DD2D32">
        <w:rPr>
          <w:b/>
          <w:bCs/>
        </w:rPr>
        <w:t>Forget the bet. Enjoy the game.</w:t>
      </w:r>
    </w:p>
    <w:p w14:paraId="2E09C312" w14:textId="0416F883" w:rsidR="0021115D" w:rsidRDefault="0021115D" w:rsidP="0021115D">
      <w:pPr>
        <w:rPr>
          <w:color w:val="auto"/>
        </w:rPr>
      </w:pPr>
      <w:r w:rsidRPr="00282BEA">
        <w:rPr>
          <w:color w:val="auto"/>
        </w:rPr>
        <w:t xml:space="preserve">Our club is proud to announce we have signed up </w:t>
      </w:r>
      <w:r w:rsidR="006217CB">
        <w:rPr>
          <w:color w:val="auto"/>
        </w:rPr>
        <w:t>as</w:t>
      </w:r>
      <w:r w:rsidRPr="00282BEA">
        <w:rPr>
          <w:color w:val="auto"/>
        </w:rPr>
        <w:t xml:space="preserve"> a ‘Forget the bet’ supporter club. </w:t>
      </w:r>
    </w:p>
    <w:p w14:paraId="148C6489" w14:textId="00485C36" w:rsidR="0021115D" w:rsidRDefault="0021115D" w:rsidP="0021115D">
      <w:pPr>
        <w:rPr>
          <w:color w:val="auto"/>
        </w:rPr>
      </w:pPr>
      <w:r w:rsidRPr="0021115D">
        <w:rPr>
          <w:color w:val="auto"/>
        </w:rPr>
        <w:t xml:space="preserve">Sports betting ads are everywhere, and kids </w:t>
      </w:r>
      <w:proofErr w:type="gramStart"/>
      <w:r w:rsidRPr="0021115D">
        <w:rPr>
          <w:color w:val="auto"/>
        </w:rPr>
        <w:t>in particular may</w:t>
      </w:r>
      <w:proofErr w:type="gramEnd"/>
      <w:r w:rsidRPr="0021115D">
        <w:rPr>
          <w:color w:val="auto"/>
        </w:rPr>
        <w:t xml:space="preserve"> think betting is a normal part of watching sport.</w:t>
      </w:r>
      <w:r>
        <w:rPr>
          <w:color w:val="auto"/>
        </w:rPr>
        <w:t xml:space="preserve"> </w:t>
      </w:r>
      <w:r w:rsidRPr="0021115D">
        <w:rPr>
          <w:color w:val="auto"/>
        </w:rPr>
        <w:t xml:space="preserve">While the ads make it seem like fun, sports betting can be risky and young people are </w:t>
      </w:r>
      <w:r w:rsidR="001F5DEE">
        <w:rPr>
          <w:color w:val="auto"/>
        </w:rPr>
        <w:t xml:space="preserve">particularly at-risk of harm. </w:t>
      </w:r>
    </w:p>
    <w:p w14:paraId="48124119" w14:textId="478D5897" w:rsidR="0021115D" w:rsidRDefault="0021115D" w:rsidP="0021115D">
      <w:r w:rsidRPr="00282BEA">
        <w:rPr>
          <w:color w:val="auto"/>
        </w:rPr>
        <w:t xml:space="preserve">We want to encourage our club members and community to </w:t>
      </w:r>
      <w:r w:rsidRPr="00282BEA">
        <w:rPr>
          <w:b/>
          <w:bCs/>
          <w:color w:val="auto"/>
        </w:rPr>
        <w:t>forget the bet and enjoy the game</w:t>
      </w:r>
      <w:r w:rsidRPr="00282BEA">
        <w:rPr>
          <w:color w:val="auto"/>
        </w:rPr>
        <w:t xml:space="preserve">. </w:t>
      </w:r>
      <w:r>
        <w:t>Remember all the reasons you watch and play sport —for the excitement, roar of the crowd, thrill of victory and the fun you have with friends.</w:t>
      </w:r>
    </w:p>
    <w:p w14:paraId="75531954" w14:textId="77777777" w:rsidR="0021115D" w:rsidRDefault="0021115D" w:rsidP="0021115D">
      <w:r>
        <w:t xml:space="preserve">To find out more, including tips on how to get back to enjoying the sports you love without being distracted by the bet, visit </w:t>
      </w:r>
      <w:hyperlink r:id="rId12" w:history="1">
        <w:r w:rsidRPr="00433275">
          <w:rPr>
            <w:rStyle w:val="Hyperlink"/>
          </w:rPr>
          <w:t>www.qld.gov.au/forgetthebet</w:t>
        </w:r>
      </w:hyperlink>
      <w:r>
        <w:t xml:space="preserve">. </w:t>
      </w:r>
    </w:p>
    <w:p w14:paraId="0FFF94CB" w14:textId="5003AAD3" w:rsidR="0021115D" w:rsidRDefault="001F5DEE" w:rsidP="0021115D">
      <w:r>
        <w:t>If you’re worried about your gambling – or someone else’s – reach out to</w:t>
      </w:r>
      <w:r w:rsidR="0021115D">
        <w:t xml:space="preserve"> Gambling Help Queensland on 1800 858 858 or visit </w:t>
      </w:r>
      <w:hyperlink r:id="rId13" w:history="1">
        <w:r w:rsidR="0021115D" w:rsidRPr="00433275">
          <w:rPr>
            <w:rStyle w:val="Hyperlink"/>
          </w:rPr>
          <w:t>https://www.gamblinghelpqld.org.au</w:t>
        </w:r>
      </w:hyperlink>
      <w:r w:rsidR="0021115D">
        <w:t xml:space="preserve">. </w:t>
      </w:r>
    </w:p>
    <w:p w14:paraId="54EEBC1E" w14:textId="1B45D0AB" w:rsidR="007A7EF6" w:rsidRDefault="007A7EF6" w:rsidP="0034333B">
      <w:pPr>
        <w:pStyle w:val="Heading2"/>
        <w:spacing w:before="240"/>
      </w:pPr>
      <w:r>
        <w:lastRenderedPageBreak/>
        <w:t>Newsletter images</w:t>
      </w:r>
    </w:p>
    <w:p w14:paraId="7B9DC2AC" w14:textId="1C9A64EC" w:rsidR="0096369F" w:rsidRDefault="0096369F" w:rsidP="007A7EF6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0AC4D02E" wp14:editId="0E4FDA94">
            <wp:extent cx="2970000" cy="1980205"/>
            <wp:effectExtent l="0" t="0" r="1905" b="1270"/>
            <wp:docPr id="1" name="Picture 1" descr="A group of people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ictur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9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2"/>
          <w:szCs w:val="22"/>
        </w:rPr>
        <w:t xml:space="preserve">  </w:t>
      </w: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727B01F5" wp14:editId="2AEE2D62">
            <wp:extent cx="2970000" cy="1979281"/>
            <wp:effectExtent l="0" t="0" r="1905" b="2540"/>
            <wp:docPr id="2" name="Picture 2" descr="A group of people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ictur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97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F4E63" w14:textId="62B3C9EF" w:rsidR="00CC3E2D" w:rsidRPr="001D4C2E" w:rsidRDefault="00EE0289" w:rsidP="007A7EF6">
      <w:pPr>
        <w:spacing w:after="160" w:line="259" w:lineRule="auto"/>
      </w:pPr>
      <w:r>
        <w:t xml:space="preserve">These supporting images are available to </w:t>
      </w:r>
      <w:hyperlink r:id="rId16" w:history="1">
        <w:r w:rsidRPr="00EE0289">
          <w:rPr>
            <w:rStyle w:val="Hyperlink"/>
          </w:rPr>
          <w:t>download from our website</w:t>
        </w:r>
      </w:hyperlink>
      <w:r>
        <w:t>.</w:t>
      </w:r>
    </w:p>
    <w:sectPr w:rsidR="00CC3E2D" w:rsidRPr="001D4C2E" w:rsidSect="006257F1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C1F5" w14:textId="77777777" w:rsidR="00B10772" w:rsidRDefault="00B10772" w:rsidP="00980262">
      <w:pPr>
        <w:spacing w:after="0"/>
      </w:pPr>
      <w:r>
        <w:separator/>
      </w:r>
    </w:p>
  </w:endnote>
  <w:endnote w:type="continuationSeparator" w:id="0">
    <w:p w14:paraId="1762A8D0" w14:textId="77777777" w:rsidR="00B10772" w:rsidRDefault="00B10772" w:rsidP="00980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070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EDC96" w14:textId="77777777" w:rsidR="00FD45FE" w:rsidRDefault="00FD45FE" w:rsidP="003B6F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9128F4" w14:textId="77777777" w:rsidR="00FD45FE" w:rsidRDefault="00FD45FE" w:rsidP="00FD45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C2B9" w14:textId="77777777" w:rsidR="00FD45FE" w:rsidRDefault="00694FEB" w:rsidP="00FD45FE">
    <w:pPr>
      <w:pStyle w:val="Footer"/>
      <w:ind w:right="360"/>
    </w:pPr>
    <w:r>
      <w:rPr>
        <w:noProof/>
      </w:rPr>
      <w:drawing>
        <wp:anchor distT="0" distB="0" distL="114300" distR="114300" simplePos="0" relativeHeight="251659262" behindDoc="1" locked="0" layoutInCell="1" allowOverlap="1" wp14:anchorId="02B029F2" wp14:editId="3B45DCC4">
          <wp:simplePos x="0" y="0"/>
          <wp:positionH relativeFrom="column">
            <wp:posOffset>-720090</wp:posOffset>
          </wp:positionH>
          <wp:positionV relativeFrom="paragraph">
            <wp:posOffset>-176</wp:posOffset>
          </wp:positionV>
          <wp:extent cx="7560000" cy="660460"/>
          <wp:effectExtent l="0" t="0" r="0" b="0"/>
          <wp:wrapNone/>
          <wp:docPr id="1537162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068567" name="Picture 17890685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3081" w14:textId="77777777" w:rsidR="00694FEB" w:rsidRDefault="00595C56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CD3429C" wp14:editId="6FAF1B42">
          <wp:simplePos x="0" y="0"/>
          <wp:positionH relativeFrom="column">
            <wp:posOffset>-719455</wp:posOffset>
          </wp:positionH>
          <wp:positionV relativeFrom="paragraph">
            <wp:posOffset>-45288</wp:posOffset>
          </wp:positionV>
          <wp:extent cx="7560000" cy="711230"/>
          <wp:effectExtent l="0" t="0" r="0" b="0"/>
          <wp:wrapNone/>
          <wp:docPr id="849121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121652" name="Picture 8491216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431D" w14:textId="77777777" w:rsidR="00B10772" w:rsidRDefault="00B10772" w:rsidP="00980262">
      <w:pPr>
        <w:spacing w:after="0"/>
      </w:pPr>
      <w:r>
        <w:separator/>
      </w:r>
    </w:p>
  </w:footnote>
  <w:footnote w:type="continuationSeparator" w:id="0">
    <w:p w14:paraId="39963EFB" w14:textId="77777777" w:rsidR="00B10772" w:rsidRDefault="00B10772" w:rsidP="00980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B384" w14:textId="77777777" w:rsidR="00694FEB" w:rsidRDefault="00694FE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6161FF" wp14:editId="28F9654E">
          <wp:simplePos x="0" y="0"/>
          <wp:positionH relativeFrom="column">
            <wp:posOffset>-719455</wp:posOffset>
          </wp:positionH>
          <wp:positionV relativeFrom="paragraph">
            <wp:posOffset>-445973</wp:posOffset>
          </wp:positionV>
          <wp:extent cx="7560000" cy="660461"/>
          <wp:effectExtent l="0" t="0" r="0" b="0"/>
          <wp:wrapNone/>
          <wp:docPr id="162387824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878242" name="Picture 1623878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8BF6" w14:textId="77777777" w:rsidR="00980262" w:rsidRDefault="00694FEB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0233195C" wp14:editId="7D6093D8">
          <wp:simplePos x="0" y="0"/>
          <wp:positionH relativeFrom="column">
            <wp:posOffset>-720090</wp:posOffset>
          </wp:positionH>
          <wp:positionV relativeFrom="paragraph">
            <wp:posOffset>-445982</wp:posOffset>
          </wp:positionV>
          <wp:extent cx="7560000" cy="1727999"/>
          <wp:effectExtent l="0" t="0" r="0" b="0"/>
          <wp:wrapNone/>
          <wp:docPr id="1864506157" name="Picture 2" descr="A close-up of 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06157" name="Picture 2" descr="A close-up of 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262">
      <w:rPr>
        <w:noProof/>
      </w:rPr>
      <w:drawing>
        <wp:anchor distT="0" distB="0" distL="114300" distR="114300" simplePos="0" relativeHeight="251661312" behindDoc="0" locked="0" layoutInCell="1" allowOverlap="1" wp14:anchorId="7D14B2DD" wp14:editId="1E1EC0B3">
          <wp:simplePos x="0" y="0"/>
          <wp:positionH relativeFrom="column">
            <wp:posOffset>4280535</wp:posOffset>
          </wp:positionH>
          <wp:positionV relativeFrom="paragraph">
            <wp:posOffset>-216610</wp:posOffset>
          </wp:positionV>
          <wp:extent cx="1917700" cy="482600"/>
          <wp:effectExtent l="0" t="0" r="0" b="0"/>
          <wp:wrapNone/>
          <wp:docPr id="745900646" name="Picture 745900646" descr="A black background with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734889" name="Picture 2" descr="A black background with grey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8A3"/>
    <w:multiLevelType w:val="hybridMultilevel"/>
    <w:tmpl w:val="8744D3F0"/>
    <w:lvl w:ilvl="0" w:tplc="2EDE71CE">
      <w:numFmt w:val="bullet"/>
      <w:pStyle w:val="Bulletpointbody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7A4"/>
    <w:multiLevelType w:val="hybridMultilevel"/>
    <w:tmpl w:val="D844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C00"/>
    <w:multiLevelType w:val="hybridMultilevel"/>
    <w:tmpl w:val="DBE681F2"/>
    <w:lvl w:ilvl="0" w:tplc="0D582DD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A47BC"/>
    <w:multiLevelType w:val="hybridMultilevel"/>
    <w:tmpl w:val="93A4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7D2F"/>
    <w:multiLevelType w:val="hybridMultilevel"/>
    <w:tmpl w:val="8EACFC24"/>
    <w:lvl w:ilvl="0" w:tplc="4D02BF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B71D4"/>
    <w:multiLevelType w:val="hybridMultilevel"/>
    <w:tmpl w:val="93882FCA"/>
    <w:lvl w:ilvl="0" w:tplc="D5EC7582">
      <w:start w:val="1"/>
      <w:numFmt w:val="decimal"/>
      <w:pStyle w:val="Numberlist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564488"/>
    <w:multiLevelType w:val="hybridMultilevel"/>
    <w:tmpl w:val="1034E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2E64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6F71"/>
    <w:multiLevelType w:val="hybridMultilevel"/>
    <w:tmpl w:val="2F7E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53437"/>
    <w:multiLevelType w:val="hybridMultilevel"/>
    <w:tmpl w:val="CDE2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674E"/>
    <w:multiLevelType w:val="hybridMultilevel"/>
    <w:tmpl w:val="EF320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611F6"/>
    <w:multiLevelType w:val="hybridMultilevel"/>
    <w:tmpl w:val="885212B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43697733">
    <w:abstractNumId w:val="8"/>
  </w:num>
  <w:num w:numId="2" w16cid:durableId="346366457">
    <w:abstractNumId w:val="2"/>
  </w:num>
  <w:num w:numId="3" w16cid:durableId="2009598343">
    <w:abstractNumId w:val="3"/>
  </w:num>
  <w:num w:numId="4" w16cid:durableId="205215046">
    <w:abstractNumId w:val="1"/>
  </w:num>
  <w:num w:numId="5" w16cid:durableId="908343298">
    <w:abstractNumId w:val="7"/>
  </w:num>
  <w:num w:numId="6" w16cid:durableId="1423993243">
    <w:abstractNumId w:val="0"/>
  </w:num>
  <w:num w:numId="7" w16cid:durableId="363098377">
    <w:abstractNumId w:val="4"/>
  </w:num>
  <w:num w:numId="8" w16cid:durableId="431440708">
    <w:abstractNumId w:val="5"/>
  </w:num>
  <w:num w:numId="9" w16cid:durableId="1131899666">
    <w:abstractNumId w:val="10"/>
  </w:num>
  <w:num w:numId="10" w16cid:durableId="994798311">
    <w:abstractNumId w:val="9"/>
  </w:num>
  <w:num w:numId="11" w16cid:durableId="488794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72"/>
    <w:rsid w:val="00051634"/>
    <w:rsid w:val="000A5516"/>
    <w:rsid w:val="00135243"/>
    <w:rsid w:val="001D001C"/>
    <w:rsid w:val="001D4C2E"/>
    <w:rsid w:val="001E7E6F"/>
    <w:rsid w:val="001F5DEE"/>
    <w:rsid w:val="0021115D"/>
    <w:rsid w:val="00245208"/>
    <w:rsid w:val="00247D9F"/>
    <w:rsid w:val="00277400"/>
    <w:rsid w:val="00282BEA"/>
    <w:rsid w:val="002A7D60"/>
    <w:rsid w:val="00302797"/>
    <w:rsid w:val="00332E53"/>
    <w:rsid w:val="00340411"/>
    <w:rsid w:val="0034333B"/>
    <w:rsid w:val="00381C27"/>
    <w:rsid w:val="003D71BF"/>
    <w:rsid w:val="003E41AA"/>
    <w:rsid w:val="003E4FD1"/>
    <w:rsid w:val="003F042A"/>
    <w:rsid w:val="003F21A7"/>
    <w:rsid w:val="004147BE"/>
    <w:rsid w:val="00494FA1"/>
    <w:rsid w:val="004C3B23"/>
    <w:rsid w:val="00524B24"/>
    <w:rsid w:val="00595C56"/>
    <w:rsid w:val="005C31D5"/>
    <w:rsid w:val="005D6641"/>
    <w:rsid w:val="005F510A"/>
    <w:rsid w:val="00604A2C"/>
    <w:rsid w:val="00612433"/>
    <w:rsid w:val="006217CB"/>
    <w:rsid w:val="006257F1"/>
    <w:rsid w:val="00663E0A"/>
    <w:rsid w:val="00694FEB"/>
    <w:rsid w:val="006C2141"/>
    <w:rsid w:val="00704209"/>
    <w:rsid w:val="00765503"/>
    <w:rsid w:val="007714F9"/>
    <w:rsid w:val="007A7EF6"/>
    <w:rsid w:val="007F574D"/>
    <w:rsid w:val="008A11A9"/>
    <w:rsid w:val="008D4919"/>
    <w:rsid w:val="00953AF9"/>
    <w:rsid w:val="0096369F"/>
    <w:rsid w:val="00980262"/>
    <w:rsid w:val="009C7A19"/>
    <w:rsid w:val="00A168B6"/>
    <w:rsid w:val="00A4404D"/>
    <w:rsid w:val="00A9338E"/>
    <w:rsid w:val="00AB230E"/>
    <w:rsid w:val="00B10772"/>
    <w:rsid w:val="00B55ABF"/>
    <w:rsid w:val="00BC54A0"/>
    <w:rsid w:val="00C62D20"/>
    <w:rsid w:val="00C83849"/>
    <w:rsid w:val="00C96408"/>
    <w:rsid w:val="00CB79C3"/>
    <w:rsid w:val="00CC3E2D"/>
    <w:rsid w:val="00D83698"/>
    <w:rsid w:val="00DA5808"/>
    <w:rsid w:val="00DC6D60"/>
    <w:rsid w:val="00DD2D32"/>
    <w:rsid w:val="00E0168F"/>
    <w:rsid w:val="00EB4FAD"/>
    <w:rsid w:val="00EE0289"/>
    <w:rsid w:val="00EF60E6"/>
    <w:rsid w:val="00F617E2"/>
    <w:rsid w:val="00F96A88"/>
    <w:rsid w:val="00FD45FE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519A6"/>
  <w15:chartTrackingRefBased/>
  <w15:docId w15:val="{0F21F161-48C1-4C6D-8384-8BB0E46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96408"/>
    <w:pPr>
      <w:spacing w:after="120"/>
    </w:pPr>
    <w:rPr>
      <w:color w:val="484948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8187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33651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74D"/>
    <w:pPr>
      <w:keepNext/>
      <w:keepLines/>
      <w:spacing w:before="360" w:after="240"/>
      <w:outlineLvl w:val="2"/>
    </w:pPr>
    <w:rPr>
      <w:rFonts w:asciiTheme="majorHAnsi" w:eastAsiaTheme="majorEastAsia" w:hAnsiTheme="majorHAnsi" w:cstheme="majorBidi"/>
      <w:color w:val="0F8187" w:themeColor="accent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91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0F81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262"/>
  </w:style>
  <w:style w:type="paragraph" w:styleId="Footer">
    <w:name w:val="footer"/>
    <w:basedOn w:val="Normal"/>
    <w:link w:val="FooterChar"/>
    <w:uiPriority w:val="99"/>
    <w:unhideWhenUsed/>
    <w:rsid w:val="00980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262"/>
  </w:style>
  <w:style w:type="character" w:styleId="SubtleEmphasis">
    <w:name w:val="Subtle Emphasis"/>
    <w:basedOn w:val="DefaultParagraphFont"/>
    <w:uiPriority w:val="19"/>
    <w:qFormat/>
    <w:rsid w:val="000A5516"/>
    <w:rPr>
      <w:i/>
      <w:iCs/>
      <w:color w:val="757675" w:themeColor="text1" w:themeTint="BF"/>
    </w:rPr>
  </w:style>
  <w:style w:type="paragraph" w:styleId="NoSpacing">
    <w:name w:val="No Spacing"/>
    <w:uiPriority w:val="1"/>
    <w:qFormat/>
    <w:rsid w:val="00A9338E"/>
    <w:rPr>
      <w:color w:val="484948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4FD1"/>
    <w:rPr>
      <w:rFonts w:asciiTheme="majorHAnsi" w:eastAsiaTheme="majorEastAsia" w:hAnsiTheme="majorHAnsi" w:cstheme="majorBidi"/>
      <w:b/>
      <w:color w:val="0F8187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7E2"/>
    <w:rPr>
      <w:rFonts w:asciiTheme="majorHAnsi" w:eastAsiaTheme="majorEastAsia" w:hAnsiTheme="majorHAnsi" w:cstheme="majorBidi"/>
      <w:b/>
      <w:color w:val="033651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574D"/>
    <w:rPr>
      <w:rFonts w:asciiTheme="majorHAnsi" w:eastAsiaTheme="majorEastAsia" w:hAnsiTheme="majorHAnsi" w:cstheme="majorBidi"/>
      <w:color w:val="0F8187" w:themeColor="accent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919"/>
    <w:rPr>
      <w:rFonts w:asciiTheme="majorHAnsi" w:eastAsiaTheme="majorEastAsia" w:hAnsiTheme="majorHAnsi" w:cstheme="majorBidi"/>
      <w:b/>
      <w:iCs/>
      <w:color w:val="0F8187" w:themeColor="accent3"/>
      <w:sz w:val="20"/>
    </w:rPr>
  </w:style>
  <w:style w:type="table" w:styleId="TableGrid">
    <w:name w:val="Table Grid"/>
    <w:basedOn w:val="TableNormal"/>
    <w:uiPriority w:val="39"/>
    <w:rsid w:val="0066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68F"/>
    <w:pPr>
      <w:ind w:left="720"/>
      <w:contextualSpacing/>
    </w:pPr>
  </w:style>
  <w:style w:type="paragraph" w:customStyle="1" w:styleId="Bulletpointbody">
    <w:name w:val="Bullet point body"/>
    <w:basedOn w:val="ListParagraph"/>
    <w:qFormat/>
    <w:rsid w:val="00C62D20"/>
    <w:pPr>
      <w:numPr>
        <w:numId w:val="6"/>
      </w:numPr>
      <w:ind w:left="426" w:hanging="284"/>
    </w:pPr>
  </w:style>
  <w:style w:type="character" w:styleId="PageNumber">
    <w:name w:val="page number"/>
    <w:basedOn w:val="DefaultParagraphFont"/>
    <w:uiPriority w:val="99"/>
    <w:semiHidden/>
    <w:unhideWhenUsed/>
    <w:rsid w:val="00FD45FE"/>
  </w:style>
  <w:style w:type="paragraph" w:customStyle="1" w:styleId="Numberlist">
    <w:name w:val="Number list"/>
    <w:basedOn w:val="Bulletpointbody"/>
    <w:qFormat/>
    <w:rsid w:val="00F617E2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B10772"/>
    <w:rPr>
      <w:color w:val="0563C1" w:themeColor="hyperlink"/>
      <w:u w:val="single"/>
    </w:rPr>
  </w:style>
  <w:style w:type="paragraph" w:customStyle="1" w:styleId="normalbeforebullet">
    <w:name w:val="normal before bullet"/>
    <w:basedOn w:val="Normal"/>
    <w:autoRedefine/>
    <w:qFormat/>
    <w:rsid w:val="00B10772"/>
    <w:pPr>
      <w:spacing w:after="60" w:line="260" w:lineRule="exact"/>
      <w:ind w:left="-142"/>
    </w:pPr>
    <w:rPr>
      <w:rFonts w:ascii="Arial" w:hAnsi="Arial"/>
      <w:color w:val="auto"/>
      <w:kern w:val="0"/>
      <w:sz w:val="21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02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5DEE"/>
    <w:rPr>
      <w:color w:val="484948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mblinghelpqld.org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qld.gov.au/forgettheb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ublications.qld.gov.au/dataset/sports-betting-campaig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mblinghelpqld.org.au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qld.gov.au/forgetthebet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nsRo\Downloads\document-short-portrait%20(1).dotx" TargetMode="External"/></Relationships>
</file>

<file path=word/theme/theme1.xml><?xml version="1.0" encoding="utf-8"?>
<a:theme xmlns:a="http://schemas.openxmlformats.org/drawingml/2006/main" name="Office Theme">
  <a:themeElements>
    <a:clrScheme name="Department of Justice and Attorney-General">
      <a:dk1>
        <a:srgbClr val="484948"/>
      </a:dk1>
      <a:lt1>
        <a:srgbClr val="FFFFFF"/>
      </a:lt1>
      <a:dk2>
        <a:srgbClr val="063651"/>
      </a:dk2>
      <a:lt2>
        <a:srgbClr val="FFFFFF"/>
      </a:lt2>
      <a:accent1>
        <a:srgbClr val="033651"/>
      </a:accent1>
      <a:accent2>
        <a:srgbClr val="66C8CB"/>
      </a:accent2>
      <a:accent3>
        <a:srgbClr val="0F8187"/>
      </a:accent3>
      <a:accent4>
        <a:srgbClr val="F89F34"/>
      </a:accent4>
      <a:accent5>
        <a:srgbClr val="E5E8E8"/>
      </a:accent5>
      <a:accent6>
        <a:srgbClr val="E5E8E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9DBAE-CBC3-6748-9F50-525F1BFD9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495D4-6706-4854-AB22-FE205F79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F0EA7-D7CD-4295-B7A2-F6EB4084B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document-short-portrait (1).dotx</Template>
  <TotalTime>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Evans</dc:creator>
  <cp:keywords/>
  <dc:description/>
  <cp:lastModifiedBy>Rosie Evans</cp:lastModifiedBy>
  <cp:revision>3</cp:revision>
  <cp:lastPrinted>2023-10-06T01:22:00Z</cp:lastPrinted>
  <dcterms:created xsi:type="dcterms:W3CDTF">2024-03-27T00:10:00Z</dcterms:created>
  <dcterms:modified xsi:type="dcterms:W3CDTF">2024-11-25T01:28:00Z</dcterms:modified>
</cp:coreProperties>
</file>