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6CC" w14:textId="489BBBE0" w:rsidR="00BE69CD" w:rsidRDefault="00197203" w:rsidP="00A34C50">
      <w:pPr>
        <w:pStyle w:val="Heading1"/>
        <w:spacing w:before="120" w:after="240"/>
        <w:sectPr w:rsidR="00BE69CD" w:rsidSect="001F15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3811" w:h="16838" w:orient="landscape" w:code="8"/>
          <w:pgMar w:top="2268" w:right="1440" w:bottom="1440" w:left="1440" w:header="708" w:footer="708" w:gutter="0"/>
          <w:cols w:space="708"/>
          <w:titlePg/>
          <w:docGrid w:linePitch="360"/>
        </w:sectPr>
      </w:pPr>
      <w:r>
        <w:t xml:space="preserve">Equity and </w:t>
      </w:r>
      <w:r w:rsidR="00B60509">
        <w:t>d</w:t>
      </w:r>
      <w:r>
        <w:t xml:space="preserve">iversity </w:t>
      </w:r>
      <w:r w:rsidR="00B60509">
        <w:t>p</w:t>
      </w:r>
      <w:r>
        <w:t>lan 2025-202</w:t>
      </w:r>
      <w:r w:rsidR="00635361">
        <w:t>8</w:t>
      </w:r>
    </w:p>
    <w:tbl>
      <w:tblPr>
        <w:tblStyle w:val="TableGrid"/>
        <w:tblW w:w="21120" w:type="dxa"/>
        <w:tblLook w:val="04A0" w:firstRow="1" w:lastRow="0" w:firstColumn="1" w:lastColumn="0" w:noHBand="0" w:noVBand="1"/>
      </w:tblPr>
      <w:tblGrid>
        <w:gridCol w:w="2122"/>
        <w:gridCol w:w="9675"/>
        <w:gridCol w:w="4079"/>
        <w:gridCol w:w="5244"/>
      </w:tblGrid>
      <w:tr w:rsidR="008A6E4C" w14:paraId="328E2069" w14:textId="77777777" w:rsidTr="008036D1">
        <w:trPr>
          <w:trHeight w:val="3199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135F3" w14:textId="2DBAEF7A" w:rsidR="008A6E4C" w:rsidRDefault="008A6E4C" w:rsidP="00EF3CFD">
            <w:pPr>
              <w:pStyle w:val="Heading2"/>
            </w:pPr>
            <w:r>
              <w:t xml:space="preserve">About </w:t>
            </w:r>
            <w:r w:rsidR="00B60509">
              <w:t>t</w:t>
            </w:r>
            <w:r>
              <w:t xml:space="preserve">his </w:t>
            </w:r>
            <w:r w:rsidR="00B60509">
              <w:t>p</w:t>
            </w:r>
            <w:r>
              <w:t>lan</w:t>
            </w:r>
          </w:p>
          <w:p w14:paraId="54256191" w14:textId="33FC1094" w:rsidR="008A6E4C" w:rsidRPr="004C4F5B" w:rsidRDefault="008A6E4C" w:rsidP="00B60509">
            <w:pPr>
              <w:tabs>
                <w:tab w:val="left" w:pos="14796"/>
              </w:tabs>
              <w:rPr>
                <w:sz w:val="20"/>
                <w:szCs w:val="20"/>
              </w:rPr>
            </w:pPr>
            <w:r w:rsidRPr="004C4F5B">
              <w:rPr>
                <w:sz w:val="20"/>
                <w:szCs w:val="20"/>
              </w:rPr>
              <w:t>The Department of Youth Justice and Victim Support (DYJVS) was formed in October 2024</w:t>
            </w:r>
            <w:r w:rsidR="001120F9">
              <w:rPr>
                <w:sz w:val="20"/>
                <w:szCs w:val="20"/>
              </w:rPr>
              <w:t>.</w:t>
            </w:r>
            <w:r w:rsidR="00554697">
              <w:rPr>
                <w:sz w:val="20"/>
                <w:szCs w:val="20"/>
              </w:rPr>
              <w:t xml:space="preserve"> The new </w:t>
            </w:r>
            <w:r w:rsidR="00B60509">
              <w:rPr>
                <w:sz w:val="20"/>
                <w:szCs w:val="20"/>
              </w:rPr>
              <w:t>d</w:t>
            </w:r>
            <w:r w:rsidR="00554697">
              <w:rPr>
                <w:sz w:val="20"/>
                <w:szCs w:val="20"/>
              </w:rPr>
              <w:t xml:space="preserve">epartment brought together the former Department of Youth Justice, with Victim Support functions </w:t>
            </w:r>
            <w:r w:rsidR="00B60509">
              <w:rPr>
                <w:sz w:val="20"/>
                <w:szCs w:val="20"/>
              </w:rPr>
              <w:t>(</w:t>
            </w:r>
            <w:r w:rsidR="00554697">
              <w:rPr>
                <w:sz w:val="20"/>
                <w:szCs w:val="20"/>
              </w:rPr>
              <w:t xml:space="preserve">including </w:t>
            </w:r>
            <w:r w:rsidRPr="004C4F5B">
              <w:rPr>
                <w:sz w:val="20"/>
                <w:szCs w:val="20"/>
              </w:rPr>
              <w:t>Victim Assist Queensland</w:t>
            </w:r>
            <w:r w:rsidR="00B60509">
              <w:rPr>
                <w:sz w:val="20"/>
                <w:szCs w:val="20"/>
              </w:rPr>
              <w:t>)</w:t>
            </w:r>
            <w:r w:rsidRPr="004C4F5B">
              <w:rPr>
                <w:sz w:val="20"/>
                <w:szCs w:val="20"/>
              </w:rPr>
              <w:t xml:space="preserve"> and </w:t>
            </w:r>
            <w:r w:rsidR="00554697">
              <w:rPr>
                <w:sz w:val="20"/>
                <w:szCs w:val="20"/>
              </w:rPr>
              <w:t>provides support for the</w:t>
            </w:r>
            <w:r w:rsidRPr="004C4F5B">
              <w:rPr>
                <w:sz w:val="20"/>
                <w:szCs w:val="20"/>
              </w:rPr>
              <w:t xml:space="preserve"> Office of Victims’ Commissioner.  </w:t>
            </w:r>
          </w:p>
          <w:p w14:paraId="391CDF9A" w14:textId="77777777" w:rsidR="008A6E4C" w:rsidRPr="004C4F5B" w:rsidRDefault="008A6E4C" w:rsidP="00B60509">
            <w:pPr>
              <w:rPr>
                <w:rFonts w:cs="Arial"/>
                <w:sz w:val="20"/>
                <w:szCs w:val="20"/>
              </w:rPr>
            </w:pPr>
            <w:r w:rsidRPr="004C4F5B">
              <w:rPr>
                <w:rFonts w:cs="Arial"/>
                <w:sz w:val="20"/>
                <w:szCs w:val="20"/>
              </w:rPr>
              <w:t>We are committed to fostering equity, diversity, and inclusion, creating a workplace where everyone feels safe, valued and included. Our people are treated with fairness and provided with meaningful opportunities to contribute, with a particular focus on supporting diverse groups and promoting greater equity.</w:t>
            </w:r>
          </w:p>
          <w:p w14:paraId="49153F66" w14:textId="7AB69234" w:rsidR="008A6E4C" w:rsidRPr="00EF3CFD" w:rsidRDefault="008A6E4C" w:rsidP="00B60509">
            <w:pPr>
              <w:spacing w:after="120"/>
              <w:rPr>
                <w:rFonts w:cs="Arial"/>
                <w:sz w:val="20"/>
                <w:szCs w:val="20"/>
              </w:rPr>
            </w:pPr>
            <w:r w:rsidRPr="004C4F5B">
              <w:rPr>
                <w:rFonts w:cs="Arial"/>
                <w:sz w:val="20"/>
                <w:szCs w:val="20"/>
              </w:rPr>
              <w:t xml:space="preserve">The Equity and </w:t>
            </w:r>
            <w:r w:rsidR="00B60509">
              <w:rPr>
                <w:rFonts w:cs="Arial"/>
                <w:sz w:val="20"/>
                <w:szCs w:val="20"/>
              </w:rPr>
              <w:t>d</w:t>
            </w:r>
            <w:r w:rsidRPr="004C4F5B">
              <w:rPr>
                <w:rFonts w:cs="Arial"/>
                <w:sz w:val="20"/>
                <w:szCs w:val="20"/>
              </w:rPr>
              <w:t xml:space="preserve">iversity </w:t>
            </w:r>
            <w:r w:rsidR="00B60509">
              <w:rPr>
                <w:rFonts w:cs="Arial"/>
                <w:sz w:val="20"/>
                <w:szCs w:val="20"/>
              </w:rPr>
              <w:t>p</w:t>
            </w:r>
            <w:r w:rsidRPr="004C4F5B">
              <w:rPr>
                <w:rFonts w:cs="Arial"/>
                <w:sz w:val="20"/>
                <w:szCs w:val="20"/>
              </w:rPr>
              <w:t xml:space="preserve">lan builds on this commitment by providing a clear roadmap for implementing our equity and diversity strategy and addressing the findings of the Equity and </w:t>
            </w:r>
            <w:r w:rsidR="00B60509">
              <w:rPr>
                <w:rFonts w:cs="Arial"/>
                <w:sz w:val="20"/>
                <w:szCs w:val="20"/>
              </w:rPr>
              <w:t>d</w:t>
            </w:r>
            <w:r w:rsidRPr="004C4F5B">
              <w:rPr>
                <w:rFonts w:cs="Arial"/>
                <w:sz w:val="20"/>
                <w:szCs w:val="20"/>
              </w:rPr>
              <w:t xml:space="preserve">iversity </w:t>
            </w:r>
            <w:r w:rsidR="00B60509">
              <w:rPr>
                <w:rFonts w:cs="Arial"/>
                <w:sz w:val="20"/>
                <w:szCs w:val="20"/>
              </w:rPr>
              <w:t>a</w:t>
            </w:r>
            <w:r w:rsidRPr="004C4F5B">
              <w:rPr>
                <w:rFonts w:cs="Arial"/>
                <w:sz w:val="20"/>
                <w:szCs w:val="20"/>
              </w:rPr>
              <w:t xml:space="preserve">udit </w:t>
            </w:r>
            <w:r w:rsidR="00B60509">
              <w:rPr>
                <w:rFonts w:cs="Arial"/>
                <w:sz w:val="20"/>
                <w:szCs w:val="20"/>
              </w:rPr>
              <w:t>r</w:t>
            </w:r>
            <w:r w:rsidRPr="004C4F5B">
              <w:rPr>
                <w:rFonts w:cs="Arial"/>
                <w:sz w:val="20"/>
                <w:szCs w:val="20"/>
              </w:rPr>
              <w:t xml:space="preserve">eport. It outlines the priorities, actions, and measures needed to drive meaningful change. Key objectives include improving recruitment and selection processes, increasing the participation of diversity groups, and cultivating a safe, inclusive and equitable workplace culture. This </w:t>
            </w:r>
            <w:r w:rsidR="00654C98">
              <w:rPr>
                <w:rFonts w:cs="Arial"/>
                <w:sz w:val="20"/>
                <w:szCs w:val="20"/>
              </w:rPr>
              <w:t>p</w:t>
            </w:r>
            <w:r w:rsidRPr="004C4F5B">
              <w:rPr>
                <w:rFonts w:cs="Arial"/>
                <w:sz w:val="20"/>
                <w:szCs w:val="20"/>
              </w:rPr>
              <w:t>lan is reviewed on an annual basis to remain aligned with evolving priorities.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7543A2" w14:textId="5313EFAF" w:rsidR="008A6E4C" w:rsidRDefault="008A6E4C" w:rsidP="00754BBC">
            <w:pPr>
              <w:pStyle w:val="Heading2"/>
              <w:ind w:left="320"/>
            </w:pPr>
            <w:r>
              <w:t xml:space="preserve">Our </w:t>
            </w:r>
            <w:r w:rsidR="00B60509">
              <w:t>d</w:t>
            </w:r>
            <w:r>
              <w:t xml:space="preserve">iversity </w:t>
            </w:r>
            <w:proofErr w:type="gramStart"/>
            <w:r w:rsidR="00B60509">
              <w:t>t</w:t>
            </w:r>
            <w:r>
              <w:t>arget</w:t>
            </w:r>
            <w:proofErr w:type="gramEnd"/>
          </w:p>
          <w:p w14:paraId="0DD3D750" w14:textId="78946826" w:rsidR="00635361" w:rsidRPr="00635361" w:rsidRDefault="00754BBC" w:rsidP="00754BBC">
            <w:pPr>
              <w:pStyle w:val="Heading3"/>
              <w:ind w:left="320"/>
              <w:rPr>
                <w:bCs w:val="0"/>
                <w:color w:val="auto"/>
                <w:sz w:val="22"/>
                <w:szCs w:val="24"/>
              </w:rPr>
            </w:pPr>
            <w:r w:rsidRPr="00635361">
              <w:rPr>
                <w:b/>
                <w:bCs w:val="0"/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554FCD80" wp14:editId="7E00A6B1">
                      <wp:simplePos x="0" y="0"/>
                      <wp:positionH relativeFrom="margin">
                        <wp:posOffset>263420</wp:posOffset>
                      </wp:positionH>
                      <wp:positionV relativeFrom="paragraph">
                        <wp:posOffset>1052195</wp:posOffset>
                      </wp:positionV>
                      <wp:extent cx="1495425" cy="371475"/>
                      <wp:effectExtent l="0" t="0" r="9525" b="9525"/>
                      <wp:wrapNone/>
                      <wp:docPr id="13445580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34F4D" w14:textId="77777777" w:rsidR="00635361" w:rsidRPr="00B60509" w:rsidRDefault="00635361" w:rsidP="00635361">
                                  <w:pPr>
                                    <w:pStyle w:val="Heading4"/>
                                    <w:spacing w:before="0"/>
                                    <w:rPr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</w:pPr>
                                  <w:r w:rsidRPr="00B60509">
                                    <w:rPr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  <w:t>Aboriginal and Torres Strait Islander Peoples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FCD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75pt;margin-top:82.85pt;width:117.75pt;height:29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" stroked="f">
                      <v:textbox>
                        <w:txbxContent>
                          <w:p w14:paraId="66034F4D" w14:textId="77777777" w:rsidR="00635361" w:rsidRPr="00B60509" w:rsidRDefault="00635361" w:rsidP="00635361">
                            <w:pPr>
                              <w:pStyle w:val="Heading4"/>
                              <w:spacing w:before="0"/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B60509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Aboriginal and Torres Strait Islander Peoples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35361">
              <w:rPr>
                <w:b/>
                <w:bCs w:val="0"/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4AF78DF1" wp14:editId="50E050B5">
                      <wp:simplePos x="0" y="0"/>
                      <wp:positionH relativeFrom="margin">
                        <wp:posOffset>1883666</wp:posOffset>
                      </wp:positionH>
                      <wp:positionV relativeFrom="paragraph">
                        <wp:posOffset>1080770</wp:posOffset>
                      </wp:positionV>
                      <wp:extent cx="1581150" cy="295275"/>
                      <wp:effectExtent l="0" t="0" r="0" b="9525"/>
                      <wp:wrapNone/>
                      <wp:docPr id="9263796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B9C52" w14:textId="3EDF007D" w:rsidR="00635361" w:rsidRPr="00B60509" w:rsidRDefault="00635361" w:rsidP="00635361">
                                  <w:pPr>
                                    <w:pStyle w:val="Heading4"/>
                                    <w:spacing w:before="0"/>
                                    <w:rPr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</w:pPr>
                                  <w:r w:rsidRPr="00B60509">
                                    <w:rPr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  <w:t>People with disability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78DF1" id="_x0000_s1027" type="#_x0000_t202" style="position:absolute;left:0;text-align:left;margin-left:148.3pt;margin-top:85.1pt;width:124.5pt;height:23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" stroked="f">
                      <v:textbox>
                        <w:txbxContent>
                          <w:p w14:paraId="6F8B9C52" w14:textId="3EDF007D" w:rsidR="00635361" w:rsidRPr="00B60509" w:rsidRDefault="00635361" w:rsidP="00635361">
                            <w:pPr>
                              <w:pStyle w:val="Heading4"/>
                              <w:spacing w:before="0"/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B60509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People with disability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35361">
              <w:rPr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04320" behindDoc="1" locked="0" layoutInCell="1" allowOverlap="1" wp14:anchorId="32E1D0CB" wp14:editId="50AFE2B1">
                  <wp:simplePos x="0" y="0"/>
                  <wp:positionH relativeFrom="column">
                    <wp:posOffset>1889760</wp:posOffset>
                  </wp:positionH>
                  <wp:positionV relativeFrom="paragraph">
                    <wp:posOffset>301625</wp:posOffset>
                  </wp:positionV>
                  <wp:extent cx="1367790" cy="791210"/>
                  <wp:effectExtent l="0" t="0" r="3810" b="8890"/>
                  <wp:wrapTight wrapText="bothSides">
                    <wp:wrapPolygon edited="0">
                      <wp:start x="0" y="0"/>
                      <wp:lineTo x="0" y="21323"/>
                      <wp:lineTo x="21359" y="21323"/>
                      <wp:lineTo x="21359" y="0"/>
                      <wp:lineTo x="0" y="0"/>
                    </wp:wrapPolygon>
                  </wp:wrapTight>
                  <wp:docPr id="1089924781" name="Picture 1" descr="A blue and orange percentage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924781" name="Picture 1" descr="A blue and orange percentage sign&#10;&#10;AI-generated content may be incorrect.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4" t="5124" r="3943"/>
                          <a:stretch/>
                        </pic:blipFill>
                        <pic:spPr bwMode="auto">
                          <a:xfrm>
                            <a:off x="0" y="0"/>
                            <a:ext cx="1367790" cy="791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5361">
              <w:rPr>
                <w:bCs w:val="0"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343FEF39" wp14:editId="2461AC27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304165</wp:posOffset>
                  </wp:positionV>
                  <wp:extent cx="1362710" cy="791845"/>
                  <wp:effectExtent l="0" t="0" r="8890" b="8255"/>
                  <wp:wrapTight wrapText="bothSides">
                    <wp:wrapPolygon edited="0">
                      <wp:start x="0" y="0"/>
                      <wp:lineTo x="0" y="21306"/>
                      <wp:lineTo x="21439" y="21306"/>
                      <wp:lineTo x="21439" y="0"/>
                      <wp:lineTo x="0" y="0"/>
                    </wp:wrapPolygon>
                  </wp:wrapTight>
                  <wp:docPr id="756793457" name="Picture 1" descr="Aboriginal and Torres Strait Island People 9%, actual 6.01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93457" name="Picture 1" descr="Aboriginal and Torres Strait Island People 9%, actual 6.01%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0"/>
                          <a:stretch/>
                        </pic:blipFill>
                        <pic:spPr bwMode="auto">
                          <a:xfrm>
                            <a:off x="0" y="0"/>
                            <a:ext cx="1362710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706368" behindDoc="1" locked="0" layoutInCell="1" allowOverlap="1" wp14:anchorId="23E7BD9F" wp14:editId="1713ED23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1379220</wp:posOffset>
                  </wp:positionV>
                  <wp:extent cx="1403985" cy="836930"/>
                  <wp:effectExtent l="0" t="0" r="5715" b="1270"/>
                  <wp:wrapTight wrapText="bothSides">
                    <wp:wrapPolygon edited="0">
                      <wp:start x="0" y="0"/>
                      <wp:lineTo x="0" y="21141"/>
                      <wp:lineTo x="21395" y="21141"/>
                      <wp:lineTo x="21395" y="0"/>
                      <wp:lineTo x="0" y="0"/>
                    </wp:wrapPolygon>
                  </wp:wrapTight>
                  <wp:docPr id="403824152" name="Picture 1" descr="People from culturally and linguistically diverse background 12%, actual 3.82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24152" name="Picture 1" descr="People from culturally and linguistically diverse background 12%, actual 3.82%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589"/>
                          <a:stretch/>
                        </pic:blipFill>
                        <pic:spPr bwMode="auto">
                          <a:xfrm>
                            <a:off x="0" y="0"/>
                            <a:ext cx="1403985" cy="83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E4C" w:rsidRPr="00635361">
              <w:rPr>
                <w:bCs w:val="0"/>
                <w:color w:val="auto"/>
                <w:sz w:val="20"/>
                <w:szCs w:val="20"/>
              </w:rPr>
              <w:t>For 2025-2026</w:t>
            </w:r>
            <w:r w:rsidR="00635361">
              <w:rPr>
                <w:bCs w:val="0"/>
                <w:color w:val="auto"/>
                <w:sz w:val="22"/>
                <w:szCs w:val="24"/>
              </w:rPr>
              <w:t>*</w:t>
            </w:r>
          </w:p>
          <w:p w14:paraId="4F2DFEA0" w14:textId="1858787C" w:rsidR="008A6E4C" w:rsidRPr="008A6E4C" w:rsidRDefault="00754BBC" w:rsidP="008A6E4C">
            <w:pPr>
              <w:pStyle w:val="ListParagraph"/>
              <w:ind w:left="142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2216E">
              <w:rPr>
                <w:b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B87775F" wp14:editId="3FEA37EF">
                      <wp:simplePos x="0" y="0"/>
                      <wp:positionH relativeFrom="margin">
                        <wp:posOffset>231858</wp:posOffset>
                      </wp:positionH>
                      <wp:positionV relativeFrom="paragraph">
                        <wp:posOffset>1952404</wp:posOffset>
                      </wp:positionV>
                      <wp:extent cx="1527230" cy="495300"/>
                      <wp:effectExtent l="0" t="0" r="0" b="0"/>
                      <wp:wrapNone/>
                      <wp:docPr id="12487349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23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6E917" w14:textId="77777777" w:rsidR="00635361" w:rsidRPr="00B60509" w:rsidRDefault="00635361" w:rsidP="00635361">
                                  <w:pPr>
                                    <w:pStyle w:val="Heading4"/>
                                    <w:spacing w:before="0"/>
                                    <w:rPr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</w:pPr>
                                  <w:r w:rsidRPr="00B60509">
                                    <w:rPr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  <w:t xml:space="preserve">People from culturally and linguistically diverse background 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7775F" id="_x0000_s1028" type="#_x0000_t202" style="position:absolute;left:0;text-align:left;margin-left:18.25pt;margin-top:153.75pt;width:120.25pt;height:3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" stroked="f">
                      <v:textbox>
                        <w:txbxContent>
                          <w:p w14:paraId="6E96E917" w14:textId="77777777" w:rsidR="00635361" w:rsidRPr="00B60509" w:rsidRDefault="00635361" w:rsidP="00635361">
                            <w:pPr>
                              <w:pStyle w:val="Heading4"/>
                              <w:spacing w:before="0"/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B60509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People from culturally and linguistically diverse background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2216E">
              <w:rPr>
                <w:b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4D6D5D8" wp14:editId="268B2B4A">
                      <wp:simplePos x="0" y="0"/>
                      <wp:positionH relativeFrom="margin">
                        <wp:posOffset>1859214</wp:posOffset>
                      </wp:positionH>
                      <wp:positionV relativeFrom="paragraph">
                        <wp:posOffset>1953260</wp:posOffset>
                      </wp:positionV>
                      <wp:extent cx="1579245" cy="495300"/>
                      <wp:effectExtent l="0" t="0" r="1905" b="0"/>
                      <wp:wrapNone/>
                      <wp:docPr id="8684407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A878F" w14:textId="77777777" w:rsidR="00635361" w:rsidRPr="00B60509" w:rsidRDefault="00635361" w:rsidP="00635361">
                                  <w:pPr>
                                    <w:pStyle w:val="Heading4"/>
                                    <w:spacing w:before="0"/>
                                    <w:rPr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</w:pPr>
                                  <w:r w:rsidRPr="00B60509">
                                    <w:rPr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  <w:t>Women in leadership (at levels SO and above or equivalent)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6D5D8" id="_x0000_s1029" type="#_x0000_t202" style="position:absolute;left:0;text-align:left;margin-left:146.4pt;margin-top:153.8pt;width:124.35pt;height:3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" stroked="f">
                      <v:textbox>
                        <w:txbxContent>
                          <w:p w14:paraId="64EA878F" w14:textId="77777777" w:rsidR="00635361" w:rsidRPr="00B60509" w:rsidRDefault="00635361" w:rsidP="00635361">
                            <w:pPr>
                              <w:pStyle w:val="Heading4"/>
                              <w:spacing w:before="0"/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B60509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Women in leadership (at levels SO and above or equivalent)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5361"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31202075" wp14:editId="25A775DF">
                  <wp:simplePos x="0" y="0"/>
                  <wp:positionH relativeFrom="column">
                    <wp:posOffset>1851973</wp:posOffset>
                  </wp:positionH>
                  <wp:positionV relativeFrom="paragraph">
                    <wp:posOffset>1162685</wp:posOffset>
                  </wp:positionV>
                  <wp:extent cx="1406525" cy="791845"/>
                  <wp:effectExtent l="0" t="0" r="3175" b="8255"/>
                  <wp:wrapTight wrapText="bothSides">
                    <wp:wrapPolygon edited="0">
                      <wp:start x="0" y="0"/>
                      <wp:lineTo x="0" y="21306"/>
                      <wp:lineTo x="21356" y="21306"/>
                      <wp:lineTo x="21356" y="0"/>
                      <wp:lineTo x="0" y="0"/>
                    </wp:wrapPolygon>
                  </wp:wrapTight>
                  <wp:docPr id="495590121" name="Picture 1" descr="Women in leadership (at levels SO and above or equivalent) 60%, actual 64.56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90121" name="Picture 1" descr="Women in leadership (at levels SO and above or equivalent) 60%, actual 64.56%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5" t="6814"/>
                          <a:stretch/>
                        </pic:blipFill>
                        <pic:spPr bwMode="auto">
                          <a:xfrm>
                            <a:off x="0" y="0"/>
                            <a:ext cx="140652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6E4C" w14:paraId="21B9B0CB" w14:textId="77777777" w:rsidTr="008036D1">
        <w:trPr>
          <w:trHeight w:val="578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30FB7" w14:textId="2C8DB0FD" w:rsidR="008A6E4C" w:rsidRDefault="008A6E4C" w:rsidP="00654C98">
            <w:pPr>
              <w:pStyle w:val="Heading2"/>
              <w:keepLines/>
              <w:spacing w:before="120"/>
            </w:pPr>
            <w:r>
              <w:t xml:space="preserve">Our </w:t>
            </w:r>
            <w:r w:rsidR="00B60509">
              <w:t>f</w:t>
            </w:r>
            <w:r>
              <w:t xml:space="preserve">ocus </w:t>
            </w:r>
            <w:r w:rsidR="00B60509">
              <w:t>a</w:t>
            </w:r>
            <w:r>
              <w:t>rea</w:t>
            </w: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EA697" w14:textId="77777777" w:rsidR="008A6E4C" w:rsidRDefault="008A6E4C" w:rsidP="00EF3CFD">
            <w:pPr>
              <w:pStyle w:val="Heading2"/>
            </w:pPr>
          </w:p>
        </w:tc>
      </w:tr>
      <w:tr w:rsidR="008A6E4C" w14:paraId="12F7672C" w14:textId="77777777" w:rsidTr="008036D1">
        <w:trPr>
          <w:trHeight w:val="290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9EDA4" w14:textId="6965B952" w:rsidR="008A6E4C" w:rsidRPr="008A6E4C" w:rsidRDefault="008A6E4C" w:rsidP="00654C98">
            <w:pPr>
              <w:pStyle w:val="Heading3"/>
              <w:rPr>
                <w:rFonts w:eastAsiaTheme="majorEastAsia"/>
              </w:rPr>
            </w:pPr>
            <w:r w:rsidRPr="008A6E4C">
              <w:rPr>
                <w:rFonts w:eastAsiaTheme="majorEastAsia"/>
              </w:rPr>
              <w:t xml:space="preserve">Focus </w:t>
            </w:r>
            <w:r w:rsidR="00B60509">
              <w:rPr>
                <w:rFonts w:eastAsiaTheme="majorEastAsia"/>
              </w:rPr>
              <w:t>a</w:t>
            </w:r>
            <w:r w:rsidRPr="008A6E4C">
              <w:rPr>
                <w:rFonts w:eastAsiaTheme="majorEastAsia"/>
              </w:rPr>
              <w:t>rea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EAB95" w14:textId="7073FA63" w:rsidR="008A6E4C" w:rsidRPr="008A6E4C" w:rsidRDefault="008A6E4C" w:rsidP="00654C98">
            <w:pPr>
              <w:pStyle w:val="Heading3"/>
              <w:rPr>
                <w:rFonts w:eastAsiaTheme="majorEastAsia"/>
              </w:rPr>
            </w:pPr>
            <w:r w:rsidRPr="008A6E4C">
              <w:rPr>
                <w:rFonts w:eastAsiaTheme="majorEastAsia"/>
              </w:rPr>
              <w:t>Actions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5D5D9" w14:textId="11D4942E" w:rsidR="008A6E4C" w:rsidRPr="008A6E4C" w:rsidRDefault="008A6E4C" w:rsidP="00654C98">
            <w:pPr>
              <w:pStyle w:val="Heading3"/>
              <w:rPr>
                <w:rFonts w:eastAsiaTheme="majorEastAsia"/>
              </w:rPr>
            </w:pPr>
            <w:r w:rsidRPr="008A6E4C">
              <w:rPr>
                <w:rFonts w:eastAsiaTheme="majorEastAsia"/>
              </w:rPr>
              <w:t xml:space="preserve">Measures of </w:t>
            </w:r>
            <w:r w:rsidR="00B60509">
              <w:rPr>
                <w:rFonts w:eastAsiaTheme="majorEastAsia"/>
              </w:rPr>
              <w:t>s</w:t>
            </w:r>
            <w:r w:rsidRPr="008A6E4C">
              <w:rPr>
                <w:rFonts w:eastAsiaTheme="majorEastAsia"/>
              </w:rPr>
              <w:t>uccess</w:t>
            </w: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9F05F" w14:textId="77777777" w:rsidR="008A6E4C" w:rsidRPr="008A6E4C" w:rsidRDefault="008A6E4C" w:rsidP="00EF3CFD">
            <w:pPr>
              <w:pStyle w:val="Heading2"/>
              <w:rPr>
                <w:sz w:val="16"/>
                <w:szCs w:val="16"/>
              </w:rPr>
            </w:pPr>
          </w:p>
        </w:tc>
      </w:tr>
      <w:tr w:rsidR="008A6E4C" w14:paraId="6B52C6F2" w14:textId="77777777" w:rsidTr="008036D1">
        <w:trPr>
          <w:trHeight w:val="2185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0D282" w14:textId="689EC90A" w:rsidR="008A6E4C" w:rsidRPr="00654C98" w:rsidRDefault="008A6E4C" w:rsidP="00EF3CFD">
            <w:pPr>
              <w:pStyle w:val="Heading2"/>
              <w:rPr>
                <w:iCs w:val="0"/>
              </w:rPr>
            </w:pPr>
            <w:r w:rsidRPr="00654C98">
              <w:rPr>
                <w:iCs w:val="0"/>
                <w:noProof/>
              </w:rPr>
              <w:drawing>
                <wp:anchor distT="0" distB="0" distL="114300" distR="114300" simplePos="0" relativeHeight="251698176" behindDoc="1" locked="0" layoutInCell="1" allowOverlap="1" wp14:anchorId="3F2C6E3A" wp14:editId="162A50D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170180</wp:posOffset>
                  </wp:positionV>
                  <wp:extent cx="930916" cy="684000"/>
                  <wp:effectExtent l="0" t="0" r="2540" b="1905"/>
                  <wp:wrapTight wrapText="bothSides">
                    <wp:wrapPolygon edited="0">
                      <wp:start x="7514" y="0"/>
                      <wp:lineTo x="2210" y="4813"/>
                      <wp:lineTo x="0" y="7822"/>
                      <wp:lineTo x="0" y="15042"/>
                      <wp:lineTo x="14587" y="19253"/>
                      <wp:lineTo x="15471" y="21058"/>
                      <wp:lineTo x="18565" y="21058"/>
                      <wp:lineTo x="18123" y="19253"/>
                      <wp:lineTo x="21217" y="14440"/>
                      <wp:lineTo x="21217" y="7822"/>
                      <wp:lineTo x="19007" y="4813"/>
                      <wp:lineTo x="13703" y="0"/>
                      <wp:lineTo x="7514" y="0"/>
                    </wp:wrapPolygon>
                  </wp:wrapTight>
                  <wp:docPr id="1757912837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912837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6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 xml:space="preserve">Recruitment </w:t>
            </w:r>
            <w:r w:rsid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>p</w:t>
            </w:r>
            <w:r w:rsidRP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>rocesses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49F65" w14:textId="5E609457" w:rsidR="008A6E4C" w:rsidRPr="004C4F5B" w:rsidRDefault="008A6E4C" w:rsidP="00A34C50">
            <w:pPr>
              <w:pStyle w:val="ListParagraph"/>
              <w:keepLines/>
              <w:numPr>
                <w:ilvl w:val="1"/>
                <w:numId w:val="2"/>
              </w:numPr>
              <w:spacing w:before="120" w:after="0"/>
              <w:ind w:left="601" w:right="170" w:hanging="567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 xml:space="preserve">Promote the department’s </w:t>
            </w:r>
            <w:r w:rsidR="00654C98" w:rsidRPr="004C4F5B">
              <w:rPr>
                <w:rFonts w:ascii="Arial" w:hAnsi="Arial" w:cs="Arial"/>
                <w:sz w:val="20"/>
                <w:szCs w:val="20"/>
              </w:rPr>
              <w:t xml:space="preserve">employee value proposition </w:t>
            </w:r>
            <w:r w:rsidRPr="004C4F5B">
              <w:rPr>
                <w:rFonts w:ascii="Arial" w:hAnsi="Arial" w:cs="Arial"/>
                <w:sz w:val="20"/>
                <w:szCs w:val="20"/>
              </w:rPr>
              <w:t xml:space="preserve">to attract a broader pool of quality </w:t>
            </w:r>
            <w:proofErr w:type="gramStart"/>
            <w:r w:rsidRPr="004C4F5B">
              <w:rPr>
                <w:rFonts w:ascii="Arial" w:hAnsi="Arial" w:cs="Arial"/>
                <w:sz w:val="20"/>
                <w:szCs w:val="20"/>
              </w:rPr>
              <w:t>candidates</w:t>
            </w:r>
            <w:proofErr w:type="gramEnd"/>
          </w:p>
          <w:p w14:paraId="61E396D8" w14:textId="77777777" w:rsidR="008A6E4C" w:rsidRPr="004C4F5B" w:rsidRDefault="008A6E4C" w:rsidP="00EF3CFD">
            <w:pPr>
              <w:pStyle w:val="ListParagraph"/>
              <w:keepLines/>
              <w:numPr>
                <w:ilvl w:val="1"/>
                <w:numId w:val="2"/>
              </w:numPr>
              <w:spacing w:after="0"/>
              <w:ind w:left="601" w:right="171" w:hanging="567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 xml:space="preserve">Implement targeted strategies and initiatives to improve representation and employment outcomes </w:t>
            </w:r>
          </w:p>
          <w:p w14:paraId="731EBC4D" w14:textId="77777777" w:rsidR="008A6E4C" w:rsidRPr="004C4F5B" w:rsidRDefault="008A6E4C" w:rsidP="00EF3CFD">
            <w:pPr>
              <w:pStyle w:val="ListParagraph"/>
              <w:keepLines/>
              <w:numPr>
                <w:ilvl w:val="1"/>
                <w:numId w:val="2"/>
              </w:numPr>
              <w:spacing w:after="0"/>
              <w:ind w:left="601" w:right="171" w:hanging="567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>Review and enhance resources for employees and hiring managers to improve equity and diversity consideration in recruitment process</w:t>
            </w:r>
          </w:p>
          <w:p w14:paraId="31A8934E" w14:textId="2A1B1768" w:rsidR="008A6E4C" w:rsidRPr="00EF3CFD" w:rsidRDefault="008A6E4C" w:rsidP="00EF3CFD">
            <w:pPr>
              <w:pStyle w:val="ListParagraph"/>
              <w:keepLines/>
              <w:numPr>
                <w:ilvl w:val="1"/>
                <w:numId w:val="2"/>
              </w:numPr>
              <w:spacing w:after="0"/>
              <w:ind w:left="601" w:right="171" w:hanging="567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>Maintain and enhance recruitment processes that are fair, transparent, and equitable across the department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60D59" w14:textId="77777777" w:rsidR="008A6E4C" w:rsidRPr="004C4F5B" w:rsidRDefault="008A6E4C" w:rsidP="00A34C50">
            <w:pPr>
              <w:keepLines/>
              <w:numPr>
                <w:ilvl w:val="0"/>
                <w:numId w:val="12"/>
              </w:numPr>
              <w:spacing w:before="120" w:after="0" w:line="259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4C4F5B">
              <w:rPr>
                <w:rFonts w:cs="Arial"/>
                <w:sz w:val="20"/>
                <w:szCs w:val="20"/>
              </w:rPr>
              <w:t>Increased representation of applicants in diversity groups</w:t>
            </w:r>
          </w:p>
          <w:p w14:paraId="33FAFF80" w14:textId="77777777" w:rsidR="008A6E4C" w:rsidRPr="004C4F5B" w:rsidRDefault="008A6E4C" w:rsidP="00EF3CFD">
            <w:pPr>
              <w:keepLines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20"/>
              </w:rPr>
            </w:pPr>
            <w:r w:rsidRPr="004C4F5B">
              <w:rPr>
                <w:rFonts w:cs="Arial"/>
                <w:sz w:val="20"/>
                <w:szCs w:val="20"/>
              </w:rPr>
              <w:t>Improved measures on previous years’ result</w:t>
            </w:r>
          </w:p>
          <w:p w14:paraId="5476C2EE" w14:textId="51B7BAC9" w:rsidR="008A6E4C" w:rsidRPr="008A6E4C" w:rsidRDefault="008A6E4C" w:rsidP="00EF3CFD">
            <w:pPr>
              <w:keepLines/>
              <w:numPr>
                <w:ilvl w:val="0"/>
                <w:numId w:val="12"/>
              </w:numPr>
              <w:spacing w:after="0"/>
              <w:rPr>
                <w:rFonts w:cs="Arial"/>
                <w:sz w:val="20"/>
                <w:szCs w:val="20"/>
              </w:rPr>
            </w:pPr>
            <w:r w:rsidRPr="004C4F5B">
              <w:rPr>
                <w:rFonts w:cs="Arial"/>
                <w:sz w:val="20"/>
                <w:szCs w:val="20"/>
              </w:rPr>
              <w:t>Improved Working for Queensland survey results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981C49" w14:textId="77777777" w:rsidR="00635361" w:rsidRDefault="00635361" w:rsidP="008A6E4C">
            <w:pPr>
              <w:pStyle w:val="Heading2"/>
              <w:keepLines/>
              <w:rPr>
                <w:sz w:val="14"/>
                <w:szCs w:val="14"/>
              </w:rPr>
            </w:pPr>
          </w:p>
          <w:p w14:paraId="6B26DB4D" w14:textId="0B81FC48" w:rsidR="00635361" w:rsidRDefault="00635361" w:rsidP="00754BBC">
            <w:pPr>
              <w:pStyle w:val="Heading2"/>
              <w:keepLines/>
              <w:ind w:left="603"/>
            </w:pPr>
            <w:r w:rsidRPr="00597276">
              <w:rPr>
                <w:sz w:val="14"/>
                <w:szCs w:val="14"/>
              </w:rPr>
              <w:t>*Based on MOHRI data a</w:t>
            </w:r>
            <w:r>
              <w:rPr>
                <w:sz w:val="14"/>
                <w:szCs w:val="14"/>
              </w:rPr>
              <w:t xml:space="preserve">s </w:t>
            </w:r>
            <w:proofErr w:type="gramStart"/>
            <w:r>
              <w:rPr>
                <w:sz w:val="14"/>
                <w:szCs w:val="14"/>
              </w:rPr>
              <w:t>at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597276">
              <w:rPr>
                <w:sz w:val="14"/>
                <w:szCs w:val="14"/>
              </w:rPr>
              <w:t>March 2025.  Reportable targets are set for a three-year period, provided to the Public Sector Commission by all agencies</w:t>
            </w:r>
            <w:r>
              <w:t xml:space="preserve"> </w:t>
            </w:r>
          </w:p>
          <w:p w14:paraId="1966CDBD" w14:textId="0B08948D" w:rsidR="008A6E4C" w:rsidRDefault="008A6E4C" w:rsidP="00754BBC">
            <w:pPr>
              <w:pStyle w:val="Heading2"/>
              <w:keepLines/>
              <w:ind w:left="603" w:hanging="283"/>
            </w:pPr>
            <w:r>
              <w:t xml:space="preserve">Our </w:t>
            </w:r>
            <w:r w:rsidR="00654C98">
              <w:t>g</w:t>
            </w:r>
            <w:r>
              <w:t>uidance</w:t>
            </w:r>
          </w:p>
          <w:p w14:paraId="17EF84D5" w14:textId="77777777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Style w:val="Hyperlink"/>
                <w:rFonts w:ascii="Arial" w:hAnsi="Arial" w:cs="Arial"/>
                <w:i/>
                <w:iCs/>
                <w:color w:val="auto"/>
                <w:sz w:val="20"/>
                <w:szCs w:val="20"/>
                <w:u w:val="none"/>
              </w:rPr>
            </w:pPr>
            <w:hyperlink r:id="rId23" w:history="1">
              <w:r w:rsidR="008A6E4C" w:rsidRPr="00635361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Public Sector Act 2022</w:t>
              </w:r>
            </w:hyperlink>
          </w:p>
          <w:p w14:paraId="5AC7A98E" w14:textId="77777777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Recruitment and selection (Directive 07/23) and Recruitment and selection summary guide</w:t>
              </w:r>
            </w:hyperlink>
          </w:p>
          <w:p w14:paraId="38C0A60C" w14:textId="415F4B44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Even better public sector for Queensland </w:t>
              </w:r>
              <w:r w:rsidR="00654C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trategy 2024-2028</w:t>
              </w:r>
            </w:hyperlink>
          </w:p>
          <w:p w14:paraId="51AEDEB1" w14:textId="7925A965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26" w:anchor="strategy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Queensland </w:t>
              </w:r>
              <w:r w:rsidR="00654C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omen’s </w:t>
              </w:r>
              <w:r w:rsidR="00654C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trategy 2022-27</w:t>
              </w:r>
            </w:hyperlink>
          </w:p>
          <w:p w14:paraId="3CA21F51" w14:textId="252EC97D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Queensland </w:t>
              </w:r>
              <w:r w:rsidR="00654C98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public sector inclusion and diversity strategy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 2021-2025</w:t>
              </w:r>
            </w:hyperlink>
          </w:p>
          <w:p w14:paraId="3298394C" w14:textId="567595F3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Come together, talk together, walk together Reframing the </w:t>
              </w:r>
              <w:r w:rsidR="00654C98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relationship pla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n 2023-2025</w:t>
              </w:r>
            </w:hyperlink>
          </w:p>
          <w:p w14:paraId="14DAEE68" w14:textId="2AE8C479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Disabling the barriers to employment in the Queensland</w:t>
              </w:r>
              <w:r w:rsidR="00654C98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 public sector implementation pl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an 2023</w:t>
              </w:r>
            </w:hyperlink>
          </w:p>
          <w:p w14:paraId="2DF8BE6F" w14:textId="2B1AB7EE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Queensland </w:t>
              </w:r>
              <w:r w:rsidR="00654C98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public sec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tor LGBTIQ+ </w:t>
              </w:r>
              <w:r w:rsidR="00654C9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ction plan 2023-2025</w:t>
              </w:r>
            </w:hyperlink>
          </w:p>
          <w:p w14:paraId="3AAE7A12" w14:textId="49D7F979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31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Queensland </w:t>
              </w:r>
              <w:r w:rsidR="00654C98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multicultural action pl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an 2024-25 to 2026-27</w:t>
              </w:r>
            </w:hyperlink>
          </w:p>
          <w:p w14:paraId="528DE4E5" w14:textId="414FE837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DYJ </w:t>
              </w:r>
              <w:r w:rsidR="00654C98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strategic workforce pl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an 2024-2028</w:t>
              </w:r>
            </w:hyperlink>
          </w:p>
          <w:p w14:paraId="289315A9" w14:textId="710B4F8B" w:rsidR="008A6E4C" w:rsidRPr="00635361" w:rsidRDefault="008A6E4C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0"/>
                <w:szCs w:val="20"/>
              </w:rPr>
            </w:pPr>
            <w:r w:rsidRPr="00635361">
              <w:rPr>
                <w:rFonts w:ascii="Arial" w:hAnsi="Arial" w:cs="Arial"/>
                <w:sz w:val="20"/>
                <w:szCs w:val="20"/>
              </w:rPr>
              <w:t xml:space="preserve">VS </w:t>
            </w:r>
            <w:r w:rsidR="00654C98" w:rsidRPr="00635361">
              <w:rPr>
                <w:rFonts w:ascii="Arial" w:hAnsi="Arial" w:cs="Arial"/>
                <w:sz w:val="20"/>
                <w:szCs w:val="20"/>
              </w:rPr>
              <w:t xml:space="preserve">strategic workforce plan </w:t>
            </w:r>
            <w:r w:rsidRPr="00635361">
              <w:rPr>
                <w:rFonts w:ascii="Arial" w:hAnsi="Arial" w:cs="Arial"/>
                <w:sz w:val="20"/>
                <w:szCs w:val="20"/>
              </w:rPr>
              <w:t>2025-2028</w:t>
            </w:r>
          </w:p>
          <w:p w14:paraId="6B20FB3A" w14:textId="08E6E6BA" w:rsidR="008A6E4C" w:rsidRPr="00635361" w:rsidRDefault="0006273F" w:rsidP="00754BBC">
            <w:pPr>
              <w:pStyle w:val="ListParagraph"/>
              <w:keepLines/>
              <w:numPr>
                <w:ilvl w:val="0"/>
                <w:numId w:val="1"/>
              </w:numPr>
              <w:ind w:left="603" w:hanging="283"/>
              <w:rPr>
                <w:rFonts w:ascii="Arial" w:hAnsi="Arial" w:cs="Arial"/>
                <w:sz w:val="21"/>
                <w:szCs w:val="21"/>
              </w:rPr>
            </w:pPr>
            <w:hyperlink r:id="rId33" w:history="1"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 xml:space="preserve">DYJ </w:t>
              </w:r>
              <w:r w:rsidR="00654C98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interim disability service pl</w:t>
              </w:r>
              <w:r w:rsidR="008A6E4C" w:rsidRPr="0063536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an 2023-2025</w:t>
              </w:r>
            </w:hyperlink>
          </w:p>
        </w:tc>
      </w:tr>
      <w:tr w:rsidR="008A6E4C" w14:paraId="45D8EE6C" w14:textId="77777777" w:rsidTr="008036D1"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5E463" w14:textId="3C376083" w:rsidR="008A6E4C" w:rsidRDefault="008A6E4C" w:rsidP="00EF3CFD">
            <w:pPr>
              <w:pStyle w:val="Heading2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337E646C" wp14:editId="0BB4122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109220</wp:posOffset>
                  </wp:positionV>
                  <wp:extent cx="787234" cy="684000"/>
                  <wp:effectExtent l="0" t="0" r="0" b="1905"/>
                  <wp:wrapTight wrapText="bothSides">
                    <wp:wrapPolygon edited="0">
                      <wp:start x="7845" y="0"/>
                      <wp:lineTo x="0" y="2407"/>
                      <wp:lineTo x="0" y="15042"/>
                      <wp:lineTo x="523" y="21058"/>
                      <wp:lineTo x="1046" y="21058"/>
                      <wp:lineTo x="20920" y="21058"/>
                      <wp:lineTo x="20920" y="12033"/>
                      <wp:lineTo x="15167" y="0"/>
                      <wp:lineTo x="7845" y="0"/>
                    </wp:wrapPolygon>
                  </wp:wrapTight>
                  <wp:docPr id="941690770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90770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3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E1A5A2" w14:textId="6A67ADEA" w:rsidR="008A6E4C" w:rsidRPr="00654C98" w:rsidRDefault="008A6E4C" w:rsidP="00EF3CFD">
            <w:pPr>
              <w:pStyle w:val="Heading2"/>
              <w:rPr>
                <w:iCs w:val="0"/>
              </w:rPr>
            </w:pPr>
            <w:r w:rsidRP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 xml:space="preserve">Sharing </w:t>
            </w:r>
            <w:r w:rsid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>d</w:t>
            </w:r>
            <w:r w:rsidRP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>iversity Information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F9D7A" w14:textId="6BFC8E37" w:rsidR="00D87130" w:rsidRPr="00D87130" w:rsidRDefault="00D87130" w:rsidP="00AE1367">
            <w:pPr>
              <w:pStyle w:val="ListParagraph"/>
              <w:keepLines/>
              <w:numPr>
                <w:ilvl w:val="1"/>
                <w:numId w:val="17"/>
              </w:numPr>
              <w:spacing w:before="120" w:after="0"/>
              <w:ind w:left="602" w:right="170" w:hanging="567"/>
              <w:rPr>
                <w:rFonts w:ascii="Arial" w:hAnsi="Arial" w:cs="Arial"/>
                <w:sz w:val="20"/>
                <w:szCs w:val="20"/>
              </w:rPr>
            </w:pPr>
            <w:r w:rsidRPr="00D87130">
              <w:rPr>
                <w:rFonts w:ascii="Arial" w:hAnsi="Arial" w:cs="Arial"/>
                <w:sz w:val="20"/>
                <w:szCs w:val="20"/>
              </w:rPr>
              <w:t>In</w:t>
            </w:r>
            <w:r w:rsidR="006A3ED3">
              <w:rPr>
                <w:rFonts w:ascii="Arial" w:hAnsi="Arial" w:cs="Arial"/>
                <w:sz w:val="20"/>
                <w:szCs w:val="20"/>
              </w:rPr>
              <w:t>clude</w:t>
            </w:r>
            <w:r w:rsidRPr="00D87130">
              <w:rPr>
                <w:rFonts w:ascii="Arial" w:hAnsi="Arial" w:cs="Arial"/>
                <w:sz w:val="20"/>
                <w:szCs w:val="20"/>
              </w:rPr>
              <w:t xml:space="preserve"> the collection of workforce diversity information into the onboarding </w:t>
            </w:r>
            <w:proofErr w:type="gramStart"/>
            <w:r w:rsidRPr="00D87130">
              <w:rPr>
                <w:rFonts w:ascii="Arial" w:hAnsi="Arial" w:cs="Arial"/>
                <w:sz w:val="20"/>
                <w:szCs w:val="20"/>
              </w:rPr>
              <w:t>process</w:t>
            </w:r>
            <w:proofErr w:type="gramEnd"/>
            <w:r w:rsidR="00DB70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492F35" w14:textId="77777777" w:rsidR="00D87130" w:rsidRPr="00D87130" w:rsidRDefault="00D87130" w:rsidP="00AE1367">
            <w:pPr>
              <w:pStyle w:val="ListParagraph"/>
              <w:keepLines/>
              <w:numPr>
                <w:ilvl w:val="1"/>
                <w:numId w:val="17"/>
              </w:numPr>
              <w:spacing w:before="120" w:after="0"/>
              <w:ind w:left="602" w:right="170" w:hanging="567"/>
              <w:rPr>
                <w:rFonts w:ascii="Arial" w:hAnsi="Arial" w:cs="Arial"/>
                <w:sz w:val="20"/>
                <w:szCs w:val="20"/>
              </w:rPr>
            </w:pPr>
            <w:r w:rsidRPr="00D87130">
              <w:rPr>
                <w:rFonts w:ascii="Arial" w:hAnsi="Arial" w:cs="Arial"/>
                <w:sz w:val="20"/>
                <w:szCs w:val="20"/>
              </w:rPr>
              <w:t>Promote accessible ways for employees to share and update their diversity information, while clearly communicating its benefits, usage, and access to ensure transparency and trust</w:t>
            </w:r>
          </w:p>
          <w:p w14:paraId="3FF6034F" w14:textId="7652D443" w:rsidR="00635361" w:rsidRPr="00D87130" w:rsidRDefault="00D87130" w:rsidP="00AE1367">
            <w:pPr>
              <w:pStyle w:val="ListParagraph"/>
              <w:keepLines/>
              <w:numPr>
                <w:ilvl w:val="1"/>
                <w:numId w:val="17"/>
              </w:numPr>
              <w:spacing w:before="120" w:after="0"/>
              <w:ind w:left="602" w:right="170" w:hanging="567"/>
              <w:rPr>
                <w:rFonts w:ascii="Arial" w:hAnsi="Arial" w:cs="Arial"/>
                <w:sz w:val="20"/>
                <w:szCs w:val="20"/>
              </w:rPr>
            </w:pPr>
            <w:r w:rsidRPr="00D87130">
              <w:rPr>
                <w:rFonts w:ascii="Arial" w:hAnsi="Arial" w:cs="Arial"/>
                <w:sz w:val="20"/>
                <w:szCs w:val="20"/>
              </w:rPr>
              <w:t>Foster a supportive workplace culture where employees feel safe and confident sharing their diversity information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6C1C3" w14:textId="77777777" w:rsidR="008A6E4C" w:rsidRPr="004C4F5B" w:rsidRDefault="008A6E4C" w:rsidP="00AE1367">
            <w:pPr>
              <w:keepLines/>
              <w:numPr>
                <w:ilvl w:val="0"/>
                <w:numId w:val="12"/>
              </w:numPr>
              <w:spacing w:before="120" w:after="0" w:line="259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4C4F5B">
              <w:rPr>
                <w:rFonts w:cs="Arial"/>
                <w:sz w:val="20"/>
                <w:szCs w:val="20"/>
              </w:rPr>
              <w:t>Improved measures on previous years’ result</w:t>
            </w:r>
          </w:p>
          <w:p w14:paraId="4A37468B" w14:textId="124E7E5A" w:rsidR="008A6E4C" w:rsidRPr="00A34C50" w:rsidRDefault="00AE1367" w:rsidP="00AE1367">
            <w:pPr>
              <w:keepLines/>
              <w:numPr>
                <w:ilvl w:val="0"/>
                <w:numId w:val="12"/>
              </w:numPr>
              <w:spacing w:after="0" w:line="259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4C4F5B">
              <w:rPr>
                <w:rFonts w:cs="Arial"/>
                <w:sz w:val="20"/>
                <w:szCs w:val="20"/>
              </w:rPr>
              <w:t>Improved Working for Queensland survey results</w:t>
            </w: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A270D" w14:textId="77777777" w:rsidR="008A6E4C" w:rsidRDefault="008A6E4C" w:rsidP="00EF3CFD">
            <w:pPr>
              <w:pStyle w:val="Heading2"/>
            </w:pPr>
          </w:p>
        </w:tc>
      </w:tr>
      <w:tr w:rsidR="008A6E4C" w14:paraId="302B02CF" w14:textId="77777777" w:rsidTr="008036D1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68028" w14:textId="668F5778" w:rsidR="008A6E4C" w:rsidRDefault="008A6E4C" w:rsidP="00EF3CFD">
            <w:pPr>
              <w:pStyle w:val="Heading2"/>
              <w:rPr>
                <w:rFonts w:eastAsiaTheme="majorEastAsia"/>
                <w:b/>
                <w:bCs w:val="0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241B87BD" wp14:editId="1D2E13A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123825</wp:posOffset>
                  </wp:positionV>
                  <wp:extent cx="811382" cy="684000"/>
                  <wp:effectExtent l="0" t="0" r="8255" b="1905"/>
                  <wp:wrapTight wrapText="bothSides">
                    <wp:wrapPolygon edited="0">
                      <wp:start x="3552" y="0"/>
                      <wp:lineTo x="1015" y="7220"/>
                      <wp:lineTo x="0" y="11432"/>
                      <wp:lineTo x="0" y="15643"/>
                      <wp:lineTo x="1015" y="21058"/>
                      <wp:lineTo x="5074" y="21058"/>
                      <wp:lineTo x="7612" y="21058"/>
                      <wp:lineTo x="16745" y="19855"/>
                      <wp:lineTo x="16745" y="19253"/>
                      <wp:lineTo x="21312" y="15042"/>
                      <wp:lineTo x="21312" y="6017"/>
                      <wp:lineTo x="19283" y="0"/>
                      <wp:lineTo x="3552" y="0"/>
                    </wp:wrapPolygon>
                  </wp:wrapTight>
                  <wp:docPr id="1146243465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43465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382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AA0D3C" w14:textId="45598080" w:rsidR="008A6E4C" w:rsidRPr="00654C98" w:rsidRDefault="008A6E4C" w:rsidP="00EF3CFD">
            <w:pPr>
              <w:pStyle w:val="Heading2"/>
              <w:rPr>
                <w:iCs w:val="0"/>
              </w:rPr>
            </w:pPr>
            <w:r w:rsidRP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 xml:space="preserve">Workplace </w:t>
            </w:r>
            <w:r w:rsid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>c</w:t>
            </w:r>
            <w:r w:rsidRPr="00654C98">
              <w:rPr>
                <w:rFonts w:eastAsiaTheme="majorEastAsia"/>
                <w:b/>
                <w:bCs w:val="0"/>
                <w:iCs w:val="0"/>
                <w:sz w:val="20"/>
                <w:szCs w:val="20"/>
              </w:rPr>
              <w:t>ulture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7A3BD" w14:textId="6E10C3B2" w:rsidR="008A6E4C" w:rsidRPr="004C4F5B" w:rsidRDefault="008A6E4C" w:rsidP="00A34C50">
            <w:pPr>
              <w:pStyle w:val="ListParagraph"/>
              <w:keepLines/>
              <w:numPr>
                <w:ilvl w:val="1"/>
                <w:numId w:val="16"/>
              </w:numPr>
              <w:spacing w:before="120" w:after="0"/>
              <w:ind w:left="601" w:right="170" w:hanging="561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 xml:space="preserve">Foster a diverse, inclusive, and culturally safe workplace where everyone feels valued, respected, and empowered to bring their whole self to work by embedding inclusion into workplace culture and planning </w:t>
            </w:r>
            <w:proofErr w:type="gramStart"/>
            <w:r w:rsidRPr="004C4F5B">
              <w:rPr>
                <w:rFonts w:ascii="Arial" w:hAnsi="Arial" w:cs="Arial"/>
                <w:sz w:val="20"/>
                <w:szCs w:val="20"/>
              </w:rPr>
              <w:t>processes</w:t>
            </w:r>
            <w:proofErr w:type="gramEnd"/>
          </w:p>
          <w:p w14:paraId="3D9153EA" w14:textId="56BF6F8F" w:rsidR="008A6E4C" w:rsidRPr="004C4F5B" w:rsidRDefault="008A6E4C" w:rsidP="00D8186A">
            <w:pPr>
              <w:pStyle w:val="ListParagraph"/>
              <w:keepLines/>
              <w:numPr>
                <w:ilvl w:val="1"/>
                <w:numId w:val="16"/>
              </w:numPr>
              <w:spacing w:after="0"/>
              <w:ind w:left="601" w:right="171" w:hanging="560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>Provide equitable and accessible training, including cultural capability, awareness, and mentorship, while reviewing policies, procedures, and programs to support equity, diversity, and respectful workplaces</w:t>
            </w:r>
          </w:p>
          <w:p w14:paraId="0B4D1213" w14:textId="77777777" w:rsidR="008A6E4C" w:rsidRPr="004C4F5B" w:rsidRDefault="008A6E4C" w:rsidP="00D8186A">
            <w:pPr>
              <w:pStyle w:val="ListParagraph"/>
              <w:keepLines/>
              <w:numPr>
                <w:ilvl w:val="1"/>
                <w:numId w:val="16"/>
              </w:numPr>
              <w:spacing w:after="0"/>
              <w:ind w:left="601" w:right="171" w:hanging="560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>Promote and support equity and diversity focussed networks, champions, and representatives, and celebrate diversity through promotion and participation in significant days and events</w:t>
            </w:r>
          </w:p>
          <w:p w14:paraId="70305C05" w14:textId="724FE659" w:rsidR="008A6E4C" w:rsidRPr="008A6E4C" w:rsidRDefault="008A6E4C" w:rsidP="00D8186A">
            <w:pPr>
              <w:pStyle w:val="ListParagraph"/>
              <w:keepLines/>
              <w:numPr>
                <w:ilvl w:val="1"/>
                <w:numId w:val="16"/>
              </w:numPr>
              <w:spacing w:after="0"/>
              <w:ind w:left="601" w:right="171" w:hanging="560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>Provide t</w:t>
            </w:r>
            <w:r w:rsidR="00BD1668">
              <w:rPr>
                <w:rFonts w:ascii="Arial" w:hAnsi="Arial" w:cs="Arial"/>
                <w:sz w:val="20"/>
                <w:szCs w:val="20"/>
              </w:rPr>
              <w:t>ools and resources</w:t>
            </w:r>
            <w:r w:rsidRPr="004C4F5B">
              <w:rPr>
                <w:rFonts w:ascii="Arial" w:hAnsi="Arial" w:cs="Arial"/>
                <w:sz w:val="20"/>
                <w:szCs w:val="20"/>
              </w:rPr>
              <w:t xml:space="preserve"> to empower our people to recognise and proactively address psycho-social issues, supporting their wellbeing and performance.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B02C0" w14:textId="77777777" w:rsidR="008A6E4C" w:rsidRPr="004C4F5B" w:rsidRDefault="008A6E4C" w:rsidP="00A34C50">
            <w:pPr>
              <w:pStyle w:val="ListParagraph"/>
              <w:keepLines/>
              <w:numPr>
                <w:ilvl w:val="0"/>
                <w:numId w:val="5"/>
              </w:numPr>
              <w:spacing w:before="120" w:after="0"/>
              <w:ind w:left="28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>Improved Working for Queensland survey results</w:t>
            </w:r>
          </w:p>
          <w:p w14:paraId="5EB54DD3" w14:textId="785739D6" w:rsidR="008A6E4C" w:rsidRDefault="008A6E4C" w:rsidP="008A6E4C">
            <w:pPr>
              <w:pStyle w:val="ListParagraph"/>
              <w:keepLines/>
              <w:numPr>
                <w:ilvl w:val="0"/>
                <w:numId w:val="5"/>
              </w:numPr>
              <w:spacing w:after="0" w:line="240" w:lineRule="auto"/>
              <w:ind w:left="283" w:hanging="284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>Increased training participation</w:t>
            </w:r>
            <w:r w:rsidR="009A40A0">
              <w:rPr>
                <w:rFonts w:ascii="Arial" w:hAnsi="Arial" w:cs="Arial"/>
                <w:sz w:val="20"/>
                <w:szCs w:val="20"/>
              </w:rPr>
              <w:t xml:space="preserve"> and completion</w:t>
            </w:r>
          </w:p>
          <w:p w14:paraId="0D8591FB" w14:textId="2D3B3A29" w:rsidR="00934E20" w:rsidRPr="004C4F5B" w:rsidRDefault="00934E20" w:rsidP="008A6E4C">
            <w:pPr>
              <w:pStyle w:val="ListParagraph"/>
              <w:keepLines/>
              <w:numPr>
                <w:ilvl w:val="0"/>
                <w:numId w:val="5"/>
              </w:numPr>
              <w:spacing w:after="0" w:line="240" w:lineRule="auto"/>
              <w:ind w:left="28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</w:t>
            </w:r>
            <w:r w:rsidR="003E787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ED3">
              <w:rPr>
                <w:rFonts w:ascii="Arial" w:hAnsi="Arial" w:cs="Arial"/>
                <w:sz w:val="20"/>
                <w:szCs w:val="20"/>
              </w:rPr>
              <w:t>reporting of workplace culture matters</w:t>
            </w:r>
            <w:r w:rsidR="008036D1">
              <w:rPr>
                <w:rFonts w:ascii="Arial" w:hAnsi="Arial" w:cs="Arial"/>
                <w:sz w:val="20"/>
                <w:szCs w:val="20"/>
              </w:rPr>
              <w:t xml:space="preserve"> in short to medium term</w:t>
            </w:r>
          </w:p>
          <w:p w14:paraId="6C777BD4" w14:textId="2D25146E" w:rsidR="008A6E4C" w:rsidRPr="004C4F5B" w:rsidRDefault="00934E20" w:rsidP="008A6E4C">
            <w:pPr>
              <w:pStyle w:val="ListParagraph"/>
              <w:keepLines/>
              <w:numPr>
                <w:ilvl w:val="0"/>
                <w:numId w:val="5"/>
              </w:numPr>
              <w:spacing w:after="0" w:line="240" w:lineRule="auto"/>
              <w:ind w:left="28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8A6E4C" w:rsidRPr="004C4F5B">
              <w:rPr>
                <w:rFonts w:ascii="Arial" w:hAnsi="Arial" w:cs="Arial"/>
                <w:sz w:val="20"/>
                <w:szCs w:val="20"/>
              </w:rPr>
              <w:t>crease in reported performance management and/or misconduct matters</w:t>
            </w:r>
            <w:r w:rsidR="008036D1">
              <w:rPr>
                <w:rFonts w:ascii="Arial" w:hAnsi="Arial" w:cs="Arial"/>
                <w:sz w:val="20"/>
                <w:szCs w:val="20"/>
              </w:rPr>
              <w:t xml:space="preserve"> in medium to long term</w:t>
            </w:r>
          </w:p>
          <w:p w14:paraId="6E2458AC" w14:textId="1F580631" w:rsidR="008A6E4C" w:rsidRPr="008A6E4C" w:rsidRDefault="008A6E4C" w:rsidP="008A6E4C">
            <w:pPr>
              <w:pStyle w:val="ListParagraph"/>
              <w:keepLines/>
              <w:numPr>
                <w:ilvl w:val="0"/>
                <w:numId w:val="5"/>
              </w:numPr>
              <w:spacing w:after="0" w:line="240" w:lineRule="auto"/>
              <w:ind w:left="283" w:hanging="284"/>
              <w:rPr>
                <w:rFonts w:ascii="Arial" w:hAnsi="Arial" w:cs="Arial"/>
                <w:sz w:val="20"/>
                <w:szCs w:val="20"/>
              </w:rPr>
            </w:pPr>
            <w:r w:rsidRPr="004C4F5B">
              <w:rPr>
                <w:rFonts w:ascii="Arial" w:hAnsi="Arial" w:cs="Arial"/>
                <w:sz w:val="20"/>
                <w:szCs w:val="20"/>
              </w:rPr>
              <w:t xml:space="preserve">Increased participation in, and experience of, </w:t>
            </w:r>
            <w:r w:rsidR="00654C98" w:rsidRPr="004C4F5B">
              <w:rPr>
                <w:rFonts w:ascii="Arial" w:hAnsi="Arial" w:cs="Arial"/>
                <w:sz w:val="20"/>
                <w:szCs w:val="20"/>
              </w:rPr>
              <w:t xml:space="preserve">equity and diversity </w:t>
            </w:r>
            <w:r w:rsidRPr="004C4F5B">
              <w:rPr>
                <w:rFonts w:ascii="Arial" w:hAnsi="Arial" w:cs="Arial"/>
                <w:sz w:val="20"/>
                <w:szCs w:val="20"/>
              </w:rPr>
              <w:t>network members</w:t>
            </w: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AB83F" w14:textId="77777777" w:rsidR="008A6E4C" w:rsidRDefault="008A6E4C" w:rsidP="00EF3CFD">
            <w:pPr>
              <w:pStyle w:val="Heading2"/>
            </w:pPr>
          </w:p>
        </w:tc>
      </w:tr>
    </w:tbl>
    <w:p w14:paraId="53B06DCA" w14:textId="77777777" w:rsidR="00197203" w:rsidRDefault="00197203" w:rsidP="00BE69CD">
      <w:pPr>
        <w:sectPr w:rsidR="00197203" w:rsidSect="00102A0B">
          <w:headerReference w:type="default" r:id="rId36"/>
          <w:type w:val="continuous"/>
          <w:pgSz w:w="23811" w:h="16838" w:orient="landscape" w:code="8"/>
          <w:pgMar w:top="2268" w:right="1440" w:bottom="1440" w:left="1440" w:header="708" w:footer="708" w:gutter="0"/>
          <w:cols w:space="708"/>
          <w:titlePg/>
          <w:docGrid w:linePitch="360"/>
        </w:sectPr>
      </w:pPr>
    </w:p>
    <w:p w14:paraId="76D2895B" w14:textId="4340473B" w:rsidR="00BE69CD" w:rsidRPr="00D8186A" w:rsidRDefault="00BE69CD" w:rsidP="00D8186A">
      <w:pPr>
        <w:rPr>
          <w:sz w:val="6"/>
          <w:szCs w:val="6"/>
        </w:rPr>
      </w:pPr>
    </w:p>
    <w:sectPr w:rsidR="00BE69CD" w:rsidRPr="00D8186A" w:rsidSect="00102A0B">
      <w:type w:val="continuous"/>
      <w:pgSz w:w="23811" w:h="16838" w:orient="landscape" w:code="8"/>
      <w:pgMar w:top="2268" w:right="1440" w:bottom="1440" w:left="1440" w:header="708" w:footer="708" w:gutter="0"/>
      <w:cols w:space="4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16A4" w14:textId="77777777" w:rsidR="00AF4C70" w:rsidRDefault="00AF4C70" w:rsidP="00290584">
      <w:pPr>
        <w:spacing w:after="0"/>
      </w:pPr>
      <w:r>
        <w:separator/>
      </w:r>
    </w:p>
  </w:endnote>
  <w:endnote w:type="continuationSeparator" w:id="0">
    <w:p w14:paraId="01776B0C" w14:textId="77777777" w:rsidR="00AF4C70" w:rsidRDefault="00AF4C70" w:rsidP="00290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4812" w14:textId="77777777" w:rsidR="00B6570D" w:rsidRDefault="00B65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F6E4" w14:textId="77777777" w:rsidR="00B6570D" w:rsidRDefault="00B65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F623" w14:textId="77777777" w:rsidR="00B6570D" w:rsidRDefault="00B65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19F4" w14:textId="77777777" w:rsidR="00AF4C70" w:rsidRDefault="00AF4C70" w:rsidP="00290584">
      <w:pPr>
        <w:spacing w:after="0"/>
      </w:pPr>
      <w:r>
        <w:separator/>
      </w:r>
    </w:p>
  </w:footnote>
  <w:footnote w:type="continuationSeparator" w:id="0">
    <w:p w14:paraId="621CB42B" w14:textId="77777777" w:rsidR="00AF4C70" w:rsidRDefault="00AF4C70" w:rsidP="00290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3DA" w14:textId="77777777" w:rsidR="00B6570D" w:rsidRDefault="00B65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7BDB" w14:textId="77777777" w:rsidR="00B6570D" w:rsidRDefault="00B65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6646" w14:textId="2275AC15" w:rsidR="00290584" w:rsidRDefault="002905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88DFC" wp14:editId="35B4CD0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15115379" cy="10688319"/>
          <wp:effectExtent l="0" t="0" r="0" b="0"/>
          <wp:wrapNone/>
          <wp:docPr id="1734049126" name="Picture 1734049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682301" name="Picture 14156823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5379" cy="10688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A775" w14:textId="568618F5" w:rsidR="00D20510" w:rsidRDefault="00D2051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71785F8B" wp14:editId="27F1D448">
          <wp:simplePos x="0" y="0"/>
          <wp:positionH relativeFrom="column">
            <wp:posOffset>-904875</wp:posOffset>
          </wp:positionH>
          <wp:positionV relativeFrom="page">
            <wp:posOffset>9638</wp:posOffset>
          </wp:positionV>
          <wp:extent cx="15093960" cy="10673173"/>
          <wp:effectExtent l="0" t="0" r="0" b="0"/>
          <wp:wrapNone/>
          <wp:docPr id="14521768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45004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60" cy="10673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E65"/>
    <w:multiLevelType w:val="hybridMultilevel"/>
    <w:tmpl w:val="1DCC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4B72"/>
    <w:multiLevelType w:val="multilevel"/>
    <w:tmpl w:val="61BE4E9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</w:rPr>
    </w:lvl>
  </w:abstractNum>
  <w:abstractNum w:abstractNumId="2" w15:restartNumberingAfterBreak="0">
    <w:nsid w:val="13E15C1B"/>
    <w:multiLevelType w:val="multilevel"/>
    <w:tmpl w:val="CD8891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" w15:restartNumberingAfterBreak="0">
    <w:nsid w:val="16CA7D9D"/>
    <w:multiLevelType w:val="multilevel"/>
    <w:tmpl w:val="61BE4E9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</w:rPr>
    </w:lvl>
  </w:abstractNum>
  <w:abstractNum w:abstractNumId="4" w15:restartNumberingAfterBreak="0">
    <w:nsid w:val="1A450E77"/>
    <w:multiLevelType w:val="hybridMultilevel"/>
    <w:tmpl w:val="2D545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1609"/>
    <w:multiLevelType w:val="hybridMultilevel"/>
    <w:tmpl w:val="8402A2BE"/>
    <w:lvl w:ilvl="0" w:tplc="F67EE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82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05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C3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CD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60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6A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0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4B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A4B5D"/>
    <w:multiLevelType w:val="multilevel"/>
    <w:tmpl w:val="DD7C8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D0481E"/>
    <w:multiLevelType w:val="multilevel"/>
    <w:tmpl w:val="D3FC12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F43B4E"/>
    <w:multiLevelType w:val="multilevel"/>
    <w:tmpl w:val="CD8891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48482326"/>
    <w:multiLevelType w:val="multilevel"/>
    <w:tmpl w:val="9AEE4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53396B50"/>
    <w:multiLevelType w:val="multilevel"/>
    <w:tmpl w:val="C80E72C4"/>
    <w:styleLink w:val="CurrentList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6EC6233"/>
    <w:multiLevelType w:val="multilevel"/>
    <w:tmpl w:val="391E9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12" w15:restartNumberingAfterBreak="0">
    <w:nsid w:val="58783BC8"/>
    <w:multiLevelType w:val="multilevel"/>
    <w:tmpl w:val="9AEE4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61985051"/>
    <w:multiLevelType w:val="multilevel"/>
    <w:tmpl w:val="E2E8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655F2D57"/>
    <w:multiLevelType w:val="multilevel"/>
    <w:tmpl w:val="AA0E5DF2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3"/>
      <w:numFmt w:val="decimal"/>
      <w:isLgl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440"/>
      </w:pPr>
      <w:rPr>
        <w:rFonts w:hint="default"/>
      </w:rPr>
    </w:lvl>
  </w:abstractNum>
  <w:abstractNum w:abstractNumId="15" w15:restartNumberingAfterBreak="0">
    <w:nsid w:val="6C387C57"/>
    <w:multiLevelType w:val="hybridMultilevel"/>
    <w:tmpl w:val="C8864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02454">
    <w:abstractNumId w:val="5"/>
  </w:num>
  <w:num w:numId="2" w16cid:durableId="2041852469">
    <w:abstractNumId w:val="8"/>
  </w:num>
  <w:num w:numId="3" w16cid:durableId="1281649986">
    <w:abstractNumId w:val="15"/>
  </w:num>
  <w:num w:numId="4" w16cid:durableId="824784396">
    <w:abstractNumId w:val="3"/>
  </w:num>
  <w:num w:numId="5" w16cid:durableId="98642072">
    <w:abstractNumId w:val="4"/>
  </w:num>
  <w:num w:numId="6" w16cid:durableId="725759444">
    <w:abstractNumId w:val="7"/>
  </w:num>
  <w:num w:numId="7" w16cid:durableId="1669555109">
    <w:abstractNumId w:val="0"/>
  </w:num>
  <w:num w:numId="8" w16cid:durableId="1260289505">
    <w:abstractNumId w:val="2"/>
  </w:num>
  <w:num w:numId="9" w16cid:durableId="929116578">
    <w:abstractNumId w:val="9"/>
  </w:num>
  <w:num w:numId="10" w16cid:durableId="1865972508">
    <w:abstractNumId w:val="9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7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4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6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5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38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12" w:hanging="1800"/>
        </w:pPr>
        <w:rPr>
          <w:rFonts w:hint="default"/>
        </w:rPr>
      </w:lvl>
    </w:lvlOverride>
  </w:num>
  <w:num w:numId="11" w16cid:durableId="716704317">
    <w:abstractNumId w:val="12"/>
  </w:num>
  <w:num w:numId="12" w16cid:durableId="51272315">
    <w:abstractNumId w:val="13"/>
  </w:num>
  <w:num w:numId="13" w16cid:durableId="1712682464">
    <w:abstractNumId w:val="14"/>
  </w:num>
  <w:num w:numId="14" w16cid:durableId="820653664">
    <w:abstractNumId w:val="6"/>
  </w:num>
  <w:num w:numId="15" w16cid:durableId="674454642">
    <w:abstractNumId w:val="10"/>
  </w:num>
  <w:num w:numId="16" w16cid:durableId="1775395082">
    <w:abstractNumId w:val="11"/>
  </w:num>
  <w:num w:numId="17" w16cid:durableId="153847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84"/>
    <w:rsid w:val="00012EBD"/>
    <w:rsid w:val="0005296E"/>
    <w:rsid w:val="00081B74"/>
    <w:rsid w:val="000B6C37"/>
    <w:rsid w:val="000C7F7C"/>
    <w:rsid w:val="000E1C14"/>
    <w:rsid w:val="000E6F12"/>
    <w:rsid w:val="00102A0B"/>
    <w:rsid w:val="001120F9"/>
    <w:rsid w:val="00113709"/>
    <w:rsid w:val="00131441"/>
    <w:rsid w:val="00197203"/>
    <w:rsid w:val="001F156A"/>
    <w:rsid w:val="00201BB2"/>
    <w:rsid w:val="002904B1"/>
    <w:rsid w:val="00290584"/>
    <w:rsid w:val="002C6F6F"/>
    <w:rsid w:val="00320A15"/>
    <w:rsid w:val="003E7874"/>
    <w:rsid w:val="00483FBF"/>
    <w:rsid w:val="004C4F5B"/>
    <w:rsid w:val="004D3470"/>
    <w:rsid w:val="005014A8"/>
    <w:rsid w:val="00507675"/>
    <w:rsid w:val="00541948"/>
    <w:rsid w:val="00554697"/>
    <w:rsid w:val="005D623E"/>
    <w:rsid w:val="005E7C3B"/>
    <w:rsid w:val="00626D2D"/>
    <w:rsid w:val="00635361"/>
    <w:rsid w:val="00647248"/>
    <w:rsid w:val="00654C98"/>
    <w:rsid w:val="00673E51"/>
    <w:rsid w:val="006A3ED3"/>
    <w:rsid w:val="00754BBC"/>
    <w:rsid w:val="007E3082"/>
    <w:rsid w:val="008036D1"/>
    <w:rsid w:val="00855797"/>
    <w:rsid w:val="008A25E4"/>
    <w:rsid w:val="008A6E4C"/>
    <w:rsid w:val="008B6834"/>
    <w:rsid w:val="008E3B4F"/>
    <w:rsid w:val="008E3C99"/>
    <w:rsid w:val="00903803"/>
    <w:rsid w:val="00934E20"/>
    <w:rsid w:val="00953AFA"/>
    <w:rsid w:val="00975199"/>
    <w:rsid w:val="009A40A0"/>
    <w:rsid w:val="009A7C0A"/>
    <w:rsid w:val="00A34C50"/>
    <w:rsid w:val="00A61325"/>
    <w:rsid w:val="00AE1367"/>
    <w:rsid w:val="00AF4C70"/>
    <w:rsid w:val="00B60509"/>
    <w:rsid w:val="00B63A61"/>
    <w:rsid w:val="00B6570D"/>
    <w:rsid w:val="00BD1668"/>
    <w:rsid w:val="00BD1C1C"/>
    <w:rsid w:val="00BE69CD"/>
    <w:rsid w:val="00CB364D"/>
    <w:rsid w:val="00D20510"/>
    <w:rsid w:val="00D8186A"/>
    <w:rsid w:val="00D87130"/>
    <w:rsid w:val="00DA7E4B"/>
    <w:rsid w:val="00DB70E4"/>
    <w:rsid w:val="00DF23B6"/>
    <w:rsid w:val="00EE7798"/>
    <w:rsid w:val="00EF0A2B"/>
    <w:rsid w:val="00EF0D62"/>
    <w:rsid w:val="00EF3CFD"/>
    <w:rsid w:val="00F730C5"/>
    <w:rsid w:val="00F84B9A"/>
    <w:rsid w:val="00FA5F0E"/>
    <w:rsid w:val="00FF10B0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F17D8"/>
  <w15:chartTrackingRefBased/>
  <w15:docId w15:val="{0341B059-37C9-4523-836A-9DDE2117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FA"/>
    <w:pPr>
      <w:spacing w:after="240" w:line="240" w:lineRule="auto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53AFA"/>
    <w:pPr>
      <w:snapToGrid w:val="0"/>
      <w:spacing w:before="240" w:after="360"/>
      <w:outlineLvl w:val="0"/>
    </w:pPr>
    <w:rPr>
      <w:rFonts w:cs="Arial"/>
      <w:b/>
      <w:bCs/>
      <w:color w:val="06325F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953AFA"/>
    <w:pPr>
      <w:spacing w:before="240" w:after="60"/>
      <w:outlineLvl w:val="1"/>
    </w:pPr>
    <w:rPr>
      <w:rFonts w:cs="Arial"/>
      <w:bCs/>
      <w:iCs/>
      <w:color w:val="000000" w:themeColor="text1"/>
      <w:sz w:val="32"/>
      <w:szCs w:val="30"/>
    </w:rPr>
  </w:style>
  <w:style w:type="paragraph" w:styleId="Heading3">
    <w:name w:val="heading 3"/>
    <w:basedOn w:val="Normal"/>
    <w:next w:val="Normal"/>
    <w:link w:val="Heading3Char"/>
    <w:qFormat/>
    <w:rsid w:val="00953AFA"/>
    <w:pPr>
      <w:spacing w:before="160" w:after="60"/>
      <w:outlineLvl w:val="2"/>
    </w:pPr>
    <w:rPr>
      <w:rFonts w:cs="Arial"/>
      <w:bCs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3AFA"/>
    <w:pPr>
      <w:keepNext/>
      <w:keepLines/>
      <w:spacing w:before="120" w:after="60"/>
      <w:outlineLvl w:val="3"/>
    </w:pPr>
    <w:rPr>
      <w:rFonts w:eastAsiaTheme="majorEastAsia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0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0584"/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058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0584"/>
  </w:style>
  <w:style w:type="character" w:customStyle="1" w:styleId="Heading1Char">
    <w:name w:val="Heading 1 Char"/>
    <w:basedOn w:val="DefaultParagraphFont"/>
    <w:link w:val="Heading1"/>
    <w:rsid w:val="00953AFA"/>
    <w:rPr>
      <w:rFonts w:ascii="Arial" w:eastAsia="Times New Roman" w:hAnsi="Arial" w:cs="Arial"/>
      <w:b/>
      <w:bCs/>
      <w:color w:val="06325F"/>
      <w:kern w:val="32"/>
      <w:sz w:val="48"/>
      <w:szCs w:val="32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953AFA"/>
    <w:rPr>
      <w:rFonts w:ascii="Arial" w:eastAsia="Times New Roman" w:hAnsi="Arial" w:cs="Arial"/>
      <w:bCs/>
      <w:iCs/>
      <w:color w:val="000000" w:themeColor="text1"/>
      <w:kern w:val="0"/>
      <w:sz w:val="32"/>
      <w:szCs w:val="30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953AFA"/>
    <w:rPr>
      <w:rFonts w:ascii="Arial" w:eastAsia="Times New Roman" w:hAnsi="Arial" w:cs="Arial"/>
      <w:bCs/>
      <w:color w:val="000000" w:themeColor="text1"/>
      <w:kern w:val="0"/>
      <w:sz w:val="28"/>
      <w:szCs w:val="26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rsid w:val="00953AFA"/>
    <w:rPr>
      <w:rFonts w:ascii="Arial" w:eastAsiaTheme="majorEastAsia" w:hAnsi="Arial" w:cs="Arial"/>
      <w:b/>
      <w:i/>
      <w:iCs/>
      <w:color w:val="000000" w:themeColor="text1"/>
      <w:kern w:val="0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1972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10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8186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yperlink" Target="https://www.women.qld.gov.au/gender-equal-queensland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psc.qld.gov.au/evenbetter/strategy.aspx" TargetMode="External"/><Relationship Id="rId33" Type="http://schemas.openxmlformats.org/officeDocument/2006/relationships/hyperlink" Target="https://www.publications.qld.gov.au/ckan-publications-attachments-prod/resources/34b5bcf3-1795-4cb2-a93f-72fb31ac19ac/dyj_interim_disability_service_plan_2023_2025.pdf?ETag=434540d98e07513d9575fb378f749046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hyperlink" Target="https://www.forgov.qld.gov.au/pay-benefits-and-policy/culture-and-inclusion/workplace-inclusion-and-diversity/disability-inclusive-workplac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forgov.qld.gov.au/pay-benefits-and-policy/directives-policies-circulars-and-guidelines/recruitment-and-selection-directive-0723" TargetMode="External"/><Relationship Id="rId32" Type="http://schemas.openxmlformats.org/officeDocument/2006/relationships/hyperlink" Target="https://whatsnew.ebus.root.internal/Files/79952-FINAL%20-%20SWP%20Plan%20-%20Implementation%20artefacts%20and%20investment%20logics%20(1).pdf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legislation.qld.gov.au/view/whole/html/inforce/current/act-2022-034" TargetMode="External"/><Relationship Id="rId28" Type="http://schemas.openxmlformats.org/officeDocument/2006/relationships/hyperlink" Target="https://www.publications.qld.gov.au/ckan-publications-attachments-prod/resources/330f0c22-d9d2-4cb5-a108-2a3b37fcdb97/come-together-talk-together-walk-together-reframing-the-relationship-plan-2023-2025.pdf?ETag=29f0e5b91fcd1bd993b1bd07c71872a9" TargetMode="External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yperlink" Target="https://www.publications.qld.gov.au/ckan-publications-attachments-prod/resources/15a64ae5-025b-4728-9e97-91891c8fbb61/multicultural-action-plan-2025-2027.pdf?X-Amz-Algorithm=AWS4-HMAC-SHA256&amp;X-Amz-Credential=ASIAT3RVOAXVF7XSABAN%2F20250527%2Fap-southeast-2%2Fs3%2Faws4_request&amp;X-Amz-Date=20250527T235954Z&amp;X-Amz-Expires=3600&amp;X-Amz-SignedHeaders=host&amp;X-Amz-Security-Token=IQoJb3JpZ2luX2VjEKD%2F%2F%2F%2F%2F%2F%2F%2F%2F%2FwEaDmFwLXNvdXRoZWFzdC0yIkcwRQIhANWmQh%2BmWD6drF4exgbmPqvIjvIALJ8gUlFXVb5AC9VhAiAhORvIdZiI46BYaihZlN8Ijv5oWA%2FWpBVyMyt465GqeSrKBQhpEAQaDDI2NTMyNjI5ODYwMiIMlRm4eS56L8NmufWUKqcF1tXdmO6pjez5XiX9Uq39LWbDn2xEgSXJQ452VpNPk2o%2FkRQn5lCbeoyrL1yyQMRlJnh2iqDDvvknols283vCgvxMrr77RswcfXZ9IvWvK5xYY5ojXZFQFACtvkzsCiRhcb9LE8fjOJUStK98kTK%2BbmLCOsGHFs6UHm86qrdNtlG3AvFZoNMGxkGsskeWXlbaWTC294%2FcUPy9YpIhODb8dWp38YvUr5XyYPDZl%2BuKP4bBYXYT4H3GSzu1GDqy7UQuEFtbT44uI66ll3ukgAwadkt2SJxFYjgFb7fin3UT9IeUbaVBHyOKHvcSxUG%2BpAIc9RT0jvG%2BtVC9wD3uARLHriDE%2FY2ia48VG2H1AC5z2o9Z1QUYicwj5clh1kxNHnEGT7Hu0GPAaA5EZ%2BeYK88Lcv1yiwPBSZSTj1rKYz6MDWe6ruMrcHeW0jrcn3yj2bX3RNyzfvJ1i6cEZ%2FXuQ7DeYx1kflPBXrVqylG9NMePAZTPaP%2BIgrytFXUVC5yZ19erw9kQgPoI%2BT9LS7M9BnZ1Va9BJiiE4LnoIu%2B3K24YB2VGtujZ3Y1NCR7khgTd0g1cPMHEtFnomG8G1OKH7nefDjUtdfIvOfTH0nEHxzmDgv%2FzhG8bLJySXXU8JD1bwL1HebQsERPo%2BZ8qZ2TLn5%2FP3MWwNspa0fBY12Y7T3FMetElHew6aNNVnyR9GrCe6jA0BogY4X7u9ls8D61bqt7sblcXUp8qvSCR9VpiDxoHE20OZjksF1Ic09XfkxktpnKZGmX0nrBTEQp%2FoR8LyfLHNBpfEZdMk0aOlINQeN3do1h3wmJvF2mdy6wQBvuyMhA8uYkLBlc5ZQhLGLajyc7fWNcZ9NUYzNHPNiLyYSNE8lrcBoOwG5wJZmEjJAd3UGctgo6nSKqrOjDlodnBBjqxAYsdfrarvfeFyKWvJXxf9aMw1NDvS%2B%2F7lUyZGcVvZXLlFoIHLPXZrAgBsS%2BQFB23mM1dZGcacYN9bWu5qGgF%2Fd38GqZkiBX57vSUuGsSOhgkvd1B4CUIzlpNokTCWnFzOeIDlZbC1rJf%2Bao5uDVzsFdaRtblM%2FgNvXC%2FrlNfq2t7%2BevubFCExsoixjEbta6MHx3wJEiWZk6iD87WIGI0wdoc9%2FMtIw%2FvHAxdY2%2FZ2oUmnw%3D%3D&amp;X-Amz-Signature=2eb3593e79cd6a861b2beb192ec004b1b71b0eabd3f7894a5f94da4023678f6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hyperlink" Target="https://www.forgov.qld.gov.au/__data/assets/pdf_file/0022/184144/queensland-public-sector-inclusion-and-diversity-strategy-2021-2025.pdf" TargetMode="External"/><Relationship Id="rId30" Type="http://schemas.openxmlformats.org/officeDocument/2006/relationships/hyperlink" Target="https://www.forgov.qld.gov.au/__data/assets/pdf_file/0026/413666/Queensland-public-sector-LGBTIQ-Action-plan-2023-2025.pdf" TargetMode="External"/><Relationship Id="rId35" Type="http://schemas.openxmlformats.org/officeDocument/2006/relationships/image" Target="media/image8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cd359-19c8-40e3-b19f-91106bd6c442">
      <Value>2</Value>
      <Value>1</Value>
    </TaxCatchAll>
    <DocumentStatus xmlns="b7fcd359-19c8-40e3-b19f-91106bd6c442">Draft</DocumentStatus>
    <e931cd5c47b2478a988e0e7e19f8435a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e931cd5c47b2478a988e0e7e19f8435a>
    <l1ff8f55bb39424dbc58051f4cb1d39f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bb81fddc-2000-41ca-80b6-ccc12b0080ef</TermId>
        </TermInfo>
      </Terms>
    </l1ff8f55bb39424dbc58051f4cb1d39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152FE0A27636C4F8C85B65586C31A9400B63503CD2F5DE7479F525553B7B79697" ma:contentTypeVersion="10" ma:contentTypeDescription="Create a new Standard document." ma:contentTypeScope="" ma:versionID="339701743fc1466988fe37c8fcfe7340">
  <xsd:schema xmlns:xsd="http://www.w3.org/2001/XMLSchema" xmlns:xs="http://www.w3.org/2001/XMLSchema" xmlns:p="http://schemas.microsoft.com/office/2006/metadata/properties" xmlns:ns2="b7fcd359-19c8-40e3-b19f-91106bd6c442" targetNamespace="http://schemas.microsoft.com/office/2006/metadata/properties" ma:root="true" ma:fieldsID="3da4967299cd044280bfd9feef9e3864" ns2:_="">
    <xsd:import namespace="b7fcd359-19c8-40e3-b19f-91106bd6c44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e931cd5c47b2478a988e0e7e19f8435a" minOccurs="0"/>
                <xsd:element ref="ns2:TaxCatchAll" minOccurs="0"/>
                <xsd:element ref="ns2:TaxCatchAllLabel" minOccurs="0"/>
                <xsd:element ref="ns2:l1ff8f55bb39424dbc58051f4cb1d3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d359-19c8-40e3-b19f-91106bd6c442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e931cd5c47b2478a988e0e7e19f8435a" ma:index="9" ma:taxonomy="true" ma:internalName="e931cd5c47b2478a988e0e7e19f8435a" ma:taxonomyFieldName="TypeOfDocument" ma:displayName="Type of Document" ma:default="1;#General|0d2b879a-0e80-4be0-a339-283a7d647e61" ma:fieldId="{e931cd5c-47b2-478a-988e-0e7e19f8435a}" ma:sspId="a45734b7-3c4a-4003-87e0-54aa8a21508e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e82989-046e-4fbf-aa98-28557063bd34}" ma:internalName="TaxCatchAll" ma:showField="CatchAllData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e82989-046e-4fbf-aa98-28557063bd34}" ma:internalName="TaxCatchAllLabel" ma:readOnly="true" ma:showField="CatchAllDataLabel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ff8f55bb39424dbc58051f4cb1d39f" ma:index="13" ma:taxonomy="true" ma:internalName="l1ff8f55bb39424dbc58051f4cb1d39f" ma:taxonomyFieldName="RecordsCategory" ma:displayName="RecordsCategory" ma:default="2;#Youth Justice Services|bb81fddc-2000-41ca-80b6-ccc12b0080ef" ma:fieldId="{51ff8f55-bb39-424d-bc58-051f4cb1d39f}" ma:sspId="a45734b7-3c4a-4003-87e0-54aa8a21508e" ma:termSetId="8e0ee7d0-277d-4b21-9441-0e2cb59b30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45734b7-3c4a-4003-87e0-54aa8a21508e" ContentTypeId="0x010100B152FE0A27636C4F8C85B65586C31A9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9992-6543-4458-958B-55315294CDFB}">
  <ds:schemaRefs>
    <ds:schemaRef ds:uri="b7fcd359-19c8-40e3-b19f-91106bd6c44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80D80E-6C4F-479A-BBA4-DED2EE63E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7EAE-D4D8-438C-9E44-C47030153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cd359-19c8-40e3-b19f-91106bd6c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D44A3-1FE0-4321-895A-388125B4E7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EA56C2-5D13-4180-A963-33DD312D70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1027</Words>
  <Characters>6783</Characters>
  <Application>Microsoft Office Word</Application>
  <DocSecurity>0</DocSecurity>
  <Lines>205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Equity and diversity plan 2025 to 2028</vt:lpstr>
    </vt:vector>
  </TitlesOfParts>
  <Company>Department of Youth Justice and Victim Support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and diversity plan 2025 to 2028</dc:title>
  <dc:subject>Department of Youth Justice and Victim Support equity and diversity plan</dc:subject>
  <dc:creator>Queensland Government</dc:creator>
  <cp:keywords>equity, diversity, plan, disability, culture, women in leadership, workplace culture, recruitment, targets</cp:keywords>
  <cp:lastModifiedBy>Nicole J Neumann</cp:lastModifiedBy>
  <cp:revision>3</cp:revision>
  <cp:lastPrinted>2025-06-09T03:37:00Z</cp:lastPrinted>
  <dcterms:created xsi:type="dcterms:W3CDTF">2025-07-29T04:27:00Z</dcterms:created>
  <dcterms:modified xsi:type="dcterms:W3CDTF">2025-07-29T04:30:00Z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0x010100B152FE0A27636C4F8C85B65586C31A9400B63503CD2F5DE7479F525553B7B79697</vt:lpwstr>
  </property>
  <property fmtid="{D5CDD505-2E9C-101B-9397-08002B2CF9AE}" pid="3" name="_dlc_DocIdItemGuid">
    <vt:lpwstr>eddc7b40-46b8-468d-ae53-4c9a7c53e2c6</vt:lpwstr>
  </property>
  <property fmtid="{D5CDD505-2E9C-101B-9397-08002B2CF9AE}" pid="4" name="MediaServiceImageTags">
    <vt:lpwstr/>
  </property>
  <property fmtid="{D5CDD505-2E9C-101B-9397-08002B2CF9AE}" pid="5" name="TypeOfDocument">
    <vt:lpwstr>1;#General|0d2b879a-0e80-4be0-a339-283a7d647e61</vt:lpwstr>
  </property>
  <property fmtid="{D5CDD505-2E9C-101B-9397-08002B2CF9AE}" pid="6" name="RecordsCategory">
    <vt:lpwstr>2;#Youth Justice Services|bb81fddc-2000-41ca-80b6-ccc12b0080ef</vt:lpwstr>
  </property>
  <property fmtid="{D5CDD505-2E9C-101B-9397-08002B2CF9AE}" pid="7" name="lcf76f155ced4ddcb4097134ff3c332f">
    <vt:lpwstr/>
  </property>
</Properties>
</file>