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C6B85" w14:textId="69D5BAEF" w:rsidR="00501E4B" w:rsidRPr="00501E4B" w:rsidRDefault="00501E4B" w:rsidP="00501E4B">
      <w:pPr>
        <w:jc w:val="right"/>
        <w:rPr>
          <w:rFonts w:cs="Arial"/>
          <w:sz w:val="24"/>
        </w:rPr>
      </w:pPr>
      <w:bookmarkStart w:id="0" w:name="_Toc525119642"/>
      <w:bookmarkStart w:id="1" w:name="_Toc525119698"/>
      <w:bookmarkStart w:id="2" w:name="_GoBack"/>
      <w:bookmarkEnd w:id="2"/>
      <w:r w:rsidRPr="00501E4B">
        <w:rPr>
          <w:rFonts w:cs="Arial"/>
          <w:sz w:val="24"/>
        </w:rPr>
        <w:t>Department of Child Safety, Youth and Women</w:t>
      </w:r>
    </w:p>
    <w:p w14:paraId="3D9BF455" w14:textId="5C259DE4" w:rsidR="00A71349" w:rsidRDefault="009426F2" w:rsidP="00501E4B">
      <w:pPr>
        <w:spacing w:before="4800" w:after="2640"/>
        <w:rPr>
          <w:rFonts w:cs="Arial"/>
          <w:b/>
          <w:i/>
          <w:sz w:val="56"/>
        </w:rPr>
      </w:pPr>
      <w:r w:rsidRPr="009426F2">
        <w:rPr>
          <w:rFonts w:cs="Arial"/>
          <w:b/>
          <w:i/>
          <w:sz w:val="56"/>
        </w:rPr>
        <w:t>Queensland</w:t>
      </w:r>
      <w:r w:rsidR="00127391">
        <w:rPr>
          <w:rFonts w:cs="Arial"/>
          <w:b/>
          <w:i/>
          <w:sz w:val="56"/>
        </w:rPr>
        <w:t xml:space="preserve"> Violence against Women Prevention Plan 2016-22</w:t>
      </w:r>
    </w:p>
    <w:p w14:paraId="5801638C" w14:textId="48C8E20D" w:rsidR="00501E4B" w:rsidRPr="00501E4B" w:rsidRDefault="00501E4B" w:rsidP="00501E4B">
      <w:pPr>
        <w:spacing w:before="2040" w:after="2760"/>
        <w:jc w:val="center"/>
        <w:rPr>
          <w:rFonts w:cs="Arial"/>
          <w:b/>
          <w:i/>
          <w:sz w:val="40"/>
          <w:szCs w:val="40"/>
        </w:rPr>
      </w:pPr>
      <w:r w:rsidRPr="00501E4B">
        <w:rPr>
          <w:rFonts w:cs="Arial"/>
          <w:b/>
          <w:i/>
          <w:sz w:val="40"/>
          <w:szCs w:val="40"/>
        </w:rPr>
        <w:t>PROGRESS REPORT</w:t>
      </w:r>
    </w:p>
    <w:p w14:paraId="2F531D4D" w14:textId="2297D36A" w:rsidR="00501E4B" w:rsidRPr="00501E4B" w:rsidRDefault="00501E4B" w:rsidP="00501E4B">
      <w:pPr>
        <w:spacing w:after="0"/>
        <w:jc w:val="right"/>
        <w:sectPr w:rsidR="00501E4B" w:rsidRPr="00501E4B" w:rsidSect="00ED39E7">
          <w:headerReference w:type="default" r:id="rId8"/>
          <w:headerReference w:type="first" r:id="rId9"/>
          <w:pgSz w:w="11906" w:h="16838" w:code="9"/>
          <w:pgMar w:top="1701" w:right="1416" w:bottom="851" w:left="1418" w:header="709" w:footer="348" w:gutter="0"/>
          <w:cols w:space="708"/>
          <w:docGrid w:linePitch="360"/>
        </w:sectPr>
      </w:pPr>
      <w:bookmarkStart w:id="3" w:name="_Toc525120017"/>
      <w:bookmarkEnd w:id="0"/>
      <w:bookmarkEnd w:id="1"/>
      <w:r>
        <w:rPr>
          <w:noProof/>
        </w:rPr>
        <w:drawing>
          <wp:inline distT="0" distB="0" distL="0" distR="0" wp14:anchorId="35964514" wp14:editId="60E4D340">
            <wp:extent cx="835200" cy="1044000"/>
            <wp:effectExtent l="0" t="0" r="3175" b="3810"/>
            <wp:docPr id="15" name="Picture 15" descr="https://www.qld.gov.au/__data/assets/image/0032/8789/qld-crest-on-top-2linestacked-b-w.jpg" title="Queens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ld.gov.au/__data/assets/image/0032/8789/qld-crest-on-top-2linestacked-b-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A1CA" w14:textId="77777777" w:rsidR="00127D40" w:rsidRPr="00127D40" w:rsidRDefault="00127D40" w:rsidP="009E7372">
      <w:pPr>
        <w:pStyle w:val="Heading1"/>
        <w:spacing w:after="120"/>
        <w:contextualSpacing w:val="0"/>
        <w:rPr>
          <w:sz w:val="40"/>
          <w:szCs w:val="40"/>
          <w:lang w:val="en-US"/>
        </w:rPr>
      </w:pPr>
      <w:r w:rsidRPr="00127D40">
        <w:rPr>
          <w:sz w:val="40"/>
          <w:szCs w:val="40"/>
          <w:lang w:val="en-US"/>
        </w:rPr>
        <w:lastRenderedPageBreak/>
        <w:t xml:space="preserve">Progress update: </w:t>
      </w:r>
    </w:p>
    <w:p w14:paraId="4EB8A91C" w14:textId="77777777" w:rsidR="00127D40" w:rsidRPr="00127D40" w:rsidRDefault="00127D40" w:rsidP="00AF18E8">
      <w:pPr>
        <w:pStyle w:val="Heading2"/>
        <w:rPr>
          <w:lang w:val="en-US"/>
        </w:rPr>
      </w:pPr>
      <w:r w:rsidRPr="00127D40">
        <w:rPr>
          <w:lang w:val="en-US"/>
        </w:rPr>
        <w:t>Queensland Violence against Women Prevention Plan 2016-22</w:t>
      </w:r>
    </w:p>
    <w:bookmarkEnd w:id="3"/>
    <w:p w14:paraId="660D2B89" w14:textId="026671C6" w:rsidR="00301F6E" w:rsidRPr="009E7372" w:rsidRDefault="00301F6E" w:rsidP="009E7372">
      <w:pPr>
        <w:rPr>
          <w:szCs w:val="20"/>
        </w:rPr>
      </w:pPr>
      <w:r w:rsidRPr="009E7372">
        <w:rPr>
          <w:szCs w:val="20"/>
        </w:rPr>
        <w:t xml:space="preserve">The </w:t>
      </w:r>
      <w:r w:rsidR="008F5920" w:rsidRPr="009E7372">
        <w:rPr>
          <w:i/>
          <w:szCs w:val="20"/>
        </w:rPr>
        <w:t xml:space="preserve">Queensland </w:t>
      </w:r>
      <w:r w:rsidRPr="009E7372">
        <w:rPr>
          <w:i/>
          <w:szCs w:val="20"/>
        </w:rPr>
        <w:t>Violence again</w:t>
      </w:r>
      <w:r w:rsidR="008F5920" w:rsidRPr="009E7372">
        <w:rPr>
          <w:i/>
          <w:szCs w:val="20"/>
        </w:rPr>
        <w:t>st Women Prevention Plan 2016-22</w:t>
      </w:r>
      <w:r w:rsidRPr="009E7372">
        <w:rPr>
          <w:szCs w:val="20"/>
        </w:rPr>
        <w:t xml:space="preserve"> set out actions under three outcomes – Respect, Safety, and Justice – to address all </w:t>
      </w:r>
      <w:r w:rsidR="008F5920" w:rsidRPr="009E7372">
        <w:rPr>
          <w:szCs w:val="20"/>
        </w:rPr>
        <w:t>forms of violence against women</w:t>
      </w:r>
      <w:r w:rsidRPr="009E7372">
        <w:rPr>
          <w:szCs w:val="20"/>
        </w:rPr>
        <w:t xml:space="preserve">. </w:t>
      </w:r>
      <w:r w:rsidR="008F5920" w:rsidRPr="009E7372">
        <w:rPr>
          <w:szCs w:val="20"/>
        </w:rPr>
        <w:t>We have completed</w:t>
      </w:r>
      <w:r w:rsidRPr="009E7372">
        <w:rPr>
          <w:szCs w:val="20"/>
        </w:rPr>
        <w:t xml:space="preserve"> 23 of the 26 actions in the </w:t>
      </w:r>
      <w:r w:rsidR="008F5920" w:rsidRPr="009E7372">
        <w:rPr>
          <w:szCs w:val="20"/>
        </w:rPr>
        <w:t>Plan, or embedded them into business as usual activities.</w:t>
      </w:r>
      <w:r w:rsidR="009505AD" w:rsidRPr="009E7372">
        <w:rPr>
          <w:szCs w:val="20"/>
        </w:rPr>
        <w:t xml:space="preserve"> Three </w:t>
      </w:r>
      <w:r w:rsidRPr="009E7372">
        <w:rPr>
          <w:szCs w:val="20"/>
        </w:rPr>
        <w:t xml:space="preserve">actions will continue to be </w:t>
      </w:r>
      <w:r w:rsidR="009505AD" w:rsidRPr="009E7372">
        <w:rPr>
          <w:szCs w:val="20"/>
        </w:rPr>
        <w:t xml:space="preserve">progressed </w:t>
      </w:r>
      <w:r w:rsidRPr="009E7372">
        <w:rPr>
          <w:szCs w:val="20"/>
        </w:rPr>
        <w:t xml:space="preserve">as we implement </w:t>
      </w:r>
      <w:r w:rsidR="00127D40" w:rsidRPr="009E7372">
        <w:rPr>
          <w:i/>
          <w:szCs w:val="20"/>
        </w:rPr>
        <w:t xml:space="preserve">Prevent. Support. </w:t>
      </w:r>
      <w:r w:rsidR="00694271" w:rsidRPr="009E7372">
        <w:rPr>
          <w:i/>
          <w:szCs w:val="20"/>
        </w:rPr>
        <w:t xml:space="preserve">Believe. Queensland’s </w:t>
      </w:r>
      <w:r w:rsidR="00127D40" w:rsidRPr="009E7372">
        <w:rPr>
          <w:i/>
          <w:szCs w:val="20"/>
        </w:rPr>
        <w:t>F</w:t>
      </w:r>
      <w:r w:rsidR="00694271" w:rsidRPr="009E7372">
        <w:rPr>
          <w:i/>
          <w:szCs w:val="20"/>
        </w:rPr>
        <w:t xml:space="preserve">ramework to </w:t>
      </w:r>
      <w:r w:rsidR="00127D40" w:rsidRPr="009E7372">
        <w:rPr>
          <w:i/>
          <w:szCs w:val="20"/>
        </w:rPr>
        <w:t>a</w:t>
      </w:r>
      <w:r w:rsidR="00694271" w:rsidRPr="009E7372">
        <w:rPr>
          <w:i/>
          <w:szCs w:val="20"/>
        </w:rPr>
        <w:t xml:space="preserve">ddress </w:t>
      </w:r>
      <w:r w:rsidR="00127D40" w:rsidRPr="009E7372">
        <w:rPr>
          <w:i/>
          <w:szCs w:val="20"/>
        </w:rPr>
        <w:t>S</w:t>
      </w:r>
      <w:r w:rsidR="00694271" w:rsidRPr="009E7372">
        <w:rPr>
          <w:i/>
          <w:szCs w:val="20"/>
        </w:rPr>
        <w:t xml:space="preserve">exual </w:t>
      </w:r>
      <w:r w:rsidR="00127D40" w:rsidRPr="009E7372">
        <w:rPr>
          <w:i/>
          <w:szCs w:val="20"/>
        </w:rPr>
        <w:t>V</w:t>
      </w:r>
      <w:r w:rsidR="00694271" w:rsidRPr="009E7372">
        <w:rPr>
          <w:i/>
          <w:szCs w:val="20"/>
        </w:rPr>
        <w:t>iolence.</w:t>
      </w:r>
    </w:p>
    <w:p w14:paraId="275D8486" w14:textId="19EC5902" w:rsidR="00301F6E" w:rsidRDefault="00301F6E" w:rsidP="00AF18E8">
      <w:pPr>
        <w:pStyle w:val="Heading2"/>
      </w:pPr>
      <w:r w:rsidRPr="00301F6E">
        <w:t>Outcome</w:t>
      </w:r>
      <w:r>
        <w:t xml:space="preserve"> 1: Respect</w:t>
      </w:r>
    </w:p>
    <w:p w14:paraId="1FDE3222" w14:textId="2EE2176F" w:rsidR="00301F6E" w:rsidRDefault="00301F6E" w:rsidP="00C84393">
      <w:pPr>
        <w:rPr>
          <w:rFonts w:cs="Arial"/>
          <w:i/>
          <w:sz w:val="22"/>
        </w:rPr>
      </w:pPr>
      <w:r w:rsidRPr="00301F6E">
        <w:rPr>
          <w:rFonts w:cs="Arial"/>
          <w:i/>
          <w:sz w:val="22"/>
        </w:rPr>
        <w:t>Shifting community attitudes and behaviours that support or excuse violence against women</w:t>
      </w:r>
    </w:p>
    <w:p w14:paraId="683B7044" w14:textId="6598A77C" w:rsidR="00127D40" w:rsidRDefault="00127D40" w:rsidP="00127D40">
      <w:pPr>
        <w:spacing w:after="120"/>
        <w:rPr>
          <w:rFonts w:cs="Arial"/>
          <w:i/>
          <w:sz w:val="22"/>
        </w:rPr>
      </w:pPr>
      <w:r w:rsidRPr="00ED39E7">
        <w:rPr>
          <w:rFonts w:cs="Arial"/>
          <w:b/>
        </w:rPr>
        <w:t>Since 2016, we have:</w:t>
      </w:r>
    </w:p>
    <w:p w14:paraId="34C88076" w14:textId="77777777" w:rsidR="00127D40" w:rsidRPr="00301F6E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2" w:hanging="284"/>
        <w:rPr>
          <w:rFonts w:cs="Arial"/>
        </w:rPr>
      </w:pPr>
      <w:r w:rsidRPr="00301F6E">
        <w:rPr>
          <w:rFonts w:cs="Arial"/>
        </w:rPr>
        <w:t>Continued to build the evidence base about violence against women in Queensland and what works to prevent it through our partnership with Australia’s National Research Organisation for Women’s Safety – with a particular focus on women, disability and violence.</w:t>
      </w:r>
    </w:p>
    <w:p w14:paraId="0AF4F707" w14:textId="77777777" w:rsidR="00127D40" w:rsidRPr="00301F6E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2" w:hanging="284"/>
        <w:rPr>
          <w:rFonts w:cs="Arial"/>
        </w:rPr>
      </w:pPr>
      <w:r w:rsidRPr="00301F6E">
        <w:rPr>
          <w:rFonts w:cs="Arial"/>
        </w:rPr>
        <w:t xml:space="preserve">Supported the Queensland Centre for Domestic and Family Violence Research to strengthen the capacity and capability of organisations that deliver sexual assault services funded by the Queensland Government. </w:t>
      </w:r>
    </w:p>
    <w:p w14:paraId="29369D37" w14:textId="0A0EC77C" w:rsidR="00127D40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2" w:hanging="284"/>
        <w:rPr>
          <w:rFonts w:cs="Arial"/>
        </w:rPr>
      </w:pPr>
      <w:r w:rsidRPr="00301F6E">
        <w:rPr>
          <w:rFonts w:cs="Arial"/>
        </w:rPr>
        <w:t xml:space="preserve">Engaged with communities about the nature of violence against women in Queensland – including through community consultation to inform </w:t>
      </w:r>
      <w:r w:rsidR="00492499" w:rsidRPr="00492499">
        <w:rPr>
          <w:rFonts w:cs="Arial"/>
          <w:i/>
        </w:rPr>
        <w:t xml:space="preserve">Prevent. Support. Believe. Queensland’s Framework to address </w:t>
      </w:r>
      <w:r w:rsidR="00492499" w:rsidRPr="00492499">
        <w:rPr>
          <w:rFonts w:cs="Arial"/>
          <w:i/>
          <w:iCs/>
        </w:rPr>
        <w:t>Sexual Violence</w:t>
      </w:r>
      <w:r w:rsidR="00492499">
        <w:rPr>
          <w:rFonts w:cs="Arial"/>
          <w:i/>
          <w:iCs/>
        </w:rPr>
        <w:t xml:space="preserve"> </w:t>
      </w:r>
      <w:r w:rsidRPr="00301F6E">
        <w:rPr>
          <w:rFonts w:cs="Arial"/>
        </w:rPr>
        <w:t>in 2019.</w:t>
      </w:r>
    </w:p>
    <w:p w14:paraId="2C5E329D" w14:textId="2F3A22EB" w:rsidR="00127D40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2" w:hanging="284"/>
        <w:rPr>
          <w:rFonts w:cs="Arial"/>
        </w:rPr>
      </w:pPr>
      <w:r w:rsidRPr="00127D40">
        <w:rPr>
          <w:rFonts w:cs="Arial"/>
        </w:rPr>
        <w:t xml:space="preserve">Supported Our Watch to develop a primary prevention model – </w:t>
      </w:r>
      <w:r w:rsidRPr="00127D40">
        <w:rPr>
          <w:rFonts w:cs="Arial"/>
          <w:i/>
        </w:rPr>
        <w:t>Changing the Picture</w:t>
      </w:r>
      <w:r w:rsidRPr="00127D40">
        <w:rPr>
          <w:rFonts w:cs="Arial"/>
        </w:rPr>
        <w:t xml:space="preserve"> – for violence against Aboriginal and Torres Strait Islander women.</w:t>
      </w:r>
    </w:p>
    <w:p w14:paraId="5E8CC106" w14:textId="77777777" w:rsidR="00127D40" w:rsidRPr="00301F6E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301F6E">
        <w:rPr>
          <w:rFonts w:cs="Arial"/>
        </w:rPr>
        <w:t>Reviewed the Respectful Relationships Education Program to ensure it reflects current education research and best practice, and made it available to all Queensland schools.</w:t>
      </w:r>
    </w:p>
    <w:p w14:paraId="58D5E03D" w14:textId="77777777" w:rsidR="00127D40" w:rsidRPr="00301F6E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301F6E">
        <w:rPr>
          <w:rFonts w:cs="Arial"/>
        </w:rPr>
        <w:t xml:space="preserve">Contributed to the primary prevention of violence against women through the work of the Arts Queensland Statutory Bodies, including the 2017 Queensland Music Festival’s production </w:t>
      </w:r>
      <w:proofErr w:type="gramStart"/>
      <w:r w:rsidRPr="00427C58">
        <w:rPr>
          <w:rFonts w:cs="Arial"/>
          <w:i/>
        </w:rPr>
        <w:t>You’re</w:t>
      </w:r>
      <w:proofErr w:type="gramEnd"/>
      <w:r w:rsidRPr="00427C58">
        <w:rPr>
          <w:rFonts w:cs="Arial"/>
          <w:i/>
        </w:rPr>
        <w:t xml:space="preserve"> the Voice</w:t>
      </w:r>
      <w:r w:rsidRPr="00301F6E">
        <w:rPr>
          <w:rFonts w:cs="Arial"/>
        </w:rPr>
        <w:t xml:space="preserve">, a chorus of over 2,500 voices from around the state, and an award winning short film, </w:t>
      </w:r>
      <w:r w:rsidRPr="00427C58">
        <w:rPr>
          <w:rFonts w:cs="Arial"/>
          <w:i/>
        </w:rPr>
        <w:t>Calloused Hearts</w:t>
      </w:r>
      <w:r w:rsidRPr="00301F6E">
        <w:rPr>
          <w:rFonts w:cs="Arial"/>
        </w:rPr>
        <w:t>, which highlights the impact of domestic violence in regional areas.</w:t>
      </w:r>
    </w:p>
    <w:p w14:paraId="5231E0E0" w14:textId="3AFEAC29" w:rsidR="00127D40" w:rsidRPr="00127D40" w:rsidRDefault="00127D40" w:rsidP="00492499">
      <w:pPr>
        <w:numPr>
          <w:ilvl w:val="0"/>
          <w:numId w:val="2"/>
        </w:numPr>
        <w:tabs>
          <w:tab w:val="clear" w:pos="720"/>
          <w:tab w:val="num" w:pos="313"/>
        </w:tabs>
        <w:ind w:left="312" w:hanging="284"/>
        <w:rPr>
          <w:rFonts w:cs="Arial"/>
        </w:rPr>
      </w:pPr>
      <w:r w:rsidRPr="00301F6E">
        <w:rPr>
          <w:rFonts w:cs="Arial"/>
        </w:rPr>
        <w:t xml:space="preserve">Worked with the Commonwealth and other jurisdictions through the </w:t>
      </w:r>
      <w:r w:rsidRPr="00427C58">
        <w:rPr>
          <w:rFonts w:cs="Arial"/>
          <w:i/>
        </w:rPr>
        <w:t>Third Action Plan under the National Plan to Reduce Violence against Women and their Children 2010–2022</w:t>
      </w:r>
      <w:r w:rsidRPr="00301F6E">
        <w:rPr>
          <w:rFonts w:cs="Arial"/>
        </w:rPr>
        <w:t xml:space="preserve"> </w:t>
      </w:r>
      <w:r w:rsidR="00492499">
        <w:rPr>
          <w:rFonts w:cs="Arial"/>
        </w:rPr>
        <w:t xml:space="preserve">to progress </w:t>
      </w:r>
      <w:r w:rsidRPr="00301F6E">
        <w:rPr>
          <w:rFonts w:cs="Arial"/>
        </w:rPr>
        <w:t>actions related to all forms of violence against women.</w:t>
      </w:r>
    </w:p>
    <w:p w14:paraId="59D0EF97" w14:textId="0AF39E07" w:rsidR="00427C58" w:rsidRDefault="00427C58" w:rsidP="00AF18E8">
      <w:pPr>
        <w:pStyle w:val="Heading2"/>
      </w:pPr>
      <w:r w:rsidRPr="00301F6E">
        <w:t>Outcome</w:t>
      </w:r>
      <w:r>
        <w:t xml:space="preserve"> 2: Safety</w:t>
      </w:r>
    </w:p>
    <w:p w14:paraId="3F84502B" w14:textId="2A113AB5" w:rsidR="00427C58" w:rsidRDefault="00427C58" w:rsidP="00427C58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Decreasing risk and reducing the impact of violence</w:t>
      </w:r>
    </w:p>
    <w:p w14:paraId="1E4622C4" w14:textId="34118CF8" w:rsidR="00127D40" w:rsidRDefault="00127D40" w:rsidP="00492499">
      <w:pPr>
        <w:spacing w:after="120"/>
        <w:rPr>
          <w:rFonts w:cs="Arial"/>
          <w:b/>
        </w:rPr>
      </w:pPr>
      <w:r w:rsidRPr="00ED39E7">
        <w:rPr>
          <w:rFonts w:cs="Arial"/>
          <w:b/>
        </w:rPr>
        <w:t>Since 2016, we have:</w:t>
      </w:r>
    </w:p>
    <w:p w14:paraId="388781DC" w14:textId="7F97B44E" w:rsidR="00127D40" w:rsidRPr="00427C58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 xml:space="preserve">Released the </w:t>
      </w:r>
      <w:r w:rsidRPr="00427C58">
        <w:rPr>
          <w:rFonts w:cs="Arial"/>
          <w:i/>
          <w:iCs/>
        </w:rPr>
        <w:t xml:space="preserve">Sexual Health and Safety Guidelines </w:t>
      </w:r>
      <w:r w:rsidRPr="00427C58">
        <w:rPr>
          <w:rFonts w:cs="Arial"/>
        </w:rPr>
        <w:t>and online promotional package, and conducted an audit of clinical training needs to implement</w:t>
      </w:r>
      <w:r w:rsidR="00492499">
        <w:rPr>
          <w:rFonts w:cs="Arial"/>
        </w:rPr>
        <w:t xml:space="preserve"> the</w:t>
      </w:r>
      <w:r w:rsidRPr="00427C58">
        <w:rPr>
          <w:rFonts w:cs="Arial"/>
        </w:rPr>
        <w:t xml:space="preserve"> Guidelines.</w:t>
      </w:r>
    </w:p>
    <w:p w14:paraId="418DA88B" w14:textId="77777777" w:rsidR="00127D40" w:rsidRPr="00427C58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 xml:space="preserve">Enhanced reproductive choice through the </w:t>
      </w:r>
      <w:r w:rsidRPr="00427C58">
        <w:rPr>
          <w:rFonts w:cs="Arial"/>
          <w:i/>
          <w:iCs/>
        </w:rPr>
        <w:t xml:space="preserve">Termination of Pregnancy Act 2018 </w:t>
      </w:r>
      <w:r w:rsidRPr="00427C58">
        <w:rPr>
          <w:rFonts w:cs="Arial"/>
        </w:rPr>
        <w:t>(the Act), and developed guidelines and other resources to support health practitioners and services to appropriately implement the Act.</w:t>
      </w:r>
    </w:p>
    <w:p w14:paraId="7287AB3E" w14:textId="77777777" w:rsidR="00127D40" w:rsidRPr="00427C58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>Developed</w:t>
      </w:r>
      <w:r>
        <w:rPr>
          <w:rFonts w:cs="Arial"/>
        </w:rPr>
        <w:t xml:space="preserve"> reference material to build</w:t>
      </w:r>
      <w:r w:rsidRPr="00427C58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427C58">
        <w:rPr>
          <w:rFonts w:cs="Arial"/>
        </w:rPr>
        <w:t xml:space="preserve">capacity of frontline domestic, family and sexual violence workforce to deliver </w:t>
      </w:r>
      <w:r>
        <w:rPr>
          <w:rFonts w:cs="Arial"/>
        </w:rPr>
        <w:t>evidence-informed and</w:t>
      </w:r>
      <w:r w:rsidRPr="00427C58">
        <w:rPr>
          <w:rFonts w:cs="Arial"/>
        </w:rPr>
        <w:t xml:space="preserve"> inclusive services.</w:t>
      </w:r>
    </w:p>
    <w:p w14:paraId="4B354437" w14:textId="77777777" w:rsidR="00127D40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>Released the Youth Sexual Violence and Abuse Steering Committee’s Final Report and Government response, including committing $12 million for priority actions.</w:t>
      </w:r>
    </w:p>
    <w:p w14:paraId="2059D4C5" w14:textId="5586D376" w:rsidR="00127D40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127D40">
        <w:rPr>
          <w:rFonts w:cs="Arial"/>
        </w:rPr>
        <w:t>Engaged with the National Disability Insurance Agency to consider and respond to the risks and experiences of violence for women with disability.</w:t>
      </w:r>
    </w:p>
    <w:p w14:paraId="761C0313" w14:textId="79ED186E" w:rsidR="00127D40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lastRenderedPageBreak/>
        <w:t xml:space="preserve">Released </w:t>
      </w:r>
      <w:r w:rsidRPr="00427C58">
        <w:rPr>
          <w:rFonts w:cs="Arial"/>
          <w:i/>
          <w:iCs/>
        </w:rPr>
        <w:t>Queensland’s plan to respond to domestic and family violence against people with disability</w:t>
      </w:r>
      <w:r w:rsidRPr="00427C58">
        <w:rPr>
          <w:rFonts w:cs="Arial"/>
        </w:rPr>
        <w:t>, which includes both immediate strategies to improve responses as well as laying the groundwork to build understanding to inform future work.</w:t>
      </w:r>
    </w:p>
    <w:p w14:paraId="2BAEDA14" w14:textId="77777777" w:rsidR="00127D40" w:rsidRPr="00427C58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>Engaged with specialist and non-specialist violence, community and health services to ensure services are accessible and appropriate to women with disability and acknowledge additional vulnerability to experiencing violence.</w:t>
      </w:r>
    </w:p>
    <w:p w14:paraId="6DF0F393" w14:textId="17CF3D28" w:rsidR="00127D40" w:rsidRPr="00427C58" w:rsidRDefault="00127D40" w:rsidP="00127D40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 xml:space="preserve">Implemented actions in the Queensland Multicultural Policy, </w:t>
      </w:r>
      <w:r w:rsidRPr="00427C58">
        <w:rPr>
          <w:rFonts w:cs="Arial"/>
          <w:i/>
          <w:iCs/>
        </w:rPr>
        <w:t xml:space="preserve">Our story, our future, </w:t>
      </w:r>
      <w:r w:rsidRPr="00427C58">
        <w:rPr>
          <w:rFonts w:cs="Arial"/>
        </w:rPr>
        <w:t xml:space="preserve">and action plan </w:t>
      </w:r>
      <w:r w:rsidR="00492499">
        <w:rPr>
          <w:rFonts w:cs="Arial"/>
        </w:rPr>
        <w:t xml:space="preserve">to </w:t>
      </w:r>
      <w:r w:rsidRPr="00427C58">
        <w:rPr>
          <w:rFonts w:cs="Arial"/>
        </w:rPr>
        <w:t>better meet the safety and support needs of women and girls from culturally and linguistically diverse backgrounds.</w:t>
      </w:r>
    </w:p>
    <w:p w14:paraId="586A03AE" w14:textId="4FBD4517" w:rsidR="00127D40" w:rsidRPr="00127D40" w:rsidRDefault="00127D40" w:rsidP="00492499">
      <w:pPr>
        <w:numPr>
          <w:ilvl w:val="0"/>
          <w:numId w:val="2"/>
        </w:numPr>
        <w:tabs>
          <w:tab w:val="clear" w:pos="720"/>
          <w:tab w:val="num" w:pos="313"/>
        </w:tabs>
        <w:ind w:left="312" w:hanging="284"/>
        <w:rPr>
          <w:rFonts w:cs="Arial"/>
        </w:rPr>
      </w:pPr>
      <w:r w:rsidRPr="00427C58">
        <w:rPr>
          <w:rFonts w:cs="Arial"/>
        </w:rPr>
        <w:t>Leveraged the work being undertaken to prevent and respond to domestic and family violence to include broader prevention strategies for other forms of violence against women.</w:t>
      </w:r>
    </w:p>
    <w:p w14:paraId="6237FD76" w14:textId="3EDD338A" w:rsidR="00427C58" w:rsidRDefault="00427C58" w:rsidP="00AF18E8">
      <w:pPr>
        <w:pStyle w:val="Heading2"/>
      </w:pPr>
      <w:r w:rsidRPr="00301F6E">
        <w:t>Outcome</w:t>
      </w:r>
      <w:r>
        <w:t xml:space="preserve"> 3: Justice</w:t>
      </w:r>
    </w:p>
    <w:p w14:paraId="190373F5" w14:textId="5EF5ED31" w:rsidR="00427C58" w:rsidRDefault="00427C58" w:rsidP="00427C58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Responding to violence effectively and preventing reoffending</w:t>
      </w:r>
    </w:p>
    <w:p w14:paraId="377E0BCE" w14:textId="7997A218" w:rsidR="009E7372" w:rsidRDefault="009E7372" w:rsidP="00492499">
      <w:pPr>
        <w:spacing w:after="120"/>
        <w:rPr>
          <w:rFonts w:cs="Arial"/>
          <w:b/>
        </w:rPr>
      </w:pPr>
      <w:r w:rsidRPr="00ED39E7">
        <w:rPr>
          <w:rFonts w:cs="Arial"/>
          <w:b/>
        </w:rPr>
        <w:t>Since 2016, we have:</w:t>
      </w:r>
    </w:p>
    <w:p w14:paraId="4FBA9D8E" w14:textId="42BBCB23" w:rsidR="009E7372" w:rsidRPr="00427C58" w:rsidRDefault="009E7372" w:rsidP="009E7372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 xml:space="preserve">Amended the Criminal Code through the </w:t>
      </w:r>
      <w:r w:rsidRPr="00427C58">
        <w:rPr>
          <w:rFonts w:cs="Arial"/>
          <w:i/>
          <w:iCs/>
        </w:rPr>
        <w:t xml:space="preserve">Serious and Organised Crime Legislation Amendment </w:t>
      </w:r>
      <w:r w:rsidR="00492499">
        <w:rPr>
          <w:rFonts w:cs="Arial"/>
          <w:i/>
          <w:iCs/>
        </w:rPr>
        <w:t>Act</w:t>
      </w:r>
      <w:r w:rsidRPr="00427C58">
        <w:rPr>
          <w:rFonts w:cs="Arial"/>
          <w:i/>
          <w:iCs/>
        </w:rPr>
        <w:t xml:space="preserve"> 2016</w:t>
      </w:r>
      <w:r w:rsidRPr="00427C58">
        <w:rPr>
          <w:rFonts w:cs="Arial"/>
        </w:rPr>
        <w:t xml:space="preserve"> in response to the proliferation of child exploitation material over the internet, the increased use of technology to promote and distribute offending material</w:t>
      </w:r>
      <w:r w:rsidR="00CE64CB">
        <w:rPr>
          <w:rFonts w:cs="Arial"/>
        </w:rPr>
        <w:t xml:space="preserve"> and</w:t>
      </w:r>
      <w:r w:rsidRPr="00427C58">
        <w:rPr>
          <w:rFonts w:cs="Arial"/>
        </w:rPr>
        <w:t xml:space="preserve"> conceal offending</w:t>
      </w:r>
      <w:r w:rsidR="00CE64CB">
        <w:rPr>
          <w:rFonts w:cs="Arial"/>
        </w:rPr>
        <w:t>,</w:t>
      </w:r>
      <w:r w:rsidRPr="00427C58">
        <w:rPr>
          <w:rFonts w:cs="Arial"/>
        </w:rPr>
        <w:t xml:space="preserve"> and to address legislative gaps and limitations.</w:t>
      </w:r>
    </w:p>
    <w:p w14:paraId="160D1AE8" w14:textId="4B5AB18F" w:rsidR="009E7372" w:rsidRDefault="009E7372" w:rsidP="009E7372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 xml:space="preserve">Passed the </w:t>
      </w:r>
      <w:r w:rsidRPr="00427C58">
        <w:rPr>
          <w:rFonts w:cs="Arial"/>
          <w:i/>
          <w:iCs/>
        </w:rPr>
        <w:t>Victims of Crime Assistance and Other Legislation Amendment Act 2017</w:t>
      </w:r>
      <w:r w:rsidRPr="00427C58">
        <w:rPr>
          <w:rFonts w:cs="Arial"/>
        </w:rPr>
        <w:t xml:space="preserve"> to </w:t>
      </w:r>
      <w:r>
        <w:rPr>
          <w:rFonts w:cs="Arial"/>
        </w:rPr>
        <w:t xml:space="preserve">give victims of a sexual offence who are to give evidence in a criminal proceeding against the accused automatic status as a special witness. </w:t>
      </w:r>
    </w:p>
    <w:p w14:paraId="2FAB0A65" w14:textId="0FCDE38B" w:rsidR="009E7372" w:rsidRPr="009E7372" w:rsidRDefault="009E7372" w:rsidP="009E7372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9E7372">
        <w:rPr>
          <w:rFonts w:cs="Arial"/>
        </w:rPr>
        <w:t xml:space="preserve">Responded to recommendations of the 2016-17 and 2018-19 reports of the Domestic and Family Violence Death Review and Advisory Board and released </w:t>
      </w:r>
      <w:r w:rsidRPr="009E7372">
        <w:rPr>
          <w:rFonts w:cs="Arial"/>
          <w:i/>
          <w:iCs/>
        </w:rPr>
        <w:t>Queensland’s Framework for Action: Reshaping our Approach to Aboriginal and Torres Strait Islander Domestic and Family Violence.</w:t>
      </w:r>
    </w:p>
    <w:p w14:paraId="26EC2F5F" w14:textId="77777777" w:rsidR="009E7372" w:rsidRPr="00427C58" w:rsidRDefault="009E7372" w:rsidP="009E7372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>Accepted advice from the Queensland Law Reform Commission not to introduce a Domestic Violence Disclosure Scheme.</w:t>
      </w:r>
    </w:p>
    <w:p w14:paraId="4DE227B4" w14:textId="77777777" w:rsidR="009E7372" w:rsidRDefault="009E7372" w:rsidP="009E7372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>Continued to take action to limit technology-facilitated abuse, including through introducing new offences relating to non-consensual sharing of intimate images.</w:t>
      </w:r>
    </w:p>
    <w:p w14:paraId="7819F636" w14:textId="77777777" w:rsidR="009E7372" w:rsidRPr="00427C58" w:rsidRDefault="009E7372" w:rsidP="009E7372">
      <w:pPr>
        <w:numPr>
          <w:ilvl w:val="0"/>
          <w:numId w:val="2"/>
        </w:numPr>
        <w:tabs>
          <w:tab w:val="clear" w:pos="720"/>
          <w:tab w:val="num" w:pos="313"/>
        </w:tabs>
        <w:spacing w:after="120"/>
        <w:ind w:left="313" w:hanging="284"/>
        <w:rPr>
          <w:rFonts w:cs="Arial"/>
        </w:rPr>
      </w:pPr>
      <w:r w:rsidRPr="00427C58">
        <w:rPr>
          <w:rFonts w:cs="Arial"/>
        </w:rPr>
        <w:t xml:space="preserve">Provided specialised training to Queensland Corrective Services' </w:t>
      </w:r>
      <w:r>
        <w:rPr>
          <w:rFonts w:cs="Arial"/>
        </w:rPr>
        <w:t>Community Corrections</w:t>
      </w:r>
      <w:r w:rsidRPr="00427C58">
        <w:rPr>
          <w:rFonts w:cs="Arial"/>
        </w:rPr>
        <w:t xml:space="preserve"> staff on managing female offenders, including a component that focuses on women as victims of trauma and abuse; and to Courts Innovation Program staff about the underlying causes of offending and the rehabilitation of offenders to address recidivism and keep women safe.</w:t>
      </w:r>
    </w:p>
    <w:p w14:paraId="615C245F" w14:textId="6B0BA4ED" w:rsidR="009E7372" w:rsidRPr="009E7372" w:rsidRDefault="009E7372" w:rsidP="00CE64CB">
      <w:pPr>
        <w:numPr>
          <w:ilvl w:val="0"/>
          <w:numId w:val="2"/>
        </w:numPr>
        <w:tabs>
          <w:tab w:val="clear" w:pos="720"/>
          <w:tab w:val="num" w:pos="313"/>
        </w:tabs>
        <w:ind w:left="312" w:hanging="284"/>
        <w:rPr>
          <w:rFonts w:cs="Arial"/>
        </w:rPr>
      </w:pPr>
      <w:r w:rsidRPr="00427C58">
        <w:rPr>
          <w:rFonts w:cs="Arial"/>
        </w:rPr>
        <w:t>Delivered training to Regional Scenes of Crime Examination Officers to support investigation of rapes and sexual assaults in remote/rural areas.</w:t>
      </w:r>
    </w:p>
    <w:p w14:paraId="79E029D3" w14:textId="75760948" w:rsidR="00DC75A5" w:rsidRDefault="009E7372" w:rsidP="00AF18E8">
      <w:pPr>
        <w:pStyle w:val="Heading2"/>
      </w:pPr>
      <w:r w:rsidRPr="00ED39E7">
        <w:t>Ongoing work</w:t>
      </w:r>
    </w:p>
    <w:p w14:paraId="241E570C" w14:textId="3B55775C" w:rsidR="00CE64CB" w:rsidRPr="009E7372" w:rsidRDefault="00CE64CB" w:rsidP="00CE64CB">
      <w:pPr>
        <w:numPr>
          <w:ilvl w:val="0"/>
          <w:numId w:val="3"/>
        </w:numPr>
        <w:spacing w:after="120"/>
        <w:ind w:left="313" w:hanging="284"/>
        <w:rPr>
          <w:rFonts w:cs="Arial"/>
        </w:rPr>
      </w:pPr>
      <w:r>
        <w:rPr>
          <w:rFonts w:cs="Arial"/>
        </w:rPr>
        <w:t xml:space="preserve">Redeveloping the </w:t>
      </w:r>
      <w:r w:rsidRPr="009E7372">
        <w:rPr>
          <w:rFonts w:cs="Arial"/>
          <w:i/>
          <w:iCs/>
        </w:rPr>
        <w:t>Response to sexual assault</w:t>
      </w:r>
      <w:r>
        <w:rPr>
          <w:rFonts w:cs="Arial"/>
          <w:i/>
          <w:iCs/>
        </w:rPr>
        <w:t xml:space="preserve"> and sexual abuse:</w:t>
      </w:r>
      <w:r w:rsidRPr="009E7372">
        <w:rPr>
          <w:rFonts w:cs="Arial"/>
        </w:rPr>
        <w:t xml:space="preserve"> </w:t>
      </w:r>
      <w:r w:rsidRPr="009E7372">
        <w:rPr>
          <w:rFonts w:cs="Arial"/>
          <w:i/>
          <w:iCs/>
        </w:rPr>
        <w:t xml:space="preserve">Queensland Government Interagency Guidelines for </w:t>
      </w:r>
      <w:r>
        <w:rPr>
          <w:rFonts w:cs="Arial"/>
          <w:i/>
          <w:iCs/>
        </w:rPr>
        <w:t>r</w:t>
      </w:r>
      <w:r w:rsidRPr="009E7372">
        <w:rPr>
          <w:rFonts w:cs="Arial"/>
          <w:i/>
          <w:iCs/>
        </w:rPr>
        <w:t xml:space="preserve">esponding to </w:t>
      </w:r>
      <w:r>
        <w:rPr>
          <w:rFonts w:cs="Arial"/>
          <w:i/>
          <w:iCs/>
        </w:rPr>
        <w:t>children, young people and adults</w:t>
      </w:r>
      <w:r w:rsidRPr="009E7372">
        <w:rPr>
          <w:rFonts w:cs="Arial"/>
          <w:i/>
          <w:iCs/>
        </w:rPr>
        <w:t xml:space="preserve"> who have </w:t>
      </w:r>
      <w:r>
        <w:rPr>
          <w:rFonts w:cs="Arial"/>
          <w:i/>
          <w:iCs/>
        </w:rPr>
        <w:t>e</w:t>
      </w:r>
      <w:r w:rsidRPr="009E7372">
        <w:rPr>
          <w:rFonts w:cs="Arial"/>
          <w:i/>
          <w:iCs/>
        </w:rPr>
        <w:t xml:space="preserve">xperienced </w:t>
      </w:r>
      <w:r>
        <w:rPr>
          <w:rFonts w:cs="Arial"/>
          <w:i/>
          <w:iCs/>
        </w:rPr>
        <w:t>s</w:t>
      </w:r>
      <w:r w:rsidRPr="009E7372">
        <w:rPr>
          <w:rFonts w:cs="Arial"/>
          <w:i/>
          <w:iCs/>
        </w:rPr>
        <w:t xml:space="preserve">exual </w:t>
      </w:r>
      <w:r>
        <w:rPr>
          <w:rFonts w:cs="Arial"/>
          <w:i/>
          <w:iCs/>
        </w:rPr>
        <w:t>a</w:t>
      </w:r>
      <w:r w:rsidRPr="009E7372">
        <w:rPr>
          <w:rFonts w:cs="Arial"/>
          <w:i/>
          <w:iCs/>
        </w:rPr>
        <w:t>ssault</w:t>
      </w:r>
      <w:r>
        <w:rPr>
          <w:rFonts w:cs="Arial"/>
          <w:i/>
          <w:iCs/>
        </w:rPr>
        <w:t xml:space="preserve"> or sexual abuse</w:t>
      </w:r>
      <w:r w:rsidRPr="009E7372">
        <w:rPr>
          <w:rFonts w:cs="Arial"/>
          <w:i/>
          <w:iCs/>
        </w:rPr>
        <w:t>.</w:t>
      </w:r>
    </w:p>
    <w:p w14:paraId="3F508E7A" w14:textId="0AC4FB0F" w:rsidR="009E7372" w:rsidRDefault="00CE64CB" w:rsidP="009E7372">
      <w:pPr>
        <w:numPr>
          <w:ilvl w:val="0"/>
          <w:numId w:val="3"/>
        </w:numPr>
        <w:spacing w:after="120"/>
        <w:ind w:left="313" w:hanging="284"/>
        <w:rPr>
          <w:rFonts w:cs="Arial"/>
        </w:rPr>
      </w:pPr>
      <w:r>
        <w:rPr>
          <w:rFonts w:cs="Arial"/>
        </w:rPr>
        <w:t xml:space="preserve">Continuing </w:t>
      </w:r>
      <w:r w:rsidR="009E7372" w:rsidRPr="00ED39E7">
        <w:rPr>
          <w:rFonts w:cs="Arial"/>
        </w:rPr>
        <w:t>to review primary prevention resources relating to preventing violence against women from culturally and linguistically diverse backgrounds to identify opportunities and gaps.</w:t>
      </w:r>
    </w:p>
    <w:p w14:paraId="2AD6911C" w14:textId="4ABA5787" w:rsidR="009E7372" w:rsidRPr="009E7372" w:rsidRDefault="009E7372" w:rsidP="009E7372">
      <w:pPr>
        <w:numPr>
          <w:ilvl w:val="0"/>
          <w:numId w:val="3"/>
        </w:numPr>
        <w:ind w:left="312" w:hanging="284"/>
        <w:rPr>
          <w:rFonts w:cs="Arial"/>
        </w:rPr>
      </w:pPr>
      <w:r>
        <w:t>Develop</w:t>
      </w:r>
      <w:r w:rsidR="00CE64CB">
        <w:t>ing</w:t>
      </w:r>
      <w:r>
        <w:t xml:space="preserve"> and implement</w:t>
      </w:r>
      <w:r w:rsidR="00CE64CB">
        <w:t>ing</w:t>
      </w:r>
      <w:r>
        <w:t xml:space="preserve"> strategies to reduce the over</w:t>
      </w:r>
      <w:r w:rsidR="00CE64CB">
        <w:t>-</w:t>
      </w:r>
      <w:r>
        <w:t xml:space="preserve">representation of Aboriginal and Torres Strait Islander people in the justice system, including through the </w:t>
      </w:r>
      <w:r>
        <w:rPr>
          <w:i/>
          <w:iCs/>
        </w:rPr>
        <w:t>Working Together Changing the Story: Youth Justice Strategy 2019-2023</w:t>
      </w:r>
      <w:r>
        <w:t xml:space="preserve"> and support</w:t>
      </w:r>
      <w:r w:rsidR="00CE64CB">
        <w:t>ing</w:t>
      </w:r>
      <w:r>
        <w:t xml:space="preserve"> repeat victims of crime and reduc</w:t>
      </w:r>
      <w:r w:rsidR="00CE64CB">
        <w:t>ing</w:t>
      </w:r>
      <w:r>
        <w:t xml:space="preserve"> re-victimisation of Aboriginal and Torres Strait Islander women and girls.</w:t>
      </w:r>
    </w:p>
    <w:p w14:paraId="6E6EF6AC" w14:textId="4B820541" w:rsidR="003B38CA" w:rsidRPr="009E7372" w:rsidRDefault="00913D43" w:rsidP="00634690">
      <w:pPr>
        <w:rPr>
          <w:rFonts w:cs="Arial"/>
          <w:szCs w:val="20"/>
        </w:rPr>
      </w:pPr>
      <w:r w:rsidRPr="009E7372">
        <w:rPr>
          <w:rFonts w:cs="Arial"/>
          <w:szCs w:val="20"/>
        </w:rPr>
        <w:t xml:space="preserve">These ongoing actions will be reported on under </w:t>
      </w:r>
      <w:r w:rsidRPr="009E7372">
        <w:rPr>
          <w:rFonts w:cs="Arial"/>
          <w:i/>
          <w:szCs w:val="20"/>
        </w:rPr>
        <w:t>the Domestic and Family Violence Prevention Strategy 2016−26</w:t>
      </w:r>
      <w:r w:rsidR="00694271" w:rsidRPr="009E7372">
        <w:rPr>
          <w:rFonts w:cs="Arial"/>
          <w:szCs w:val="20"/>
        </w:rPr>
        <w:t>,</w:t>
      </w:r>
      <w:r w:rsidRPr="009E7372">
        <w:rPr>
          <w:rFonts w:cs="Arial"/>
          <w:szCs w:val="20"/>
        </w:rPr>
        <w:t xml:space="preserve"> </w:t>
      </w:r>
      <w:r w:rsidR="00CE64CB" w:rsidRPr="00CE64CB">
        <w:rPr>
          <w:rFonts w:cs="Arial"/>
          <w:i/>
          <w:szCs w:val="20"/>
        </w:rPr>
        <w:t xml:space="preserve">Prevent. Support. </w:t>
      </w:r>
      <w:r w:rsidR="00694271" w:rsidRPr="00CE64CB">
        <w:rPr>
          <w:i/>
          <w:szCs w:val="20"/>
        </w:rPr>
        <w:t>Believe.</w:t>
      </w:r>
      <w:r w:rsidR="00694271" w:rsidRPr="009E7372">
        <w:rPr>
          <w:i/>
          <w:szCs w:val="20"/>
        </w:rPr>
        <w:t xml:space="preserve"> Queensland’s </w:t>
      </w:r>
      <w:r w:rsidR="00CE64CB">
        <w:rPr>
          <w:i/>
          <w:szCs w:val="20"/>
        </w:rPr>
        <w:t>F</w:t>
      </w:r>
      <w:r w:rsidR="00694271" w:rsidRPr="009E7372">
        <w:rPr>
          <w:i/>
          <w:szCs w:val="20"/>
        </w:rPr>
        <w:t xml:space="preserve">ramework to address </w:t>
      </w:r>
      <w:r w:rsidR="00CE64CB">
        <w:rPr>
          <w:i/>
          <w:szCs w:val="20"/>
        </w:rPr>
        <w:t>S</w:t>
      </w:r>
      <w:r w:rsidR="00694271" w:rsidRPr="009E7372">
        <w:rPr>
          <w:i/>
          <w:szCs w:val="20"/>
        </w:rPr>
        <w:t xml:space="preserve">exual </w:t>
      </w:r>
      <w:r w:rsidR="00CE64CB">
        <w:rPr>
          <w:i/>
          <w:szCs w:val="20"/>
        </w:rPr>
        <w:t>V</w:t>
      </w:r>
      <w:r w:rsidR="00694271" w:rsidRPr="009E7372">
        <w:rPr>
          <w:i/>
          <w:szCs w:val="20"/>
        </w:rPr>
        <w:t>iolence</w:t>
      </w:r>
      <w:r w:rsidR="00694271" w:rsidRPr="009E7372">
        <w:rPr>
          <w:szCs w:val="20"/>
        </w:rPr>
        <w:t xml:space="preserve"> and </w:t>
      </w:r>
      <w:r w:rsidR="00694271" w:rsidRPr="009E7372">
        <w:rPr>
          <w:i/>
          <w:iCs/>
          <w:szCs w:val="20"/>
        </w:rPr>
        <w:t>Working Together Changing the Story: Youth Justice Strategy 2019</w:t>
      </w:r>
      <w:r w:rsidR="00694271" w:rsidRPr="009E7372">
        <w:rPr>
          <w:rFonts w:cs="Arial"/>
          <w:i/>
          <w:szCs w:val="20"/>
        </w:rPr>
        <w:t>−</w:t>
      </w:r>
      <w:r w:rsidR="00694271" w:rsidRPr="009E7372">
        <w:rPr>
          <w:i/>
          <w:iCs/>
          <w:szCs w:val="20"/>
        </w:rPr>
        <w:t>2023</w:t>
      </w:r>
      <w:r w:rsidR="00DC75A5" w:rsidRPr="009E7372">
        <w:rPr>
          <w:iCs/>
          <w:szCs w:val="20"/>
        </w:rPr>
        <w:t>.</w:t>
      </w:r>
    </w:p>
    <w:sectPr w:rsidR="003B38CA" w:rsidRPr="009E7372" w:rsidSect="00ED39E7">
      <w:pgSz w:w="11906" w:h="16838" w:code="9"/>
      <w:pgMar w:top="1701" w:right="1416" w:bottom="851" w:left="1418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831CC" w14:textId="77777777" w:rsidR="00C25B35" w:rsidRDefault="00C25B35" w:rsidP="00330F13">
      <w:pPr>
        <w:spacing w:after="0"/>
      </w:pPr>
      <w:r>
        <w:separator/>
      </w:r>
    </w:p>
  </w:endnote>
  <w:endnote w:type="continuationSeparator" w:id="0">
    <w:p w14:paraId="2332200E" w14:textId="77777777" w:rsidR="00C25B35" w:rsidRDefault="00C25B35" w:rsidP="00330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2532" w14:textId="77777777" w:rsidR="00C25B35" w:rsidRDefault="00C25B35" w:rsidP="00330F13">
      <w:pPr>
        <w:spacing w:after="0"/>
      </w:pPr>
      <w:r>
        <w:separator/>
      </w:r>
    </w:p>
  </w:footnote>
  <w:footnote w:type="continuationSeparator" w:id="0">
    <w:p w14:paraId="73ABE222" w14:textId="77777777" w:rsidR="00C25B35" w:rsidRDefault="00C25B35" w:rsidP="00330F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65DB" w14:textId="582C1E9A" w:rsidR="005E4BED" w:rsidRDefault="005E4B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3AB21" w14:textId="77777777" w:rsidR="005E4BED" w:rsidRDefault="005E4B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99F"/>
    <w:multiLevelType w:val="hybridMultilevel"/>
    <w:tmpl w:val="3086F4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CC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86D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6A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6D2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450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27D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824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62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1F7"/>
    <w:multiLevelType w:val="hybridMultilevel"/>
    <w:tmpl w:val="B2062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0A1E"/>
    <w:multiLevelType w:val="hybridMultilevel"/>
    <w:tmpl w:val="C31CB272"/>
    <w:lvl w:ilvl="0" w:tplc="716A5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88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D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20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42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C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C5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42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E051D"/>
    <w:multiLevelType w:val="hybridMultilevel"/>
    <w:tmpl w:val="C406C1C0"/>
    <w:lvl w:ilvl="0" w:tplc="8CE248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C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86D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6A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6D2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450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27D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824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62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4880"/>
    <w:multiLevelType w:val="hybridMultilevel"/>
    <w:tmpl w:val="3AD45682"/>
    <w:lvl w:ilvl="0" w:tplc="3342B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A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4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41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2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2A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C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8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67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01468"/>
    <w:multiLevelType w:val="hybridMultilevel"/>
    <w:tmpl w:val="0C542D36"/>
    <w:lvl w:ilvl="0" w:tplc="F4D4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F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86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B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4B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67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AD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6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10684A"/>
    <w:multiLevelType w:val="hybridMultilevel"/>
    <w:tmpl w:val="3D7C2306"/>
    <w:lvl w:ilvl="0" w:tplc="0D2A4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A1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44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AA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0A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88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AC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29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2E7CF8"/>
    <w:multiLevelType w:val="hybridMultilevel"/>
    <w:tmpl w:val="0E4A6C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CC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86D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6A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6D2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450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27D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824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62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4B2A"/>
    <w:multiLevelType w:val="hybridMultilevel"/>
    <w:tmpl w:val="BECE72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CC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86D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6A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6D2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450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27D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824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62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D5920"/>
    <w:multiLevelType w:val="hybridMultilevel"/>
    <w:tmpl w:val="B872A352"/>
    <w:lvl w:ilvl="0" w:tplc="1FFA1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EB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E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A6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8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67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E2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0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A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0212B4"/>
    <w:multiLevelType w:val="hybridMultilevel"/>
    <w:tmpl w:val="6BFE5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56AED"/>
    <w:multiLevelType w:val="hybridMultilevel"/>
    <w:tmpl w:val="86B20554"/>
    <w:lvl w:ilvl="0" w:tplc="BC74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69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E6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2A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07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8B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E8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4F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E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8D31ED"/>
    <w:multiLevelType w:val="hybridMultilevel"/>
    <w:tmpl w:val="410E3288"/>
    <w:lvl w:ilvl="0" w:tplc="F4121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EE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89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8D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06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1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A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B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F9"/>
    <w:rsid w:val="00004DFF"/>
    <w:rsid w:val="00006A17"/>
    <w:rsid w:val="00010F5E"/>
    <w:rsid w:val="00011AB5"/>
    <w:rsid w:val="000129A6"/>
    <w:rsid w:val="00012E05"/>
    <w:rsid w:val="0001348C"/>
    <w:rsid w:val="00017AB3"/>
    <w:rsid w:val="00017F15"/>
    <w:rsid w:val="00023150"/>
    <w:rsid w:val="00023A07"/>
    <w:rsid w:val="00023CEC"/>
    <w:rsid w:val="0002475A"/>
    <w:rsid w:val="00025179"/>
    <w:rsid w:val="0004604C"/>
    <w:rsid w:val="00061181"/>
    <w:rsid w:val="0006784F"/>
    <w:rsid w:val="00070812"/>
    <w:rsid w:val="0007408B"/>
    <w:rsid w:val="00076CE7"/>
    <w:rsid w:val="00080185"/>
    <w:rsid w:val="00083CB8"/>
    <w:rsid w:val="00084080"/>
    <w:rsid w:val="00084EFD"/>
    <w:rsid w:val="00090868"/>
    <w:rsid w:val="00091363"/>
    <w:rsid w:val="00092399"/>
    <w:rsid w:val="00093FC0"/>
    <w:rsid w:val="0009502C"/>
    <w:rsid w:val="000A08FA"/>
    <w:rsid w:val="000A7715"/>
    <w:rsid w:val="000A77FE"/>
    <w:rsid w:val="000C6B48"/>
    <w:rsid w:val="000E5E57"/>
    <w:rsid w:val="000E7A6C"/>
    <w:rsid w:val="000F038A"/>
    <w:rsid w:val="000F36A3"/>
    <w:rsid w:val="000F5E9C"/>
    <w:rsid w:val="00102EAB"/>
    <w:rsid w:val="001125E2"/>
    <w:rsid w:val="00115901"/>
    <w:rsid w:val="0011651D"/>
    <w:rsid w:val="001213C3"/>
    <w:rsid w:val="00127391"/>
    <w:rsid w:val="00127D40"/>
    <w:rsid w:val="00132889"/>
    <w:rsid w:val="00132F66"/>
    <w:rsid w:val="001356D4"/>
    <w:rsid w:val="0013572E"/>
    <w:rsid w:val="001368F7"/>
    <w:rsid w:val="00143FA1"/>
    <w:rsid w:val="001461B0"/>
    <w:rsid w:val="001538BB"/>
    <w:rsid w:val="00155863"/>
    <w:rsid w:val="001613C8"/>
    <w:rsid w:val="00172D1D"/>
    <w:rsid w:val="00175C02"/>
    <w:rsid w:val="00184A0C"/>
    <w:rsid w:val="00186DB4"/>
    <w:rsid w:val="00191717"/>
    <w:rsid w:val="001932E6"/>
    <w:rsid w:val="00193AE9"/>
    <w:rsid w:val="0019722C"/>
    <w:rsid w:val="00197552"/>
    <w:rsid w:val="001A0AB7"/>
    <w:rsid w:val="001A6207"/>
    <w:rsid w:val="001B06E3"/>
    <w:rsid w:val="001B1BF7"/>
    <w:rsid w:val="001C1C4D"/>
    <w:rsid w:val="001C2DD7"/>
    <w:rsid w:val="001C42A5"/>
    <w:rsid w:val="001C4510"/>
    <w:rsid w:val="001E62FD"/>
    <w:rsid w:val="001E6800"/>
    <w:rsid w:val="001E7280"/>
    <w:rsid w:val="001F48B8"/>
    <w:rsid w:val="001F6A38"/>
    <w:rsid w:val="00206E1C"/>
    <w:rsid w:val="002122D7"/>
    <w:rsid w:val="0021644F"/>
    <w:rsid w:val="00223727"/>
    <w:rsid w:val="00224569"/>
    <w:rsid w:val="002271C8"/>
    <w:rsid w:val="00245675"/>
    <w:rsid w:val="002505C8"/>
    <w:rsid w:val="002535E4"/>
    <w:rsid w:val="002537EF"/>
    <w:rsid w:val="00263BA7"/>
    <w:rsid w:val="002651B4"/>
    <w:rsid w:val="00270131"/>
    <w:rsid w:val="0027644F"/>
    <w:rsid w:val="00282A93"/>
    <w:rsid w:val="00285C87"/>
    <w:rsid w:val="00286B9D"/>
    <w:rsid w:val="00295B84"/>
    <w:rsid w:val="002972D8"/>
    <w:rsid w:val="002A09D8"/>
    <w:rsid w:val="002A0BB7"/>
    <w:rsid w:val="002A231E"/>
    <w:rsid w:val="002A2EF5"/>
    <w:rsid w:val="002A3D5D"/>
    <w:rsid w:val="002A471F"/>
    <w:rsid w:val="002A5434"/>
    <w:rsid w:val="002A67E3"/>
    <w:rsid w:val="002B1483"/>
    <w:rsid w:val="002B5CFE"/>
    <w:rsid w:val="002D309A"/>
    <w:rsid w:val="002E38E3"/>
    <w:rsid w:val="002E4888"/>
    <w:rsid w:val="002F0DEC"/>
    <w:rsid w:val="002F2313"/>
    <w:rsid w:val="002F6C75"/>
    <w:rsid w:val="00301F6E"/>
    <w:rsid w:val="00304B8A"/>
    <w:rsid w:val="0030711C"/>
    <w:rsid w:val="00316759"/>
    <w:rsid w:val="00317DCD"/>
    <w:rsid w:val="0032532D"/>
    <w:rsid w:val="00326C0D"/>
    <w:rsid w:val="00330D5E"/>
    <w:rsid w:val="00330F13"/>
    <w:rsid w:val="00331DDA"/>
    <w:rsid w:val="003356C5"/>
    <w:rsid w:val="00336390"/>
    <w:rsid w:val="00337C94"/>
    <w:rsid w:val="00345F63"/>
    <w:rsid w:val="00356A14"/>
    <w:rsid w:val="003610DB"/>
    <w:rsid w:val="003670B0"/>
    <w:rsid w:val="003765A3"/>
    <w:rsid w:val="00387C1C"/>
    <w:rsid w:val="003926F6"/>
    <w:rsid w:val="0039688E"/>
    <w:rsid w:val="003A5976"/>
    <w:rsid w:val="003A693E"/>
    <w:rsid w:val="003B35B7"/>
    <w:rsid w:val="003B38CA"/>
    <w:rsid w:val="003D24E6"/>
    <w:rsid w:val="003D2F65"/>
    <w:rsid w:val="003D5687"/>
    <w:rsid w:val="003E06DA"/>
    <w:rsid w:val="003E432C"/>
    <w:rsid w:val="003E5FA4"/>
    <w:rsid w:val="003E64DE"/>
    <w:rsid w:val="003F15D7"/>
    <w:rsid w:val="003F178C"/>
    <w:rsid w:val="003F2801"/>
    <w:rsid w:val="003F2D75"/>
    <w:rsid w:val="003F3B89"/>
    <w:rsid w:val="003F4FC9"/>
    <w:rsid w:val="003F5F93"/>
    <w:rsid w:val="0040169C"/>
    <w:rsid w:val="0040321B"/>
    <w:rsid w:val="0040360D"/>
    <w:rsid w:val="00406A00"/>
    <w:rsid w:val="00412CCA"/>
    <w:rsid w:val="0041555E"/>
    <w:rsid w:val="004223AD"/>
    <w:rsid w:val="00427C58"/>
    <w:rsid w:val="00456368"/>
    <w:rsid w:val="00463C51"/>
    <w:rsid w:val="004640AE"/>
    <w:rsid w:val="00470869"/>
    <w:rsid w:val="004773EB"/>
    <w:rsid w:val="00492499"/>
    <w:rsid w:val="0049674A"/>
    <w:rsid w:val="004A18D0"/>
    <w:rsid w:val="004A21AB"/>
    <w:rsid w:val="004A2A1B"/>
    <w:rsid w:val="004A3661"/>
    <w:rsid w:val="004A54CA"/>
    <w:rsid w:val="004A6248"/>
    <w:rsid w:val="004B6766"/>
    <w:rsid w:val="004B740F"/>
    <w:rsid w:val="004C0B9C"/>
    <w:rsid w:val="004C1806"/>
    <w:rsid w:val="004C1B01"/>
    <w:rsid w:val="004C5281"/>
    <w:rsid w:val="004C6360"/>
    <w:rsid w:val="004C7926"/>
    <w:rsid w:val="004D2FC7"/>
    <w:rsid w:val="004E1085"/>
    <w:rsid w:val="004E32EB"/>
    <w:rsid w:val="004E6351"/>
    <w:rsid w:val="004F5323"/>
    <w:rsid w:val="00501E4B"/>
    <w:rsid w:val="00502D0E"/>
    <w:rsid w:val="0050691B"/>
    <w:rsid w:val="00507A23"/>
    <w:rsid w:val="0051340F"/>
    <w:rsid w:val="00514731"/>
    <w:rsid w:val="00516984"/>
    <w:rsid w:val="005170F3"/>
    <w:rsid w:val="00517195"/>
    <w:rsid w:val="005176EF"/>
    <w:rsid w:val="00520D91"/>
    <w:rsid w:val="00522B07"/>
    <w:rsid w:val="005245FC"/>
    <w:rsid w:val="00526B9A"/>
    <w:rsid w:val="00530B22"/>
    <w:rsid w:val="00532A7E"/>
    <w:rsid w:val="00535F27"/>
    <w:rsid w:val="005426D6"/>
    <w:rsid w:val="0054774B"/>
    <w:rsid w:val="00550C45"/>
    <w:rsid w:val="00551BBB"/>
    <w:rsid w:val="005525E7"/>
    <w:rsid w:val="00552849"/>
    <w:rsid w:val="00565366"/>
    <w:rsid w:val="0056567F"/>
    <w:rsid w:val="005714F9"/>
    <w:rsid w:val="00575154"/>
    <w:rsid w:val="00580209"/>
    <w:rsid w:val="00580E7E"/>
    <w:rsid w:val="00581048"/>
    <w:rsid w:val="00585DCE"/>
    <w:rsid w:val="0058666B"/>
    <w:rsid w:val="00586F09"/>
    <w:rsid w:val="00590306"/>
    <w:rsid w:val="00591214"/>
    <w:rsid w:val="00593C65"/>
    <w:rsid w:val="005970AD"/>
    <w:rsid w:val="005973FC"/>
    <w:rsid w:val="005A7893"/>
    <w:rsid w:val="005B0C1C"/>
    <w:rsid w:val="005B5DA7"/>
    <w:rsid w:val="005C1DC6"/>
    <w:rsid w:val="005C5164"/>
    <w:rsid w:val="005D2375"/>
    <w:rsid w:val="005D23B6"/>
    <w:rsid w:val="005D636F"/>
    <w:rsid w:val="005E4BED"/>
    <w:rsid w:val="005F0460"/>
    <w:rsid w:val="005F5771"/>
    <w:rsid w:val="00606512"/>
    <w:rsid w:val="00606BD5"/>
    <w:rsid w:val="0060705D"/>
    <w:rsid w:val="00611B06"/>
    <w:rsid w:val="00613B2D"/>
    <w:rsid w:val="00623DA2"/>
    <w:rsid w:val="00625597"/>
    <w:rsid w:val="00634690"/>
    <w:rsid w:val="0064350C"/>
    <w:rsid w:val="00643AB2"/>
    <w:rsid w:val="00643CDA"/>
    <w:rsid w:val="00645960"/>
    <w:rsid w:val="00650D94"/>
    <w:rsid w:val="0065177B"/>
    <w:rsid w:val="0065419B"/>
    <w:rsid w:val="00654C70"/>
    <w:rsid w:val="00655FFC"/>
    <w:rsid w:val="006563EC"/>
    <w:rsid w:val="0066150F"/>
    <w:rsid w:val="00661CCB"/>
    <w:rsid w:val="006672B6"/>
    <w:rsid w:val="006677D1"/>
    <w:rsid w:val="006779F4"/>
    <w:rsid w:val="006810A3"/>
    <w:rsid w:val="0068439C"/>
    <w:rsid w:val="006901B6"/>
    <w:rsid w:val="0069040E"/>
    <w:rsid w:val="00694271"/>
    <w:rsid w:val="00696010"/>
    <w:rsid w:val="006A3CE4"/>
    <w:rsid w:val="006A4F4B"/>
    <w:rsid w:val="006A659E"/>
    <w:rsid w:val="006B410A"/>
    <w:rsid w:val="006B7B8A"/>
    <w:rsid w:val="006C1321"/>
    <w:rsid w:val="006C25DE"/>
    <w:rsid w:val="006C5B5F"/>
    <w:rsid w:val="006D2B6D"/>
    <w:rsid w:val="006D2EA1"/>
    <w:rsid w:val="006D3701"/>
    <w:rsid w:val="006F042A"/>
    <w:rsid w:val="006F7DA6"/>
    <w:rsid w:val="00703BDA"/>
    <w:rsid w:val="00707C6A"/>
    <w:rsid w:val="0071160C"/>
    <w:rsid w:val="0071354A"/>
    <w:rsid w:val="00727A28"/>
    <w:rsid w:val="007318A3"/>
    <w:rsid w:val="007408AD"/>
    <w:rsid w:val="007540E2"/>
    <w:rsid w:val="00762EF0"/>
    <w:rsid w:val="00763FEC"/>
    <w:rsid w:val="007646F2"/>
    <w:rsid w:val="00765C5E"/>
    <w:rsid w:val="00774AB2"/>
    <w:rsid w:val="0078121F"/>
    <w:rsid w:val="007860CC"/>
    <w:rsid w:val="00791152"/>
    <w:rsid w:val="007937F8"/>
    <w:rsid w:val="00793886"/>
    <w:rsid w:val="007A616B"/>
    <w:rsid w:val="007B5B91"/>
    <w:rsid w:val="007B741D"/>
    <w:rsid w:val="007C3A57"/>
    <w:rsid w:val="007C3D22"/>
    <w:rsid w:val="007C58A9"/>
    <w:rsid w:val="007E08A0"/>
    <w:rsid w:val="008007D0"/>
    <w:rsid w:val="00800E6E"/>
    <w:rsid w:val="0080459F"/>
    <w:rsid w:val="0080506E"/>
    <w:rsid w:val="008124B5"/>
    <w:rsid w:val="00812C7C"/>
    <w:rsid w:val="00813F85"/>
    <w:rsid w:val="008159CF"/>
    <w:rsid w:val="00817038"/>
    <w:rsid w:val="00821A2F"/>
    <w:rsid w:val="008236C2"/>
    <w:rsid w:val="00823B36"/>
    <w:rsid w:val="008242DE"/>
    <w:rsid w:val="00831076"/>
    <w:rsid w:val="00832994"/>
    <w:rsid w:val="00832A57"/>
    <w:rsid w:val="00841309"/>
    <w:rsid w:val="00843A4D"/>
    <w:rsid w:val="008501E3"/>
    <w:rsid w:val="00867E01"/>
    <w:rsid w:val="00870E94"/>
    <w:rsid w:val="008767C7"/>
    <w:rsid w:val="00877AED"/>
    <w:rsid w:val="00883ACA"/>
    <w:rsid w:val="00887023"/>
    <w:rsid w:val="00895DEF"/>
    <w:rsid w:val="00897E71"/>
    <w:rsid w:val="008A09E0"/>
    <w:rsid w:val="008A30EE"/>
    <w:rsid w:val="008B21CB"/>
    <w:rsid w:val="008B6FC3"/>
    <w:rsid w:val="008C0401"/>
    <w:rsid w:val="008C192E"/>
    <w:rsid w:val="008C32D2"/>
    <w:rsid w:val="008D3E51"/>
    <w:rsid w:val="008D5C31"/>
    <w:rsid w:val="008E287A"/>
    <w:rsid w:val="008E2977"/>
    <w:rsid w:val="008E306A"/>
    <w:rsid w:val="008F5920"/>
    <w:rsid w:val="008F6D70"/>
    <w:rsid w:val="00904CE1"/>
    <w:rsid w:val="00907741"/>
    <w:rsid w:val="00913D43"/>
    <w:rsid w:val="0092379C"/>
    <w:rsid w:val="00924C4D"/>
    <w:rsid w:val="00936E30"/>
    <w:rsid w:val="0094192F"/>
    <w:rsid w:val="009426F2"/>
    <w:rsid w:val="00947779"/>
    <w:rsid w:val="009505AD"/>
    <w:rsid w:val="00955DE1"/>
    <w:rsid w:val="00956915"/>
    <w:rsid w:val="00957F6E"/>
    <w:rsid w:val="009638FE"/>
    <w:rsid w:val="00970A67"/>
    <w:rsid w:val="00972BC7"/>
    <w:rsid w:val="0097594A"/>
    <w:rsid w:val="00977B10"/>
    <w:rsid w:val="00977BC4"/>
    <w:rsid w:val="009903B7"/>
    <w:rsid w:val="00993E60"/>
    <w:rsid w:val="0099463F"/>
    <w:rsid w:val="00997D54"/>
    <w:rsid w:val="00997D8B"/>
    <w:rsid w:val="009A33F9"/>
    <w:rsid w:val="009A38FC"/>
    <w:rsid w:val="009A5673"/>
    <w:rsid w:val="009C5FE5"/>
    <w:rsid w:val="009C71D1"/>
    <w:rsid w:val="009D0253"/>
    <w:rsid w:val="009D13CC"/>
    <w:rsid w:val="009E36DA"/>
    <w:rsid w:val="009E7372"/>
    <w:rsid w:val="009F737F"/>
    <w:rsid w:val="00A02C8A"/>
    <w:rsid w:val="00A0788C"/>
    <w:rsid w:val="00A12E9D"/>
    <w:rsid w:val="00A132C0"/>
    <w:rsid w:val="00A22793"/>
    <w:rsid w:val="00A22D95"/>
    <w:rsid w:val="00A26A99"/>
    <w:rsid w:val="00A27058"/>
    <w:rsid w:val="00A27F66"/>
    <w:rsid w:val="00A30E74"/>
    <w:rsid w:val="00A440C6"/>
    <w:rsid w:val="00A510D3"/>
    <w:rsid w:val="00A51458"/>
    <w:rsid w:val="00A627EF"/>
    <w:rsid w:val="00A71349"/>
    <w:rsid w:val="00A7368C"/>
    <w:rsid w:val="00A73A03"/>
    <w:rsid w:val="00A751A5"/>
    <w:rsid w:val="00A93BA1"/>
    <w:rsid w:val="00A978BA"/>
    <w:rsid w:val="00AB2D1B"/>
    <w:rsid w:val="00AC16CF"/>
    <w:rsid w:val="00AD3EBC"/>
    <w:rsid w:val="00AE43C8"/>
    <w:rsid w:val="00AE552C"/>
    <w:rsid w:val="00AE57BD"/>
    <w:rsid w:val="00AF18E8"/>
    <w:rsid w:val="00AF375A"/>
    <w:rsid w:val="00B05811"/>
    <w:rsid w:val="00B171EC"/>
    <w:rsid w:val="00B23409"/>
    <w:rsid w:val="00B23762"/>
    <w:rsid w:val="00B253E4"/>
    <w:rsid w:val="00B32967"/>
    <w:rsid w:val="00B3406F"/>
    <w:rsid w:val="00B51B61"/>
    <w:rsid w:val="00B51F3E"/>
    <w:rsid w:val="00B548DA"/>
    <w:rsid w:val="00B627B1"/>
    <w:rsid w:val="00B650B8"/>
    <w:rsid w:val="00B654AB"/>
    <w:rsid w:val="00B71A56"/>
    <w:rsid w:val="00B81E8F"/>
    <w:rsid w:val="00B94505"/>
    <w:rsid w:val="00BA4A28"/>
    <w:rsid w:val="00BC1F40"/>
    <w:rsid w:val="00BC4AF6"/>
    <w:rsid w:val="00BC508C"/>
    <w:rsid w:val="00BC5E63"/>
    <w:rsid w:val="00BD04D1"/>
    <w:rsid w:val="00BD58C0"/>
    <w:rsid w:val="00BD7D91"/>
    <w:rsid w:val="00BE1628"/>
    <w:rsid w:val="00BE2FB2"/>
    <w:rsid w:val="00BE581C"/>
    <w:rsid w:val="00BF2790"/>
    <w:rsid w:val="00BF5212"/>
    <w:rsid w:val="00BF5407"/>
    <w:rsid w:val="00BF7638"/>
    <w:rsid w:val="00C02881"/>
    <w:rsid w:val="00C23CC9"/>
    <w:rsid w:val="00C25B35"/>
    <w:rsid w:val="00C3559F"/>
    <w:rsid w:val="00C43DEB"/>
    <w:rsid w:val="00C44EE6"/>
    <w:rsid w:val="00C5133B"/>
    <w:rsid w:val="00C51CD3"/>
    <w:rsid w:val="00C5370A"/>
    <w:rsid w:val="00C6172F"/>
    <w:rsid w:val="00C7569D"/>
    <w:rsid w:val="00C76130"/>
    <w:rsid w:val="00C80014"/>
    <w:rsid w:val="00C83DCB"/>
    <w:rsid w:val="00C84393"/>
    <w:rsid w:val="00C84818"/>
    <w:rsid w:val="00C90F2F"/>
    <w:rsid w:val="00C96348"/>
    <w:rsid w:val="00C97E3E"/>
    <w:rsid w:val="00CA00F2"/>
    <w:rsid w:val="00CB0B0A"/>
    <w:rsid w:val="00CB301B"/>
    <w:rsid w:val="00CC2085"/>
    <w:rsid w:val="00CC3306"/>
    <w:rsid w:val="00CC5302"/>
    <w:rsid w:val="00CC7F9D"/>
    <w:rsid w:val="00CD3F98"/>
    <w:rsid w:val="00CD4066"/>
    <w:rsid w:val="00CD55DA"/>
    <w:rsid w:val="00CD7AAC"/>
    <w:rsid w:val="00CE441C"/>
    <w:rsid w:val="00CE64CB"/>
    <w:rsid w:val="00CE6687"/>
    <w:rsid w:val="00CF4FB3"/>
    <w:rsid w:val="00D327C1"/>
    <w:rsid w:val="00D36B49"/>
    <w:rsid w:val="00D46418"/>
    <w:rsid w:val="00D54CF3"/>
    <w:rsid w:val="00D55191"/>
    <w:rsid w:val="00D6194B"/>
    <w:rsid w:val="00D62152"/>
    <w:rsid w:val="00D65433"/>
    <w:rsid w:val="00D65750"/>
    <w:rsid w:val="00D67148"/>
    <w:rsid w:val="00D70C81"/>
    <w:rsid w:val="00D751DD"/>
    <w:rsid w:val="00D75C4E"/>
    <w:rsid w:val="00D77DB7"/>
    <w:rsid w:val="00D86902"/>
    <w:rsid w:val="00D87F8F"/>
    <w:rsid w:val="00D9064C"/>
    <w:rsid w:val="00DB1788"/>
    <w:rsid w:val="00DB70AE"/>
    <w:rsid w:val="00DB7394"/>
    <w:rsid w:val="00DC1186"/>
    <w:rsid w:val="00DC2FC8"/>
    <w:rsid w:val="00DC6A94"/>
    <w:rsid w:val="00DC75A5"/>
    <w:rsid w:val="00DD1A4A"/>
    <w:rsid w:val="00DD4A39"/>
    <w:rsid w:val="00DE01C0"/>
    <w:rsid w:val="00DE2209"/>
    <w:rsid w:val="00DE58D5"/>
    <w:rsid w:val="00DF401D"/>
    <w:rsid w:val="00DF4700"/>
    <w:rsid w:val="00E016BA"/>
    <w:rsid w:val="00E0426E"/>
    <w:rsid w:val="00E05726"/>
    <w:rsid w:val="00E07795"/>
    <w:rsid w:val="00E11830"/>
    <w:rsid w:val="00E134FD"/>
    <w:rsid w:val="00E153AF"/>
    <w:rsid w:val="00E21971"/>
    <w:rsid w:val="00E25664"/>
    <w:rsid w:val="00E322B8"/>
    <w:rsid w:val="00E350AC"/>
    <w:rsid w:val="00E45564"/>
    <w:rsid w:val="00E74E2D"/>
    <w:rsid w:val="00E74EB2"/>
    <w:rsid w:val="00E822A2"/>
    <w:rsid w:val="00E82451"/>
    <w:rsid w:val="00E865E2"/>
    <w:rsid w:val="00E9275C"/>
    <w:rsid w:val="00E96746"/>
    <w:rsid w:val="00EA501D"/>
    <w:rsid w:val="00EA748B"/>
    <w:rsid w:val="00EB4297"/>
    <w:rsid w:val="00ED1280"/>
    <w:rsid w:val="00ED2145"/>
    <w:rsid w:val="00ED39E7"/>
    <w:rsid w:val="00EE1D09"/>
    <w:rsid w:val="00EE4984"/>
    <w:rsid w:val="00EE4DE7"/>
    <w:rsid w:val="00EF2667"/>
    <w:rsid w:val="00F12F69"/>
    <w:rsid w:val="00F1602B"/>
    <w:rsid w:val="00F219E0"/>
    <w:rsid w:val="00F24523"/>
    <w:rsid w:val="00F30E2C"/>
    <w:rsid w:val="00F3574E"/>
    <w:rsid w:val="00F4120F"/>
    <w:rsid w:val="00F4318F"/>
    <w:rsid w:val="00F47F7C"/>
    <w:rsid w:val="00F5374E"/>
    <w:rsid w:val="00F53A42"/>
    <w:rsid w:val="00F5742F"/>
    <w:rsid w:val="00F7293D"/>
    <w:rsid w:val="00F74408"/>
    <w:rsid w:val="00F754F7"/>
    <w:rsid w:val="00F7596D"/>
    <w:rsid w:val="00F75C2E"/>
    <w:rsid w:val="00F773FD"/>
    <w:rsid w:val="00F84112"/>
    <w:rsid w:val="00F85BF2"/>
    <w:rsid w:val="00F879F0"/>
    <w:rsid w:val="00F9081C"/>
    <w:rsid w:val="00F90D57"/>
    <w:rsid w:val="00F91CB3"/>
    <w:rsid w:val="00F95D02"/>
    <w:rsid w:val="00F96704"/>
    <w:rsid w:val="00F96D38"/>
    <w:rsid w:val="00FB3CAE"/>
    <w:rsid w:val="00FB5E26"/>
    <w:rsid w:val="00FD172B"/>
    <w:rsid w:val="00FD1BF4"/>
    <w:rsid w:val="00FD4479"/>
    <w:rsid w:val="00FD6ABA"/>
    <w:rsid w:val="00FE0231"/>
    <w:rsid w:val="00FE2CA3"/>
    <w:rsid w:val="00FE44CF"/>
    <w:rsid w:val="00FF02DC"/>
    <w:rsid w:val="00FF2457"/>
    <w:rsid w:val="00FF3C9C"/>
    <w:rsid w:val="00FF3DEE"/>
    <w:rsid w:val="00FF5973"/>
    <w:rsid w:val="00FF5F5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AC80CA"/>
  <w15:chartTrackingRefBased/>
  <w15:docId w15:val="{04552C87-3846-4739-BDD0-275F267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1C"/>
    <w:pPr>
      <w:spacing w:after="24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Title"/>
    <w:next w:val="Normal"/>
    <w:link w:val="Heading1Char"/>
    <w:uiPriority w:val="9"/>
    <w:qFormat/>
    <w:rsid w:val="008242DE"/>
    <w:p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autoRedefine/>
    <w:qFormat/>
    <w:rsid w:val="00AF18E8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70B0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18E8"/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670B0"/>
    <w:rPr>
      <w:rFonts w:ascii="Arial" w:eastAsia="Times New Roman" w:hAnsi="Arial" w:cs="Arial"/>
      <w:b/>
      <w:bCs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023A0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D568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C43DEB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330F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30F13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F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0F13"/>
    <w:rPr>
      <w:rFonts w:ascii="Arial" w:eastAsia="Times New Roman" w:hAnsi="Arial" w:cs="Times New Roman"/>
      <w:szCs w:val="24"/>
      <w:lang w:eastAsia="en-AU"/>
    </w:rPr>
  </w:style>
  <w:style w:type="table" w:styleId="TableGrid">
    <w:name w:val="Table Grid"/>
    <w:basedOn w:val="TableNormal"/>
    <w:uiPriority w:val="39"/>
    <w:rsid w:val="0061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42DE"/>
    <w:rPr>
      <w:rFonts w:ascii="Arial" w:eastAsiaTheme="majorEastAsia" w:hAnsi="Arial" w:cs="Arial"/>
      <w:b/>
      <w:spacing w:val="-10"/>
      <w:kern w:val="28"/>
      <w:sz w:val="56"/>
      <w:szCs w:val="56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4C0B9C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25664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25664"/>
    <w:pPr>
      <w:tabs>
        <w:tab w:val="right" w:leader="dot" w:pos="9016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C0B9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68F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8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FC"/>
    <w:rPr>
      <w:rFonts w:ascii="Segoe UI" w:eastAsia="Times New Roman" w:hAnsi="Segoe UI" w:cs="Segoe UI"/>
      <w:sz w:val="18"/>
      <w:szCs w:val="18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E25664"/>
    <w:pPr>
      <w:tabs>
        <w:tab w:val="right" w:leader="dot" w:pos="901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977BC4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6D3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38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96D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D5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D5D"/>
    <w:rPr>
      <w:rFonts w:ascii="Arial" w:eastAsia="Times New Roman" w:hAnsi="Arial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2A3D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7B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7B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7B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Default">
    <w:name w:val="Default"/>
    <w:rsid w:val="00C7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728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30D5E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159CF"/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84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69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19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15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4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60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6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98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68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28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8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47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82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85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38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9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09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46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23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4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2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9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775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0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23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0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728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82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151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3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4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62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89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52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672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39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47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10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92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50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60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98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96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8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27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671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73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0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7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17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653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69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44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91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00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44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34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79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31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23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8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6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96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4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media/image1.jpeg" Type="http://schemas.openxmlformats.org/officeDocument/2006/relationships/image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header2.xml" Type="http://schemas.openxmlformats.org/officeDocument/2006/relationships/header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Sta17</b:Tag>
    <b:SourceType>ElectronicSource</b:SourceType>
    <b:Guid>{19E69C43-18F0-448F-9E4C-CA95FE9E1FC7}</b:Guid>
    <b:Title>Personal Safety Survey 2016</b:Title>
    <b:Year>2017</b:Year>
    <b:Author>
      <b:Author>
        <b:NameList>
          <b:Person>
            <b:Last>Statistics</b:Last>
            <b:First>Australian</b:First>
            <b:Middle>Bureau of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015DE53-07C5-47C7-BDF1-0B2B2DEB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2019-11-04T04:43:00Z</dcterms:created>
  <dc:creator>Queensland Government</dc:creator>
  <cp:keywords>violence against women, violence against women prevention plan</cp:keywords>
  <cp:lastModifiedBy>Jo Qualmann</cp:lastModifiedBy>
  <cp:lastPrinted>2019-09-04T04:17:00Z</cp:lastPrinted>
  <dcterms:modified xsi:type="dcterms:W3CDTF">2019-11-07T03:43:00Z</dcterms:modified>
  <cp:revision>5</cp:revision>
  <dc:subject>violence against women prevention plan</dc:subject>
  <dc:title>VAWPP Progress Report</dc:title>
</cp:coreProperties>
</file>