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47" w:rsidRDefault="00801547" w:rsidP="00AB1341">
      <w:pPr>
        <w:contextualSpacing/>
        <w:jc w:val="center"/>
        <w:rPr>
          <w:rFonts w:cs="Calibri"/>
          <w:b/>
        </w:rPr>
      </w:pPr>
      <w:r>
        <w:rPr>
          <w:rFonts w:cs="Calibri"/>
          <w:b/>
        </w:rPr>
        <w:t>OPEN DATA STRATEGY, LEGAL SERVICES COMMISSION 2013 - 2016</w:t>
      </w:r>
    </w:p>
    <w:p w:rsidR="00801547" w:rsidRDefault="00801547" w:rsidP="00AB1341">
      <w:pPr>
        <w:contextualSpacing/>
        <w:rPr>
          <w:rFonts w:cs="Calibri"/>
          <w:b/>
        </w:rPr>
      </w:pPr>
    </w:p>
    <w:p w:rsidR="00801547" w:rsidRPr="00D5591F" w:rsidRDefault="00801547" w:rsidP="00AB1341">
      <w:pPr>
        <w:contextualSpacing/>
        <w:rPr>
          <w:rFonts w:cs="Calibri"/>
          <w:b/>
        </w:rPr>
      </w:pPr>
      <w:r w:rsidRPr="00D5591F">
        <w:rPr>
          <w:rFonts w:cs="Calibri"/>
          <w:b/>
        </w:rPr>
        <w:t>Introduction</w:t>
      </w:r>
    </w:p>
    <w:p w:rsidR="00801547" w:rsidRPr="003C10B3" w:rsidRDefault="00801547" w:rsidP="00893EF4">
      <w:pPr>
        <w:pStyle w:val="NormalWeb"/>
        <w:spacing w:line="360" w:lineRule="auto"/>
        <w:jc w:val="both"/>
        <w:textAlignment w:val="baseline"/>
        <w:rPr>
          <w:rFonts w:ascii="Calibri" w:hAnsi="Calibri"/>
          <w:color w:val="000000"/>
          <w:sz w:val="22"/>
          <w:szCs w:val="22"/>
        </w:rPr>
      </w:pPr>
      <w:r w:rsidRPr="003C10B3">
        <w:rPr>
          <w:rFonts w:ascii="Calibri" w:hAnsi="Calibri"/>
          <w:color w:val="000000"/>
          <w:sz w:val="22"/>
          <w:szCs w:val="22"/>
        </w:rPr>
        <w:t xml:space="preserve">The Legal Services Commissioner is an independent statutory officer appointed under the </w:t>
      </w:r>
      <w:r w:rsidRPr="003C10B3">
        <w:rPr>
          <w:rFonts w:ascii="Calibri" w:hAnsi="Calibri"/>
          <w:i/>
          <w:iCs/>
          <w:color w:val="000000"/>
          <w:sz w:val="22"/>
          <w:szCs w:val="22"/>
        </w:rPr>
        <w:t xml:space="preserve">Legal Profession Act 2007 </w:t>
      </w:r>
      <w:r w:rsidRPr="003C10B3">
        <w:rPr>
          <w:rFonts w:ascii="Calibri" w:hAnsi="Calibri"/>
          <w:color w:val="000000"/>
          <w:sz w:val="22"/>
          <w:szCs w:val="22"/>
        </w:rPr>
        <w:t xml:space="preserve">(the Act). The Legal Services Commission (the Commission or the LSC) comprises the Commissioner and the staff of the Commission. The Commission first opened for business on 1 July 2004 on the commencement of the </w:t>
      </w:r>
      <w:r w:rsidRPr="003C10B3">
        <w:rPr>
          <w:rFonts w:ascii="Calibri" w:hAnsi="Calibri"/>
          <w:i/>
          <w:iCs/>
          <w:color w:val="000000"/>
          <w:sz w:val="22"/>
          <w:szCs w:val="22"/>
        </w:rPr>
        <w:t>Legal Profession Act 2004</w:t>
      </w:r>
      <w:r w:rsidRPr="003C10B3">
        <w:rPr>
          <w:rFonts w:ascii="Calibri" w:hAnsi="Calibri"/>
          <w:color w:val="000000"/>
          <w:sz w:val="22"/>
          <w:szCs w:val="22"/>
        </w:rPr>
        <w:t xml:space="preserve">. </w:t>
      </w:r>
    </w:p>
    <w:p w:rsidR="00801547" w:rsidRPr="003C10B3" w:rsidRDefault="00801547" w:rsidP="00893EF4">
      <w:pPr>
        <w:pStyle w:val="NormalWeb"/>
        <w:spacing w:line="360" w:lineRule="auto"/>
        <w:jc w:val="both"/>
        <w:textAlignment w:val="baseline"/>
        <w:rPr>
          <w:rFonts w:ascii="Calibri" w:hAnsi="Calibri"/>
          <w:color w:val="000000"/>
          <w:sz w:val="22"/>
          <w:szCs w:val="22"/>
        </w:rPr>
      </w:pPr>
      <w:r w:rsidRPr="003C10B3">
        <w:rPr>
          <w:rFonts w:ascii="Calibri" w:hAnsi="Calibri"/>
          <w:color w:val="000000"/>
          <w:sz w:val="22"/>
          <w:szCs w:val="22"/>
        </w:rPr>
        <w:t>Our two most fundamental purposes are to provide users of legal services a timely, effective, fair and reasonable means of redress for complaints and to promote, monitor and enforce appropriate standards of conduct in the provision of legal services. These purposes serve an even more fundamental purpose: to help protect and promote public confidence in the legal system, the administration of justice and the rule of law.</w:t>
      </w:r>
    </w:p>
    <w:p w:rsidR="00801547" w:rsidRPr="003C10B3" w:rsidRDefault="00801547" w:rsidP="00893EF4">
      <w:pPr>
        <w:pStyle w:val="NormalWeb"/>
        <w:spacing w:line="360" w:lineRule="auto"/>
        <w:jc w:val="both"/>
        <w:rPr>
          <w:rFonts w:ascii="Calibri" w:hAnsi="Calibri" w:cs="Calibri"/>
          <w:sz w:val="22"/>
          <w:szCs w:val="22"/>
        </w:rPr>
      </w:pPr>
      <w:r w:rsidRPr="003C10B3">
        <w:rPr>
          <w:rFonts w:ascii="Calibri" w:hAnsi="Calibri" w:cs="Calibri"/>
          <w:sz w:val="22"/>
          <w:szCs w:val="22"/>
        </w:rPr>
        <w:t xml:space="preserve">The open data initiative was announced by the Premier at the 2012 Parliamentary Estimates Committee hearings on 9 October 2012.  The aim of the open data initiative is to release as much data as possible to encourage the private sector to develop innovative new services and solutions for the State.   </w:t>
      </w:r>
    </w:p>
    <w:p w:rsidR="00801547" w:rsidRPr="003C10B3" w:rsidRDefault="00801547" w:rsidP="00893EF4">
      <w:pPr>
        <w:pStyle w:val="NormalWeb"/>
        <w:spacing w:line="360" w:lineRule="auto"/>
        <w:jc w:val="both"/>
        <w:rPr>
          <w:rFonts w:ascii="Calibri" w:hAnsi="Calibri"/>
          <w:color w:val="000000"/>
          <w:sz w:val="22"/>
          <w:szCs w:val="22"/>
        </w:rPr>
      </w:pPr>
      <w:r w:rsidRPr="003C10B3">
        <w:rPr>
          <w:rFonts w:ascii="Calibri" w:hAnsi="Calibri"/>
          <w:color w:val="000000"/>
          <w:sz w:val="22"/>
          <w:szCs w:val="22"/>
        </w:rPr>
        <w:t>The Commission attaches considerable importance to being an appropriately open and transparent organisation. We already provide extensive information through our website</w:t>
      </w:r>
      <w:r w:rsidRPr="003C10B3">
        <w:rPr>
          <w:rFonts w:ascii="Calibri" w:hAnsi="Calibri" w:cs="AgfaRotisSerif"/>
          <w:sz w:val="22"/>
          <w:szCs w:val="22"/>
        </w:rPr>
        <w:t xml:space="preserve"> and have actively been publishing a range of data for many years</w:t>
      </w:r>
      <w:r w:rsidRPr="003C10B3">
        <w:rPr>
          <w:rFonts w:ascii="Calibri" w:hAnsi="Calibri"/>
          <w:color w:val="000000"/>
          <w:sz w:val="22"/>
          <w:szCs w:val="22"/>
        </w:rPr>
        <w:t>:</w:t>
      </w:r>
    </w:p>
    <w:p w:rsidR="00801547" w:rsidRPr="003C10B3" w:rsidRDefault="00801547" w:rsidP="00893EF4">
      <w:pPr>
        <w:pStyle w:val="NormalWeb"/>
        <w:numPr>
          <w:ilvl w:val="0"/>
          <w:numId w:val="2"/>
        </w:numPr>
        <w:spacing w:line="360" w:lineRule="auto"/>
        <w:jc w:val="both"/>
        <w:rPr>
          <w:rFonts w:ascii="Calibri" w:hAnsi="Calibri"/>
          <w:color w:val="000000"/>
          <w:sz w:val="22"/>
          <w:szCs w:val="22"/>
        </w:rPr>
      </w:pPr>
      <w:r w:rsidRPr="003C10B3">
        <w:rPr>
          <w:rFonts w:ascii="Calibri" w:hAnsi="Calibri"/>
          <w:color w:val="000000"/>
          <w:sz w:val="22"/>
          <w:szCs w:val="22"/>
        </w:rPr>
        <w:t>about our work</w:t>
      </w:r>
      <w:r w:rsidRPr="003C10B3">
        <w:rPr>
          <w:rStyle w:val="FootnoteReference"/>
          <w:rFonts w:ascii="Calibri" w:hAnsi="Calibri"/>
          <w:color w:val="000000"/>
          <w:sz w:val="22"/>
          <w:szCs w:val="22"/>
        </w:rPr>
        <w:footnoteReference w:id="1"/>
      </w:r>
      <w:r w:rsidRPr="003C10B3">
        <w:rPr>
          <w:rFonts w:ascii="Calibri" w:hAnsi="Calibri"/>
          <w:color w:val="000000"/>
          <w:sz w:val="22"/>
          <w:szCs w:val="22"/>
        </w:rPr>
        <w:t xml:space="preserve"> </w:t>
      </w:r>
    </w:p>
    <w:p w:rsidR="00801547" w:rsidRPr="003C10B3" w:rsidRDefault="00801547" w:rsidP="00893EF4">
      <w:pPr>
        <w:pStyle w:val="NormalWeb"/>
        <w:numPr>
          <w:ilvl w:val="0"/>
          <w:numId w:val="2"/>
        </w:numPr>
        <w:spacing w:line="360" w:lineRule="auto"/>
        <w:jc w:val="both"/>
        <w:rPr>
          <w:rFonts w:ascii="Calibri" w:hAnsi="Calibri"/>
          <w:color w:val="000000"/>
          <w:sz w:val="22"/>
          <w:szCs w:val="22"/>
        </w:rPr>
      </w:pPr>
      <w:r w:rsidRPr="003C10B3">
        <w:rPr>
          <w:rFonts w:ascii="Calibri" w:hAnsi="Calibri" w:cs="AgfaRotisSerif"/>
          <w:sz w:val="22"/>
          <w:szCs w:val="22"/>
        </w:rPr>
        <w:t>about complaint data through LPPortal initiative</w:t>
      </w:r>
      <w:r w:rsidRPr="003C10B3">
        <w:rPr>
          <w:rStyle w:val="FootnoteReference"/>
          <w:rFonts w:ascii="Calibri" w:hAnsi="Calibri"/>
          <w:sz w:val="22"/>
          <w:szCs w:val="22"/>
        </w:rPr>
        <w:footnoteReference w:id="2"/>
      </w:r>
      <w:r w:rsidRPr="003C10B3">
        <w:rPr>
          <w:rFonts w:ascii="Calibri" w:hAnsi="Calibri" w:cs="AgfaRotisSerif"/>
          <w:sz w:val="22"/>
          <w:szCs w:val="22"/>
        </w:rPr>
        <w:t xml:space="preserve"> </w:t>
      </w:r>
    </w:p>
    <w:p w:rsidR="00801547" w:rsidRPr="003C10B3" w:rsidRDefault="00801547" w:rsidP="00893EF4">
      <w:pPr>
        <w:pStyle w:val="NormalWeb"/>
        <w:numPr>
          <w:ilvl w:val="0"/>
          <w:numId w:val="2"/>
        </w:numPr>
        <w:spacing w:line="360" w:lineRule="auto"/>
        <w:jc w:val="both"/>
        <w:rPr>
          <w:rFonts w:ascii="Calibri" w:hAnsi="Calibri"/>
          <w:color w:val="000000"/>
          <w:sz w:val="22"/>
          <w:szCs w:val="22"/>
        </w:rPr>
      </w:pPr>
      <w:r w:rsidRPr="003C10B3">
        <w:rPr>
          <w:rFonts w:ascii="Calibri" w:hAnsi="Calibri" w:cs="AgfaRotisSerif"/>
          <w:sz w:val="22"/>
          <w:szCs w:val="22"/>
        </w:rPr>
        <w:t>about our performance in our monthly and annual reports</w:t>
      </w:r>
      <w:r w:rsidRPr="003C10B3">
        <w:rPr>
          <w:rStyle w:val="FootnoteReference"/>
          <w:rFonts w:ascii="Calibri" w:hAnsi="Calibri"/>
          <w:sz w:val="22"/>
          <w:szCs w:val="22"/>
        </w:rPr>
        <w:footnoteReference w:id="3"/>
      </w:r>
      <w:r w:rsidRPr="003C10B3">
        <w:rPr>
          <w:rFonts w:ascii="Calibri" w:hAnsi="Calibri" w:cs="AgfaRotisSerif"/>
          <w:sz w:val="22"/>
          <w:szCs w:val="22"/>
        </w:rPr>
        <w:t>.</w:t>
      </w:r>
    </w:p>
    <w:p w:rsidR="00801547" w:rsidRPr="003C10B3" w:rsidRDefault="00801547" w:rsidP="00893EF4">
      <w:pPr>
        <w:spacing w:before="100" w:beforeAutospacing="1" w:after="180" w:line="360" w:lineRule="auto"/>
        <w:jc w:val="both"/>
        <w:rPr>
          <w:b/>
          <w:color w:val="000000"/>
          <w:lang w:eastAsia="en-AU"/>
        </w:rPr>
      </w:pPr>
      <w:r w:rsidRPr="003C10B3">
        <w:rPr>
          <w:b/>
          <w:color w:val="000000"/>
          <w:lang w:eastAsia="en-AU"/>
        </w:rPr>
        <w:t>Purpose</w:t>
      </w:r>
    </w:p>
    <w:p w:rsidR="00801547" w:rsidRPr="003C10B3" w:rsidRDefault="00801547" w:rsidP="00493A7E">
      <w:pPr>
        <w:autoSpaceDE w:val="0"/>
        <w:autoSpaceDN w:val="0"/>
        <w:adjustRightInd w:val="0"/>
        <w:spacing w:after="0" w:line="360" w:lineRule="auto"/>
        <w:jc w:val="both"/>
        <w:rPr>
          <w:rFonts w:cs="AgfaRotisSerif"/>
          <w:color w:val="000000"/>
          <w:lang w:eastAsia="en-AU"/>
        </w:rPr>
      </w:pPr>
      <w:r w:rsidRPr="003C10B3">
        <w:rPr>
          <w:rFonts w:cs="AgfaRotisSerif"/>
          <w:color w:val="000000"/>
          <w:lang w:eastAsia="en-AU"/>
        </w:rPr>
        <w:t xml:space="preserve">The purpose of the Commission’s Open Data Strategy 2013–2016 is to outline the plan of action for the Commission to achieve the Government’s commitment to open data. The policy principles that underpin the strategy are that data published on the open data website, available from </w:t>
      </w:r>
      <w:r w:rsidRPr="003C10B3">
        <w:rPr>
          <w:rFonts w:cs="AgfaRotisSerif"/>
          <w:color w:val="00006C"/>
          <w:lang w:eastAsia="en-AU"/>
        </w:rPr>
        <w:t xml:space="preserve">www.data.qld.gov.au </w:t>
      </w:r>
      <w:r w:rsidRPr="003C10B3">
        <w:rPr>
          <w:rFonts w:cs="AgfaRotisSerif"/>
          <w:color w:val="000000"/>
          <w:lang w:eastAsia="en-AU"/>
        </w:rPr>
        <w:t>will be:</w:t>
      </w:r>
    </w:p>
    <w:p w:rsidR="00801547" w:rsidRPr="003C10B3" w:rsidRDefault="00801547" w:rsidP="00E21A13">
      <w:pPr>
        <w:autoSpaceDE w:val="0"/>
        <w:autoSpaceDN w:val="0"/>
        <w:adjustRightInd w:val="0"/>
        <w:spacing w:after="0" w:line="360" w:lineRule="auto"/>
        <w:jc w:val="both"/>
        <w:rPr>
          <w:rFonts w:cs="AgfaRotisSerif"/>
          <w:color w:val="000000"/>
          <w:lang w:eastAsia="en-AU"/>
        </w:rPr>
      </w:pPr>
    </w:p>
    <w:p w:rsidR="00801547" w:rsidRPr="003C10B3" w:rsidRDefault="00801547" w:rsidP="00E21A13">
      <w:pPr>
        <w:autoSpaceDE w:val="0"/>
        <w:autoSpaceDN w:val="0"/>
        <w:adjustRightInd w:val="0"/>
        <w:spacing w:after="0" w:line="360" w:lineRule="auto"/>
        <w:jc w:val="both"/>
        <w:rPr>
          <w:rFonts w:cs="AgfaRotisSerif"/>
          <w:color w:val="000000"/>
          <w:lang w:eastAsia="en-AU"/>
        </w:rPr>
      </w:pPr>
      <w:r w:rsidRPr="003C10B3">
        <w:rPr>
          <w:rFonts w:cs="AgfaRotisSerif"/>
          <w:color w:val="000000"/>
          <w:lang w:eastAsia="en-AU"/>
        </w:rPr>
        <w:t>• available for open use</w:t>
      </w:r>
    </w:p>
    <w:p w:rsidR="00801547" w:rsidRPr="003C10B3" w:rsidRDefault="00801547" w:rsidP="00E21A13">
      <w:pPr>
        <w:autoSpaceDE w:val="0"/>
        <w:autoSpaceDN w:val="0"/>
        <w:adjustRightInd w:val="0"/>
        <w:spacing w:after="0" w:line="360" w:lineRule="auto"/>
        <w:jc w:val="both"/>
        <w:rPr>
          <w:rFonts w:cs="AgfaRotisSerif"/>
          <w:color w:val="000000"/>
          <w:lang w:eastAsia="en-AU"/>
        </w:rPr>
      </w:pPr>
    </w:p>
    <w:p w:rsidR="00801547" w:rsidRPr="003C10B3" w:rsidRDefault="00801547" w:rsidP="00E21A13">
      <w:pPr>
        <w:autoSpaceDE w:val="0"/>
        <w:autoSpaceDN w:val="0"/>
        <w:adjustRightInd w:val="0"/>
        <w:spacing w:after="0" w:line="360" w:lineRule="auto"/>
        <w:jc w:val="both"/>
        <w:rPr>
          <w:rFonts w:cs="AgfaRotisSerif"/>
          <w:color w:val="000000"/>
          <w:lang w:eastAsia="en-AU"/>
        </w:rPr>
      </w:pPr>
      <w:r w:rsidRPr="003C10B3">
        <w:rPr>
          <w:rFonts w:cs="AgfaRotisSerif"/>
          <w:color w:val="000000"/>
          <w:lang w:eastAsia="en-AU"/>
        </w:rPr>
        <w:t>• available for free</w:t>
      </w:r>
    </w:p>
    <w:p w:rsidR="00801547" w:rsidRPr="003C10B3" w:rsidRDefault="00801547" w:rsidP="00E21A13">
      <w:pPr>
        <w:autoSpaceDE w:val="0"/>
        <w:autoSpaceDN w:val="0"/>
        <w:adjustRightInd w:val="0"/>
        <w:spacing w:after="0" w:line="360" w:lineRule="auto"/>
        <w:jc w:val="both"/>
        <w:rPr>
          <w:rFonts w:cs="AgfaRotisSerif"/>
          <w:color w:val="000000"/>
          <w:lang w:eastAsia="en-AU"/>
        </w:rPr>
      </w:pPr>
    </w:p>
    <w:p w:rsidR="00801547" w:rsidRPr="003C10B3" w:rsidRDefault="00801547" w:rsidP="00E21A13">
      <w:pPr>
        <w:autoSpaceDE w:val="0"/>
        <w:autoSpaceDN w:val="0"/>
        <w:adjustRightInd w:val="0"/>
        <w:spacing w:after="0" w:line="360" w:lineRule="auto"/>
        <w:jc w:val="both"/>
        <w:rPr>
          <w:rFonts w:cs="AgfaRotisSerif"/>
          <w:color w:val="000000"/>
          <w:lang w:eastAsia="en-AU"/>
        </w:rPr>
      </w:pPr>
      <w:r w:rsidRPr="003C10B3">
        <w:rPr>
          <w:rFonts w:cs="AgfaRotisSerif"/>
          <w:color w:val="000000"/>
          <w:lang w:eastAsia="en-AU"/>
        </w:rPr>
        <w:t>• available in accessible formats and easy to find</w:t>
      </w:r>
    </w:p>
    <w:p w:rsidR="00801547" w:rsidRPr="003C10B3" w:rsidRDefault="00801547" w:rsidP="00E21A13">
      <w:pPr>
        <w:autoSpaceDE w:val="0"/>
        <w:autoSpaceDN w:val="0"/>
        <w:adjustRightInd w:val="0"/>
        <w:spacing w:after="0" w:line="360" w:lineRule="auto"/>
        <w:jc w:val="both"/>
        <w:rPr>
          <w:rFonts w:cs="AgfaRotisSerif"/>
          <w:color w:val="000000"/>
          <w:lang w:eastAsia="en-AU"/>
        </w:rPr>
      </w:pPr>
    </w:p>
    <w:p w:rsidR="00801547" w:rsidRPr="003C10B3" w:rsidRDefault="00801547" w:rsidP="00E21A13">
      <w:pPr>
        <w:spacing w:line="360" w:lineRule="auto"/>
        <w:contextualSpacing/>
        <w:jc w:val="both"/>
        <w:rPr>
          <w:rFonts w:cs="Calibri"/>
        </w:rPr>
      </w:pPr>
      <w:r w:rsidRPr="003C10B3">
        <w:rPr>
          <w:rFonts w:cs="AgfaRotisSerif"/>
          <w:color w:val="000000"/>
          <w:lang w:eastAsia="en-AU"/>
        </w:rPr>
        <w:t>• released within set standards and accountabilities.</w:t>
      </w:r>
    </w:p>
    <w:p w:rsidR="00801547" w:rsidRPr="003C10B3" w:rsidRDefault="00801547" w:rsidP="00E21A13">
      <w:pPr>
        <w:pStyle w:val="Default"/>
        <w:spacing w:line="360" w:lineRule="auto"/>
        <w:jc w:val="both"/>
        <w:rPr>
          <w:sz w:val="22"/>
          <w:szCs w:val="22"/>
        </w:rPr>
      </w:pPr>
    </w:p>
    <w:p w:rsidR="00801547" w:rsidRPr="003C10B3" w:rsidRDefault="00801547" w:rsidP="007A03A0">
      <w:pPr>
        <w:autoSpaceDE w:val="0"/>
        <w:autoSpaceDN w:val="0"/>
        <w:adjustRightInd w:val="0"/>
        <w:spacing w:after="0" w:line="360" w:lineRule="auto"/>
        <w:jc w:val="both"/>
        <w:rPr>
          <w:rFonts w:cs="Calibri"/>
        </w:rPr>
      </w:pPr>
      <w:r w:rsidRPr="003C10B3">
        <w:rPr>
          <w:rFonts w:cs="AgfaRotisSerif"/>
          <w:lang w:eastAsia="en-AU"/>
        </w:rPr>
        <w:t xml:space="preserve">The focus of this strategy is the release of data collected and held on the Commission’s database – known as LPCentral - in the course of performing our statutory functions under the Act. </w:t>
      </w:r>
    </w:p>
    <w:p w:rsidR="00801547" w:rsidRPr="003C10B3" w:rsidRDefault="00801547" w:rsidP="00893EF4">
      <w:pPr>
        <w:spacing w:before="100" w:beforeAutospacing="1" w:after="180" w:line="360" w:lineRule="auto"/>
        <w:jc w:val="both"/>
        <w:rPr>
          <w:b/>
          <w:color w:val="000000"/>
          <w:lang w:eastAsia="en-AU"/>
        </w:rPr>
      </w:pPr>
      <w:r w:rsidRPr="003C10B3">
        <w:rPr>
          <w:b/>
          <w:color w:val="000000"/>
          <w:lang w:eastAsia="en-AU"/>
        </w:rPr>
        <w:t>Our Data</w:t>
      </w:r>
    </w:p>
    <w:p w:rsidR="00801547" w:rsidRPr="003C10B3" w:rsidRDefault="00801547" w:rsidP="007A03A0">
      <w:pPr>
        <w:autoSpaceDE w:val="0"/>
        <w:autoSpaceDN w:val="0"/>
        <w:adjustRightInd w:val="0"/>
        <w:spacing w:after="0" w:line="360" w:lineRule="auto"/>
        <w:jc w:val="both"/>
        <w:rPr>
          <w:rFonts w:cs="AgfaRotisSerif"/>
          <w:lang w:eastAsia="en-AU"/>
        </w:rPr>
      </w:pPr>
      <w:r w:rsidRPr="003C10B3">
        <w:rPr>
          <w:rFonts w:cs="AgfaRotisSerif"/>
          <w:lang w:eastAsia="en-AU"/>
        </w:rPr>
        <w:t xml:space="preserve">The Commission collects a range of complaint data including, but not limited to, complaints about lawyers and law practices and includes data regarding complaints by areas of law, </w:t>
      </w:r>
      <w:r>
        <w:rPr>
          <w:rFonts w:cs="AgfaRotisSerif"/>
          <w:lang w:eastAsia="en-AU"/>
        </w:rPr>
        <w:t xml:space="preserve">respondent type, </w:t>
      </w:r>
      <w:r w:rsidRPr="003C10B3">
        <w:rPr>
          <w:rFonts w:cs="AgfaRotisSerif"/>
          <w:lang w:eastAsia="en-AU"/>
        </w:rPr>
        <w:t>nature of complaint as well as other information such as geographic</w:t>
      </w:r>
      <w:r>
        <w:rPr>
          <w:rFonts w:cs="AgfaRotisSerif"/>
          <w:lang w:eastAsia="en-AU"/>
        </w:rPr>
        <w:t xml:space="preserve"> complaint data</w:t>
      </w:r>
      <w:r w:rsidRPr="003C10B3">
        <w:rPr>
          <w:rFonts w:cs="AgfaRotisSerif"/>
          <w:lang w:eastAsia="en-AU"/>
        </w:rPr>
        <w:t>, gender and age of respondent.</w:t>
      </w:r>
    </w:p>
    <w:p w:rsidR="00801547" w:rsidRPr="003C10B3" w:rsidRDefault="00801547" w:rsidP="007A03A0">
      <w:pPr>
        <w:autoSpaceDE w:val="0"/>
        <w:autoSpaceDN w:val="0"/>
        <w:adjustRightInd w:val="0"/>
        <w:spacing w:after="0" w:line="360" w:lineRule="auto"/>
        <w:jc w:val="both"/>
        <w:rPr>
          <w:rFonts w:cs="AgfaRotisSerif"/>
          <w:lang w:eastAsia="en-AU"/>
        </w:rPr>
      </w:pPr>
    </w:p>
    <w:p w:rsidR="00801547" w:rsidRPr="003C10B3" w:rsidRDefault="00801547" w:rsidP="007A03A0">
      <w:pPr>
        <w:spacing w:line="360" w:lineRule="auto"/>
        <w:contextualSpacing/>
        <w:jc w:val="both"/>
        <w:rPr>
          <w:rFonts w:cs="Calibri"/>
        </w:rPr>
      </w:pPr>
      <w:r w:rsidRPr="003C10B3">
        <w:rPr>
          <w:rFonts w:cs="Calibri"/>
        </w:rPr>
        <w:t>In short,</w:t>
      </w:r>
      <w:r>
        <w:rPr>
          <w:rFonts w:cs="Calibri"/>
        </w:rPr>
        <w:t xml:space="preserve"> </w:t>
      </w:r>
      <w:r w:rsidRPr="003C10B3">
        <w:rPr>
          <w:rFonts w:cs="Calibri"/>
        </w:rPr>
        <w:t xml:space="preserve"> this is data currently provided in our monthly and annual reports.</w:t>
      </w:r>
    </w:p>
    <w:p w:rsidR="00801547" w:rsidRPr="003C10B3" w:rsidRDefault="00801547" w:rsidP="00F663FC">
      <w:pPr>
        <w:spacing w:line="360" w:lineRule="auto"/>
        <w:contextualSpacing/>
        <w:jc w:val="both"/>
        <w:rPr>
          <w:rFonts w:cs="Calibri"/>
          <w:b/>
        </w:rPr>
      </w:pPr>
    </w:p>
    <w:p w:rsidR="00801547" w:rsidRPr="003C10B3" w:rsidRDefault="00801547" w:rsidP="00893EF4">
      <w:pPr>
        <w:tabs>
          <w:tab w:val="left" w:pos="5100"/>
        </w:tabs>
        <w:spacing w:line="360" w:lineRule="auto"/>
        <w:contextualSpacing/>
        <w:jc w:val="both"/>
        <w:rPr>
          <w:rFonts w:cs="Calibri"/>
          <w:b/>
        </w:rPr>
      </w:pPr>
      <w:r w:rsidRPr="003C10B3">
        <w:rPr>
          <w:rFonts w:cs="Calibri"/>
          <w:b/>
        </w:rPr>
        <w:t>Our strategy</w:t>
      </w:r>
      <w:r w:rsidRPr="003C10B3">
        <w:rPr>
          <w:rFonts w:cs="Calibri"/>
          <w:b/>
        </w:rPr>
        <w:tab/>
      </w:r>
    </w:p>
    <w:p w:rsidR="00801547" w:rsidRPr="003C10B3" w:rsidRDefault="00801547" w:rsidP="001E51A9">
      <w:pPr>
        <w:spacing w:before="100" w:beforeAutospacing="1" w:after="180" w:line="360" w:lineRule="auto"/>
        <w:jc w:val="both"/>
        <w:rPr>
          <w:rFonts w:cs="Calibri"/>
        </w:rPr>
      </w:pPr>
      <w:r w:rsidRPr="003C10B3">
        <w:rPr>
          <w:rFonts w:cs="Calibri"/>
        </w:rPr>
        <w:t>The objective of the Commission in regard to Open Data is to release appropriate data in a format that will encourage research and understanding of trends in complaints with respect to the legal profession.</w:t>
      </w:r>
    </w:p>
    <w:p w:rsidR="00801547" w:rsidRPr="003C10B3" w:rsidRDefault="00801547" w:rsidP="007A03A0">
      <w:pPr>
        <w:spacing w:line="360" w:lineRule="auto"/>
        <w:contextualSpacing/>
        <w:jc w:val="both"/>
        <w:rPr>
          <w:rFonts w:cs="Calibri"/>
        </w:rPr>
      </w:pPr>
      <w:r w:rsidRPr="003C10B3">
        <w:rPr>
          <w:rFonts w:cs="Calibri"/>
        </w:rPr>
        <w:t>Importantly, given the content of the data held by the Commission, the Commission is committed to managing data such that an individual’s personal information is stored securely and protected from unauthorised access.  To this end, data will be managed in accordance with section 705 of the Act and relevant State legislation.</w:t>
      </w:r>
    </w:p>
    <w:p w:rsidR="00801547" w:rsidRPr="003C10B3" w:rsidRDefault="00801547" w:rsidP="00F663FC">
      <w:pPr>
        <w:pStyle w:val="Default"/>
        <w:spacing w:line="360" w:lineRule="auto"/>
        <w:jc w:val="both"/>
        <w:rPr>
          <w:sz w:val="22"/>
          <w:szCs w:val="22"/>
        </w:rPr>
      </w:pPr>
      <w:r w:rsidRPr="003C10B3">
        <w:rPr>
          <w:sz w:val="22"/>
          <w:szCs w:val="22"/>
        </w:rPr>
        <w:t xml:space="preserve">Our strategy contains five main pillars: </w:t>
      </w:r>
    </w:p>
    <w:p w:rsidR="00801547" w:rsidRPr="003C10B3" w:rsidRDefault="00801547" w:rsidP="00F663FC">
      <w:pPr>
        <w:spacing w:line="360" w:lineRule="auto"/>
        <w:contextualSpacing/>
        <w:jc w:val="both"/>
        <w:rPr>
          <w:b/>
          <w:bCs/>
        </w:rPr>
      </w:pPr>
    </w:p>
    <w:p w:rsidR="00801547" w:rsidRPr="003C10B3" w:rsidRDefault="00801547" w:rsidP="00F663FC">
      <w:pPr>
        <w:spacing w:line="360" w:lineRule="auto"/>
        <w:contextualSpacing/>
        <w:jc w:val="both"/>
        <w:rPr>
          <w:rFonts w:cs="Calibri"/>
        </w:rPr>
      </w:pPr>
      <w:r w:rsidRPr="003C10B3">
        <w:rPr>
          <w:b/>
          <w:bCs/>
        </w:rPr>
        <w:t xml:space="preserve">1. </w:t>
      </w:r>
      <w:r w:rsidRPr="003C10B3">
        <w:rPr>
          <w:b/>
          <w:bCs/>
        </w:rPr>
        <w:tab/>
        <w:t>Governance:</w:t>
      </w:r>
      <w:r w:rsidRPr="003C10B3">
        <w:rPr>
          <w:rFonts w:cs="Calibri"/>
        </w:rPr>
        <w:t xml:space="preserve">  In the short term, objectives are to create appropriate governance structures to enable the ongoing management and release of data.  This will involve creating</w:t>
      </w:r>
      <w:r w:rsidRPr="003C10B3">
        <w:rPr>
          <w:rFonts w:cs="AgfaRotisSerif"/>
          <w:lang w:eastAsia="en-AU"/>
        </w:rPr>
        <w:t xml:space="preserve"> approved processes established for classifying, authorising and releasing data sets. Clear and concisely documented governance facilitates an understanding of accountability, decision-making and participation. It enables processes to be better defined, thereby improving effectiveness, efficiency and communication. Accordingly, the Manager-Compliance will be responsible for developing defined and documented accountabilities for governance of open data release and management processes.</w:t>
      </w:r>
    </w:p>
    <w:p w:rsidR="00801547" w:rsidRPr="003C10B3" w:rsidRDefault="00801547" w:rsidP="00F663FC">
      <w:pPr>
        <w:spacing w:line="360" w:lineRule="auto"/>
        <w:contextualSpacing/>
        <w:jc w:val="both"/>
        <w:rPr>
          <w:b/>
          <w:bCs/>
        </w:rPr>
      </w:pPr>
    </w:p>
    <w:p w:rsidR="00801547" w:rsidRPr="003C10B3" w:rsidRDefault="00801547" w:rsidP="005622BD">
      <w:pPr>
        <w:spacing w:after="0" w:line="360" w:lineRule="auto"/>
        <w:contextualSpacing/>
        <w:jc w:val="both"/>
        <w:rPr>
          <w:rFonts w:cs="Calibri"/>
          <w:u w:val="single"/>
        </w:rPr>
      </w:pPr>
      <w:r w:rsidRPr="003C10B3">
        <w:rPr>
          <w:b/>
          <w:bCs/>
        </w:rPr>
        <w:t xml:space="preserve">2. </w:t>
      </w:r>
      <w:r w:rsidRPr="003C10B3">
        <w:rPr>
          <w:b/>
          <w:bCs/>
        </w:rPr>
        <w:tab/>
        <w:t xml:space="preserve">Identification: </w:t>
      </w:r>
      <w:r w:rsidRPr="003C10B3">
        <w:rPr>
          <w:rFonts w:cs="Calibri"/>
        </w:rPr>
        <w:t>In the short term</w:t>
      </w:r>
      <w:r w:rsidRPr="003C10B3">
        <w:t>, we will identify appropriate data by surveying LPCentral for underlying data sources and engaging with stakeholders about their needs and interests.</w:t>
      </w:r>
      <w:r w:rsidRPr="003C10B3">
        <w:rPr>
          <w:rFonts w:cs="Calibri"/>
        </w:rPr>
        <w:t xml:space="preserve"> </w:t>
      </w:r>
    </w:p>
    <w:p w:rsidR="00801547" w:rsidRPr="003C10B3" w:rsidRDefault="00801547" w:rsidP="00F663FC">
      <w:pPr>
        <w:spacing w:line="360" w:lineRule="auto"/>
        <w:contextualSpacing/>
        <w:jc w:val="both"/>
        <w:rPr>
          <w:rFonts w:cs="Calibri"/>
          <w:b/>
        </w:rPr>
      </w:pPr>
    </w:p>
    <w:p w:rsidR="00801547" w:rsidRPr="003C10B3" w:rsidRDefault="00801547" w:rsidP="00F663FC">
      <w:pPr>
        <w:pStyle w:val="Default"/>
        <w:spacing w:line="360" w:lineRule="auto"/>
        <w:jc w:val="both"/>
        <w:rPr>
          <w:sz w:val="22"/>
          <w:szCs w:val="22"/>
        </w:rPr>
      </w:pPr>
      <w:r w:rsidRPr="003C10B3">
        <w:rPr>
          <w:b/>
          <w:bCs/>
          <w:sz w:val="22"/>
          <w:szCs w:val="22"/>
        </w:rPr>
        <w:t xml:space="preserve">3. </w:t>
      </w:r>
      <w:r w:rsidRPr="003C10B3">
        <w:rPr>
          <w:b/>
          <w:bCs/>
          <w:sz w:val="22"/>
          <w:szCs w:val="22"/>
        </w:rPr>
        <w:tab/>
        <w:t xml:space="preserve">Assessment:  </w:t>
      </w:r>
      <w:r w:rsidRPr="003C10B3">
        <w:rPr>
          <w:bCs/>
          <w:color w:val="auto"/>
          <w:sz w:val="22"/>
          <w:szCs w:val="22"/>
        </w:rPr>
        <w:t>In the medium term w</w:t>
      </w:r>
      <w:r w:rsidRPr="003C10B3">
        <w:rPr>
          <w:color w:val="auto"/>
          <w:sz w:val="22"/>
          <w:szCs w:val="22"/>
        </w:rPr>
        <w:t>e</w:t>
      </w:r>
      <w:r w:rsidRPr="003C10B3">
        <w:rPr>
          <w:sz w:val="22"/>
          <w:szCs w:val="22"/>
        </w:rPr>
        <w:t xml:space="preserve"> will assess the suitability of data for release in accordance with the Act, other relevant legislation, administrative instruments, policies and guidelines. </w:t>
      </w:r>
    </w:p>
    <w:p w:rsidR="00801547" w:rsidRPr="003C10B3" w:rsidRDefault="00801547" w:rsidP="00F663FC">
      <w:pPr>
        <w:pStyle w:val="Default"/>
        <w:spacing w:line="360" w:lineRule="auto"/>
        <w:jc w:val="both"/>
        <w:rPr>
          <w:sz w:val="22"/>
          <w:szCs w:val="22"/>
        </w:rPr>
      </w:pPr>
    </w:p>
    <w:p w:rsidR="00801547" w:rsidRPr="003C10B3" w:rsidRDefault="00801547" w:rsidP="00F663FC">
      <w:pPr>
        <w:pStyle w:val="Default"/>
        <w:spacing w:line="360" w:lineRule="auto"/>
        <w:jc w:val="both"/>
        <w:rPr>
          <w:sz w:val="22"/>
          <w:szCs w:val="22"/>
        </w:rPr>
      </w:pPr>
      <w:r w:rsidRPr="003C10B3">
        <w:rPr>
          <w:sz w:val="22"/>
          <w:szCs w:val="22"/>
        </w:rPr>
        <w:t xml:space="preserve">Not all data held by the Commission is suitable for release. The process of identifying and assessing data for publication acknowledges the need for it to be accessible to external audiences. Data subject to valid privacy, security or privilege limitations may be restricted or released in a modified form. </w:t>
      </w:r>
    </w:p>
    <w:p w:rsidR="00801547" w:rsidRPr="003C10B3" w:rsidRDefault="00801547" w:rsidP="00F663FC">
      <w:pPr>
        <w:pStyle w:val="Default"/>
        <w:spacing w:line="360" w:lineRule="auto"/>
        <w:jc w:val="both"/>
        <w:rPr>
          <w:b/>
          <w:bCs/>
          <w:sz w:val="22"/>
          <w:szCs w:val="22"/>
        </w:rPr>
      </w:pPr>
    </w:p>
    <w:p w:rsidR="00801547" w:rsidRPr="003C10B3" w:rsidRDefault="00801547" w:rsidP="009A684A">
      <w:pPr>
        <w:pStyle w:val="Default"/>
        <w:spacing w:line="360" w:lineRule="auto"/>
        <w:jc w:val="both"/>
        <w:rPr>
          <w:sz w:val="22"/>
          <w:szCs w:val="22"/>
        </w:rPr>
      </w:pPr>
      <w:r w:rsidRPr="003C10B3">
        <w:rPr>
          <w:b/>
          <w:bCs/>
          <w:sz w:val="22"/>
          <w:szCs w:val="22"/>
        </w:rPr>
        <w:t xml:space="preserve">4. </w:t>
      </w:r>
      <w:r w:rsidRPr="003C10B3">
        <w:rPr>
          <w:b/>
          <w:bCs/>
          <w:sz w:val="22"/>
          <w:szCs w:val="22"/>
        </w:rPr>
        <w:tab/>
        <w:t xml:space="preserve">Publication: </w:t>
      </w:r>
      <w:r w:rsidRPr="003C10B3">
        <w:rPr>
          <w:bCs/>
          <w:sz w:val="22"/>
          <w:szCs w:val="22"/>
        </w:rPr>
        <w:t>In the medium term, w</w:t>
      </w:r>
      <w:r w:rsidRPr="003C10B3">
        <w:rPr>
          <w:sz w:val="22"/>
          <w:szCs w:val="22"/>
        </w:rPr>
        <w:t>e will publish data (Appendix 1) in line with set standards. The Commission will publish de-identifed complaint data. This will include publishing any appropriate data which is currently available from the Commission’s monthly and annual reports.</w:t>
      </w:r>
    </w:p>
    <w:p w:rsidR="00801547" w:rsidRPr="003C10B3" w:rsidRDefault="00801547" w:rsidP="000B72E4">
      <w:pPr>
        <w:spacing w:line="360" w:lineRule="auto"/>
        <w:contextualSpacing/>
        <w:jc w:val="both"/>
        <w:rPr>
          <w:rFonts w:cs="Calibri"/>
          <w:b/>
        </w:rPr>
      </w:pPr>
    </w:p>
    <w:p w:rsidR="00801547" w:rsidRPr="003C10B3" w:rsidRDefault="00801547" w:rsidP="00BC7266">
      <w:pPr>
        <w:spacing w:line="360" w:lineRule="auto"/>
        <w:contextualSpacing/>
        <w:jc w:val="both"/>
        <w:rPr>
          <w:rFonts w:cs="Calibri"/>
          <w:b/>
        </w:rPr>
      </w:pPr>
      <w:r w:rsidRPr="003C10B3">
        <w:rPr>
          <w:rFonts w:cs="Calibri"/>
          <w:b/>
        </w:rPr>
        <w:t xml:space="preserve">5. </w:t>
      </w:r>
      <w:r w:rsidRPr="003C10B3">
        <w:rPr>
          <w:rFonts w:cs="Calibri"/>
          <w:b/>
        </w:rPr>
        <w:tab/>
        <w:t xml:space="preserve">Future Program: </w:t>
      </w:r>
      <w:r w:rsidRPr="003C10B3">
        <w:rPr>
          <w:rFonts w:cs="Calibri"/>
        </w:rPr>
        <w:t xml:space="preserve">The Commission is committed to continued improvement in both the processes to identify and manage future data and the improvement of data quality.  The Commission’s procedures will assist in an ongoing improvement in data quality. Stakeholder feedback is important.  </w:t>
      </w:r>
      <w:r w:rsidRPr="003C10B3">
        <w:t>The priority of data release will be driven by available resources with the expectation that data will be made available under an open license arrangement.</w:t>
      </w:r>
      <w:r w:rsidRPr="003C10B3">
        <w:rPr>
          <w:b/>
        </w:rPr>
        <w:br w:type="page"/>
      </w:r>
      <w:r w:rsidRPr="003C10B3">
        <w:rPr>
          <w:rFonts w:cs="Calibri"/>
          <w:b/>
        </w:rPr>
        <w:t>Appendix</w:t>
      </w:r>
      <w:r>
        <w:rPr>
          <w:rFonts w:cs="Calibri"/>
          <w:b/>
        </w:rPr>
        <w:t xml:space="preserve"> 1</w:t>
      </w:r>
    </w:p>
    <w:p w:rsidR="00801547" w:rsidRPr="003C10B3" w:rsidRDefault="00801547" w:rsidP="00696D2F">
      <w:pPr>
        <w:contextualSpacing/>
        <w:jc w:val="both"/>
        <w:rPr>
          <w:rFonts w:cs="Calibri"/>
          <w:b/>
        </w:rPr>
      </w:pPr>
    </w:p>
    <w:p w:rsidR="00801547" w:rsidRPr="003C10B3" w:rsidRDefault="00801547" w:rsidP="00696D2F">
      <w:pPr>
        <w:contextualSpacing/>
        <w:jc w:val="both"/>
        <w:rPr>
          <w:rFonts w:cs="Calibri"/>
          <w:b/>
        </w:rPr>
      </w:pPr>
      <w:r w:rsidRPr="003C10B3">
        <w:rPr>
          <w:rFonts w:cs="Calibri"/>
          <w:b/>
        </w:rPr>
        <w:t>Datasets to be released and release timeline</w:t>
      </w:r>
    </w:p>
    <w:p w:rsidR="00801547" w:rsidRPr="003C10B3" w:rsidRDefault="00801547" w:rsidP="00696D2F">
      <w:pPr>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1704"/>
        <w:gridCol w:w="1704"/>
        <w:gridCol w:w="1705"/>
        <w:gridCol w:w="1705"/>
      </w:tblGrid>
      <w:tr w:rsidR="00801547" w:rsidRPr="003C10B3" w:rsidTr="00BE2105">
        <w:tc>
          <w:tcPr>
            <w:tcW w:w="1704" w:type="dxa"/>
          </w:tcPr>
          <w:p w:rsidR="00801547" w:rsidRPr="003C10B3" w:rsidRDefault="00801547" w:rsidP="00696D2F">
            <w:pPr>
              <w:jc w:val="both"/>
              <w:rPr>
                <w:rFonts w:cs="Calibri"/>
              </w:rPr>
            </w:pPr>
            <w:r w:rsidRPr="003C10B3">
              <w:rPr>
                <w:rFonts w:cs="Calibri"/>
              </w:rPr>
              <w:t>Dataset name</w:t>
            </w:r>
          </w:p>
        </w:tc>
        <w:tc>
          <w:tcPr>
            <w:tcW w:w="1704" w:type="dxa"/>
          </w:tcPr>
          <w:p w:rsidR="00801547" w:rsidRPr="003C10B3" w:rsidRDefault="00801547" w:rsidP="00696D2F">
            <w:pPr>
              <w:jc w:val="both"/>
              <w:rPr>
                <w:rFonts w:cs="Calibri"/>
              </w:rPr>
            </w:pPr>
            <w:r w:rsidRPr="003C10B3">
              <w:rPr>
                <w:rFonts w:cs="Calibri"/>
              </w:rPr>
              <w:t>Description of data</w:t>
            </w:r>
          </w:p>
        </w:tc>
        <w:tc>
          <w:tcPr>
            <w:tcW w:w="1704" w:type="dxa"/>
          </w:tcPr>
          <w:p w:rsidR="00801547" w:rsidRPr="003C10B3" w:rsidRDefault="00801547" w:rsidP="00696D2F">
            <w:pPr>
              <w:jc w:val="both"/>
              <w:rPr>
                <w:rFonts w:cs="Calibri"/>
              </w:rPr>
            </w:pPr>
            <w:r w:rsidRPr="003C10B3">
              <w:rPr>
                <w:rFonts w:cs="Calibri"/>
              </w:rPr>
              <w:t>Target date of publishing</w:t>
            </w:r>
          </w:p>
        </w:tc>
        <w:tc>
          <w:tcPr>
            <w:tcW w:w="1705" w:type="dxa"/>
          </w:tcPr>
          <w:p w:rsidR="00801547" w:rsidRPr="003C10B3" w:rsidRDefault="00801547" w:rsidP="00696D2F">
            <w:pPr>
              <w:jc w:val="both"/>
              <w:rPr>
                <w:rFonts w:cs="Calibri"/>
              </w:rPr>
            </w:pPr>
            <w:r w:rsidRPr="003C10B3">
              <w:rPr>
                <w:rFonts w:cs="Calibri"/>
              </w:rPr>
              <w:t>Frequency of update</w:t>
            </w:r>
          </w:p>
        </w:tc>
        <w:tc>
          <w:tcPr>
            <w:tcW w:w="1705" w:type="dxa"/>
          </w:tcPr>
          <w:p w:rsidR="00801547" w:rsidRPr="003C10B3" w:rsidRDefault="00801547" w:rsidP="00696D2F">
            <w:pPr>
              <w:jc w:val="both"/>
              <w:rPr>
                <w:rFonts w:cs="Calibri"/>
              </w:rPr>
            </w:pPr>
            <w:r w:rsidRPr="003C10B3">
              <w:rPr>
                <w:rFonts w:cs="Calibri"/>
              </w:rPr>
              <w:t>Open licence (Yes/No)</w:t>
            </w:r>
          </w:p>
        </w:tc>
      </w:tr>
      <w:tr w:rsidR="00801547" w:rsidRPr="003C10B3" w:rsidTr="00BE2105">
        <w:tc>
          <w:tcPr>
            <w:tcW w:w="1704" w:type="dxa"/>
          </w:tcPr>
          <w:p w:rsidR="00801547" w:rsidRPr="003C10B3" w:rsidRDefault="00801547" w:rsidP="00696D2F">
            <w:pPr>
              <w:jc w:val="both"/>
              <w:rPr>
                <w:rFonts w:cs="Calibri"/>
              </w:rPr>
            </w:pPr>
            <w:r w:rsidRPr="003C10B3">
              <w:rPr>
                <w:rFonts w:cs="Calibri"/>
              </w:rPr>
              <w:t>Complaint</w:t>
            </w:r>
            <w:r>
              <w:rPr>
                <w:rFonts w:cs="Calibri"/>
              </w:rPr>
              <w:t xml:space="preserve"> data</w:t>
            </w:r>
            <w:r w:rsidRPr="003C10B3">
              <w:rPr>
                <w:rFonts w:cs="Calibri"/>
              </w:rPr>
              <w:t xml:space="preserve"> </w:t>
            </w:r>
          </w:p>
        </w:tc>
        <w:tc>
          <w:tcPr>
            <w:tcW w:w="1704" w:type="dxa"/>
          </w:tcPr>
          <w:p w:rsidR="00801547" w:rsidRPr="003C10B3" w:rsidRDefault="00801547" w:rsidP="00696D2F">
            <w:pPr>
              <w:jc w:val="both"/>
              <w:rPr>
                <w:rFonts w:cs="Calibri"/>
              </w:rPr>
            </w:pPr>
            <w:r w:rsidRPr="003C10B3">
              <w:rPr>
                <w:rFonts w:cs="Calibri"/>
              </w:rPr>
              <w:t>Information regarding complaint</w:t>
            </w:r>
            <w:r>
              <w:rPr>
                <w:rFonts w:cs="Calibri"/>
              </w:rPr>
              <w:t xml:space="preserve"> trends </w:t>
            </w:r>
            <w:r w:rsidRPr="003C10B3">
              <w:rPr>
                <w:rFonts w:cs="Calibri"/>
              </w:rPr>
              <w:t>about lawyers.</w:t>
            </w:r>
          </w:p>
        </w:tc>
        <w:tc>
          <w:tcPr>
            <w:tcW w:w="1704" w:type="dxa"/>
          </w:tcPr>
          <w:p w:rsidR="00801547" w:rsidRPr="003C10B3" w:rsidRDefault="00801547" w:rsidP="00696D2F">
            <w:pPr>
              <w:jc w:val="both"/>
              <w:rPr>
                <w:rFonts w:cs="Calibri"/>
              </w:rPr>
            </w:pPr>
            <w:r w:rsidRPr="003C10B3">
              <w:rPr>
                <w:rFonts w:cs="Calibri"/>
              </w:rPr>
              <w:t xml:space="preserve">1 </w:t>
            </w:r>
            <w:r>
              <w:rPr>
                <w:rFonts w:cs="Calibri"/>
              </w:rPr>
              <w:t>July</w:t>
            </w:r>
            <w:r w:rsidRPr="003C10B3">
              <w:rPr>
                <w:rFonts w:cs="Calibri"/>
              </w:rPr>
              <w:t xml:space="preserve"> 2014</w:t>
            </w:r>
          </w:p>
        </w:tc>
        <w:tc>
          <w:tcPr>
            <w:tcW w:w="1705" w:type="dxa"/>
          </w:tcPr>
          <w:p w:rsidR="00801547" w:rsidRPr="003C10B3" w:rsidRDefault="00801547" w:rsidP="00696D2F">
            <w:pPr>
              <w:jc w:val="both"/>
              <w:rPr>
                <w:rFonts w:cs="Calibri"/>
              </w:rPr>
            </w:pPr>
            <w:r w:rsidRPr="003C10B3">
              <w:rPr>
                <w:rFonts w:cs="Calibri"/>
              </w:rPr>
              <w:t>Annual</w:t>
            </w:r>
          </w:p>
        </w:tc>
        <w:tc>
          <w:tcPr>
            <w:tcW w:w="1705" w:type="dxa"/>
          </w:tcPr>
          <w:p w:rsidR="00801547" w:rsidRPr="003C10B3" w:rsidRDefault="00801547" w:rsidP="00696D2F">
            <w:pPr>
              <w:jc w:val="both"/>
              <w:rPr>
                <w:rFonts w:cs="Calibri"/>
              </w:rPr>
            </w:pPr>
            <w:r w:rsidRPr="003C10B3">
              <w:rPr>
                <w:rFonts w:cs="Calibri"/>
              </w:rPr>
              <w:t>Yes</w:t>
            </w:r>
          </w:p>
        </w:tc>
      </w:tr>
      <w:tr w:rsidR="00801547" w:rsidRPr="003C10B3" w:rsidTr="00BE2105">
        <w:tc>
          <w:tcPr>
            <w:tcW w:w="1704" w:type="dxa"/>
          </w:tcPr>
          <w:p w:rsidR="00801547" w:rsidRPr="003C10B3" w:rsidRDefault="00801547" w:rsidP="00696D2F">
            <w:pPr>
              <w:jc w:val="both"/>
              <w:rPr>
                <w:rFonts w:cs="Calibri"/>
              </w:rPr>
            </w:pPr>
          </w:p>
        </w:tc>
        <w:tc>
          <w:tcPr>
            <w:tcW w:w="1704" w:type="dxa"/>
          </w:tcPr>
          <w:p w:rsidR="00801547" w:rsidRPr="003C10B3" w:rsidRDefault="00801547" w:rsidP="00696D2F">
            <w:pPr>
              <w:jc w:val="both"/>
              <w:rPr>
                <w:rFonts w:cs="Calibri"/>
              </w:rPr>
            </w:pPr>
          </w:p>
        </w:tc>
        <w:tc>
          <w:tcPr>
            <w:tcW w:w="1704" w:type="dxa"/>
          </w:tcPr>
          <w:p w:rsidR="00801547" w:rsidRPr="003C10B3" w:rsidRDefault="00801547" w:rsidP="00696D2F">
            <w:pPr>
              <w:jc w:val="both"/>
              <w:rPr>
                <w:rFonts w:cs="Calibri"/>
              </w:rPr>
            </w:pPr>
          </w:p>
        </w:tc>
        <w:tc>
          <w:tcPr>
            <w:tcW w:w="1705" w:type="dxa"/>
          </w:tcPr>
          <w:p w:rsidR="00801547" w:rsidRPr="003C10B3" w:rsidRDefault="00801547" w:rsidP="00696D2F">
            <w:pPr>
              <w:jc w:val="both"/>
              <w:rPr>
                <w:rFonts w:cs="Calibri"/>
              </w:rPr>
            </w:pPr>
          </w:p>
        </w:tc>
        <w:tc>
          <w:tcPr>
            <w:tcW w:w="1705" w:type="dxa"/>
          </w:tcPr>
          <w:p w:rsidR="00801547" w:rsidRPr="003C10B3" w:rsidRDefault="00801547" w:rsidP="00696D2F">
            <w:pPr>
              <w:jc w:val="both"/>
              <w:rPr>
                <w:rFonts w:cs="Calibri"/>
              </w:rPr>
            </w:pPr>
          </w:p>
        </w:tc>
      </w:tr>
    </w:tbl>
    <w:p w:rsidR="00801547" w:rsidRPr="003C10B3" w:rsidRDefault="00801547" w:rsidP="00696D2F">
      <w:pPr>
        <w:jc w:val="both"/>
      </w:pPr>
    </w:p>
    <w:sectPr w:rsidR="00801547" w:rsidRPr="003C10B3" w:rsidSect="00C478C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47" w:rsidRDefault="00801547" w:rsidP="00AB1341">
      <w:pPr>
        <w:spacing w:after="0" w:line="240" w:lineRule="auto"/>
      </w:pPr>
      <w:r>
        <w:separator/>
      </w:r>
    </w:p>
  </w:endnote>
  <w:endnote w:type="continuationSeparator" w:id="0">
    <w:p w:rsidR="00801547" w:rsidRDefault="00801547" w:rsidP="00AB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47" w:rsidRDefault="00801547" w:rsidP="00256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547" w:rsidRDefault="00801547" w:rsidP="001A4F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47" w:rsidRDefault="00801547" w:rsidP="00256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1547" w:rsidRDefault="00801547" w:rsidP="001A4F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47" w:rsidRDefault="00801547" w:rsidP="00AB1341">
      <w:pPr>
        <w:spacing w:after="0" w:line="240" w:lineRule="auto"/>
      </w:pPr>
      <w:r>
        <w:separator/>
      </w:r>
    </w:p>
  </w:footnote>
  <w:footnote w:type="continuationSeparator" w:id="0">
    <w:p w:rsidR="00801547" w:rsidRDefault="00801547" w:rsidP="00AB1341">
      <w:pPr>
        <w:spacing w:after="0" w:line="240" w:lineRule="auto"/>
      </w:pPr>
      <w:r>
        <w:continuationSeparator/>
      </w:r>
    </w:p>
  </w:footnote>
  <w:footnote w:id="1">
    <w:p w:rsidR="00801547" w:rsidRDefault="00801547">
      <w:pPr>
        <w:pStyle w:val="FootnoteText"/>
      </w:pPr>
      <w:r>
        <w:rPr>
          <w:rStyle w:val="FootnoteReference"/>
        </w:rPr>
        <w:footnoteRef/>
      </w:r>
      <w:r>
        <w:t xml:space="preserve"> </w:t>
      </w:r>
      <w:r w:rsidRPr="0019601A">
        <w:rPr>
          <w:rFonts w:ascii="Calibri" w:hAnsi="Calibri"/>
          <w:color w:val="000000"/>
          <w:szCs w:val="18"/>
        </w:rPr>
        <w:t>Which is available on the Commission’s website</w:t>
      </w:r>
      <w:r>
        <w:rPr>
          <w:rFonts w:ascii="Calibri" w:hAnsi="Calibri"/>
          <w:color w:val="000000"/>
          <w:szCs w:val="18"/>
        </w:rPr>
        <w:t xml:space="preserve"> -</w:t>
      </w:r>
      <w:r w:rsidRPr="007B256A">
        <w:rPr>
          <w:rFonts w:ascii="Calibri" w:hAnsi="Calibri"/>
          <w:szCs w:val="18"/>
        </w:rPr>
        <w:t xml:space="preserve"> </w:t>
      </w:r>
      <w:r w:rsidRPr="0019601A">
        <w:rPr>
          <w:rFonts w:ascii="Calibri" w:hAnsi="Calibri"/>
          <w:szCs w:val="18"/>
        </w:rPr>
        <w:t>http://www.lsc.qld.gov.au</w:t>
      </w:r>
    </w:p>
  </w:footnote>
  <w:footnote w:id="2">
    <w:p w:rsidR="00801547" w:rsidRDefault="00801547">
      <w:pPr>
        <w:pStyle w:val="FootnoteText"/>
      </w:pPr>
      <w:r w:rsidRPr="0019601A">
        <w:rPr>
          <w:rStyle w:val="FootnoteReference"/>
          <w:rFonts w:ascii="Calibri" w:hAnsi="Calibri"/>
          <w:szCs w:val="18"/>
        </w:rPr>
        <w:footnoteRef/>
      </w:r>
      <w:r w:rsidRPr="0019601A">
        <w:rPr>
          <w:rFonts w:ascii="Calibri" w:hAnsi="Calibri"/>
          <w:szCs w:val="18"/>
        </w:rPr>
        <w:t xml:space="preserve"> http://www.lsc.qld.gov.au/lpportal</w:t>
      </w:r>
    </w:p>
  </w:footnote>
  <w:footnote w:id="3">
    <w:p w:rsidR="00801547" w:rsidRDefault="00801547">
      <w:pPr>
        <w:pStyle w:val="FootnoteText"/>
      </w:pPr>
      <w:r w:rsidRPr="0019601A">
        <w:rPr>
          <w:rStyle w:val="FootnoteReference"/>
          <w:rFonts w:ascii="Calibri" w:hAnsi="Calibri"/>
          <w:szCs w:val="18"/>
        </w:rPr>
        <w:footnoteRef/>
      </w:r>
      <w:r w:rsidRPr="0019601A">
        <w:rPr>
          <w:rFonts w:ascii="Calibri" w:hAnsi="Calibri"/>
          <w:szCs w:val="18"/>
        </w:rPr>
        <w:t xml:space="preserve"> http://www.lsc.qld.gov.au/about-us/our-performance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1C7"/>
    <w:multiLevelType w:val="hybridMultilevel"/>
    <w:tmpl w:val="DA18427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
    <w:nsid w:val="2A0411F3"/>
    <w:multiLevelType w:val="multilevel"/>
    <w:tmpl w:val="B1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D50D4"/>
    <w:multiLevelType w:val="hybridMultilevel"/>
    <w:tmpl w:val="7C5C560A"/>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41"/>
    <w:rsid w:val="0001361F"/>
    <w:rsid w:val="00013BE0"/>
    <w:rsid w:val="00033A62"/>
    <w:rsid w:val="00080BB0"/>
    <w:rsid w:val="000B72E4"/>
    <w:rsid w:val="000F5676"/>
    <w:rsid w:val="00140211"/>
    <w:rsid w:val="00142122"/>
    <w:rsid w:val="00162D68"/>
    <w:rsid w:val="00181D8A"/>
    <w:rsid w:val="00184306"/>
    <w:rsid w:val="0019601A"/>
    <w:rsid w:val="001A4FF1"/>
    <w:rsid w:val="001E51A9"/>
    <w:rsid w:val="001F1B9E"/>
    <w:rsid w:val="002352C0"/>
    <w:rsid w:val="002447ED"/>
    <w:rsid w:val="002537E8"/>
    <w:rsid w:val="002557C7"/>
    <w:rsid w:val="002561CF"/>
    <w:rsid w:val="00273D0C"/>
    <w:rsid w:val="00287381"/>
    <w:rsid w:val="002A2FBF"/>
    <w:rsid w:val="002C5C14"/>
    <w:rsid w:val="002E0791"/>
    <w:rsid w:val="00306C14"/>
    <w:rsid w:val="0031240F"/>
    <w:rsid w:val="00313CD7"/>
    <w:rsid w:val="003237EE"/>
    <w:rsid w:val="00332071"/>
    <w:rsid w:val="00341A69"/>
    <w:rsid w:val="003522D7"/>
    <w:rsid w:val="00385F17"/>
    <w:rsid w:val="003C10B3"/>
    <w:rsid w:val="003F1C97"/>
    <w:rsid w:val="004007C7"/>
    <w:rsid w:val="0042265E"/>
    <w:rsid w:val="004339CA"/>
    <w:rsid w:val="004440E7"/>
    <w:rsid w:val="00461420"/>
    <w:rsid w:val="00493A7E"/>
    <w:rsid w:val="004D10E7"/>
    <w:rsid w:val="004D7EF3"/>
    <w:rsid w:val="00521954"/>
    <w:rsid w:val="00547258"/>
    <w:rsid w:val="005622BD"/>
    <w:rsid w:val="00575FF7"/>
    <w:rsid w:val="005C1461"/>
    <w:rsid w:val="005C47DE"/>
    <w:rsid w:val="005D3296"/>
    <w:rsid w:val="005E2B72"/>
    <w:rsid w:val="005F4E17"/>
    <w:rsid w:val="0062220E"/>
    <w:rsid w:val="0063202B"/>
    <w:rsid w:val="00642083"/>
    <w:rsid w:val="00654CD6"/>
    <w:rsid w:val="00696D2F"/>
    <w:rsid w:val="006C0C73"/>
    <w:rsid w:val="006E181F"/>
    <w:rsid w:val="006E383D"/>
    <w:rsid w:val="0071559B"/>
    <w:rsid w:val="0075025F"/>
    <w:rsid w:val="007643E5"/>
    <w:rsid w:val="0076571B"/>
    <w:rsid w:val="007A03A0"/>
    <w:rsid w:val="007B256A"/>
    <w:rsid w:val="007B4D63"/>
    <w:rsid w:val="007C0B72"/>
    <w:rsid w:val="007E1B22"/>
    <w:rsid w:val="007F3E81"/>
    <w:rsid w:val="00801547"/>
    <w:rsid w:val="00840396"/>
    <w:rsid w:val="008928BD"/>
    <w:rsid w:val="00893EF4"/>
    <w:rsid w:val="00903B85"/>
    <w:rsid w:val="009116B4"/>
    <w:rsid w:val="00946E1A"/>
    <w:rsid w:val="00953B2E"/>
    <w:rsid w:val="009A684A"/>
    <w:rsid w:val="009F434D"/>
    <w:rsid w:val="00A801B5"/>
    <w:rsid w:val="00A962ED"/>
    <w:rsid w:val="00AB1341"/>
    <w:rsid w:val="00AC53C5"/>
    <w:rsid w:val="00AE1873"/>
    <w:rsid w:val="00AE4632"/>
    <w:rsid w:val="00AF5D81"/>
    <w:rsid w:val="00B1585A"/>
    <w:rsid w:val="00B16175"/>
    <w:rsid w:val="00B452B5"/>
    <w:rsid w:val="00B776EF"/>
    <w:rsid w:val="00BC4563"/>
    <w:rsid w:val="00BC7266"/>
    <w:rsid w:val="00BE2105"/>
    <w:rsid w:val="00BF34A6"/>
    <w:rsid w:val="00C02126"/>
    <w:rsid w:val="00C31808"/>
    <w:rsid w:val="00C334E8"/>
    <w:rsid w:val="00C478CC"/>
    <w:rsid w:val="00C56089"/>
    <w:rsid w:val="00C63707"/>
    <w:rsid w:val="00C80117"/>
    <w:rsid w:val="00CB6117"/>
    <w:rsid w:val="00CC113F"/>
    <w:rsid w:val="00CC1161"/>
    <w:rsid w:val="00CC6474"/>
    <w:rsid w:val="00CC78A5"/>
    <w:rsid w:val="00CE1B54"/>
    <w:rsid w:val="00CF65E3"/>
    <w:rsid w:val="00D20F1E"/>
    <w:rsid w:val="00D33478"/>
    <w:rsid w:val="00D5591F"/>
    <w:rsid w:val="00D754A1"/>
    <w:rsid w:val="00D76685"/>
    <w:rsid w:val="00DA681A"/>
    <w:rsid w:val="00DF4DA3"/>
    <w:rsid w:val="00E17956"/>
    <w:rsid w:val="00E21A13"/>
    <w:rsid w:val="00E21E2C"/>
    <w:rsid w:val="00E56F14"/>
    <w:rsid w:val="00E710BA"/>
    <w:rsid w:val="00E97BC3"/>
    <w:rsid w:val="00EA503A"/>
    <w:rsid w:val="00EC21F6"/>
    <w:rsid w:val="00ED73A4"/>
    <w:rsid w:val="00F06A22"/>
    <w:rsid w:val="00F26C6F"/>
    <w:rsid w:val="00F3314A"/>
    <w:rsid w:val="00F54487"/>
    <w:rsid w:val="00F663FC"/>
    <w:rsid w:val="00FB13B5"/>
    <w:rsid w:val="00FC1BE0"/>
    <w:rsid w:val="00FE0C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1341"/>
    <w:pPr>
      <w:spacing w:after="0" w:line="240" w:lineRule="auto"/>
      <w:ind w:left="720"/>
    </w:pPr>
  </w:style>
  <w:style w:type="character" w:styleId="Hyperlink">
    <w:name w:val="Hyperlink"/>
    <w:basedOn w:val="DefaultParagraphFont"/>
    <w:uiPriority w:val="99"/>
    <w:rsid w:val="00AB1341"/>
    <w:rPr>
      <w:rFonts w:cs="Times New Roman"/>
      <w:color w:val="003399"/>
      <w:u w:val="single"/>
    </w:rPr>
  </w:style>
  <w:style w:type="paragraph" w:styleId="FootnoteText">
    <w:name w:val="footnote text"/>
    <w:basedOn w:val="Normal"/>
    <w:link w:val="FootnoteTextChar"/>
    <w:uiPriority w:val="99"/>
    <w:rsid w:val="00AB1341"/>
    <w:pPr>
      <w:widowControl w:val="0"/>
      <w:spacing w:before="40" w:after="40" w:line="264" w:lineRule="auto"/>
    </w:pPr>
    <w:rPr>
      <w:rFonts w:ascii="Arial" w:eastAsia="Times New Roman" w:hAnsi="Arial"/>
      <w:sz w:val="18"/>
      <w:szCs w:val="20"/>
    </w:rPr>
  </w:style>
  <w:style w:type="character" w:customStyle="1" w:styleId="FootnoteTextChar">
    <w:name w:val="Footnote Text Char"/>
    <w:basedOn w:val="DefaultParagraphFont"/>
    <w:link w:val="FootnoteText"/>
    <w:uiPriority w:val="99"/>
    <w:locked/>
    <w:rsid w:val="00AB1341"/>
    <w:rPr>
      <w:rFonts w:ascii="Arial" w:hAnsi="Arial" w:cs="Times New Roman"/>
      <w:sz w:val="20"/>
      <w:szCs w:val="20"/>
    </w:rPr>
  </w:style>
  <w:style w:type="character" w:styleId="FootnoteReference">
    <w:name w:val="footnote reference"/>
    <w:basedOn w:val="DefaultParagraphFont"/>
    <w:uiPriority w:val="99"/>
    <w:rsid w:val="00AB1341"/>
    <w:rPr>
      <w:rFonts w:cs="Times New Roman"/>
      <w:vertAlign w:val="superscript"/>
    </w:rPr>
  </w:style>
  <w:style w:type="paragraph" w:styleId="NormalWeb">
    <w:name w:val="Normal (Web)"/>
    <w:basedOn w:val="Normal"/>
    <w:uiPriority w:val="99"/>
    <w:rsid w:val="004D7EF3"/>
    <w:pPr>
      <w:spacing w:before="240" w:after="240" w:line="240" w:lineRule="auto"/>
    </w:pPr>
    <w:rPr>
      <w:rFonts w:ascii="Times New Roman" w:hAnsi="Times New Roman"/>
      <w:sz w:val="24"/>
      <w:szCs w:val="24"/>
      <w:lang w:eastAsia="en-AU"/>
    </w:rPr>
  </w:style>
  <w:style w:type="paragraph" w:customStyle="1" w:styleId="Default">
    <w:name w:val="Default"/>
    <w:uiPriority w:val="99"/>
    <w:rsid w:val="00F26C6F"/>
    <w:pPr>
      <w:autoSpaceDE w:val="0"/>
      <w:autoSpaceDN w:val="0"/>
      <w:adjustRightInd w:val="0"/>
    </w:pPr>
    <w:rPr>
      <w:rFonts w:cs="Calibri"/>
      <w:color w:val="000000"/>
      <w:sz w:val="24"/>
      <w:szCs w:val="24"/>
    </w:rPr>
  </w:style>
  <w:style w:type="paragraph" w:styleId="Footer">
    <w:name w:val="footer"/>
    <w:basedOn w:val="Normal"/>
    <w:link w:val="FooterChar"/>
    <w:uiPriority w:val="99"/>
    <w:rsid w:val="001A4FF1"/>
    <w:pPr>
      <w:tabs>
        <w:tab w:val="center" w:pos="4153"/>
        <w:tab w:val="right" w:pos="8306"/>
      </w:tabs>
    </w:pPr>
  </w:style>
  <w:style w:type="character" w:customStyle="1" w:styleId="FooterChar">
    <w:name w:val="Footer Char"/>
    <w:basedOn w:val="DefaultParagraphFont"/>
    <w:link w:val="Footer"/>
    <w:uiPriority w:val="99"/>
    <w:semiHidden/>
    <w:locked/>
    <w:rsid w:val="00B776EF"/>
    <w:rPr>
      <w:rFonts w:cs="Times New Roman"/>
      <w:lang w:eastAsia="en-US"/>
    </w:rPr>
  </w:style>
  <w:style w:type="character" w:styleId="PageNumber">
    <w:name w:val="page number"/>
    <w:basedOn w:val="DefaultParagraphFont"/>
    <w:uiPriority w:val="99"/>
    <w:rsid w:val="001A4FF1"/>
    <w:rPr>
      <w:rFonts w:cs="Times New Roman"/>
    </w:rPr>
  </w:style>
</w:styles>
</file>

<file path=word/webSettings.xml><?xml version="1.0" encoding="utf-8"?>
<w:webSettings xmlns:r="http://schemas.openxmlformats.org/officeDocument/2006/relationships" xmlns:w="http://schemas.openxmlformats.org/wordprocessingml/2006/main">
  <w:divs>
    <w:div w:id="1902867616">
      <w:marLeft w:val="0"/>
      <w:marRight w:val="0"/>
      <w:marTop w:val="0"/>
      <w:marBottom w:val="0"/>
      <w:divBdr>
        <w:top w:val="none" w:sz="0" w:space="0" w:color="auto"/>
        <w:left w:val="none" w:sz="0" w:space="0" w:color="auto"/>
        <w:bottom w:val="none" w:sz="0" w:space="0" w:color="auto"/>
        <w:right w:val="none" w:sz="0" w:space="0" w:color="auto"/>
      </w:divBdr>
    </w:div>
    <w:div w:id="1902867619">
      <w:marLeft w:val="0"/>
      <w:marRight w:val="0"/>
      <w:marTop w:val="0"/>
      <w:marBottom w:val="0"/>
      <w:divBdr>
        <w:top w:val="none" w:sz="0" w:space="0" w:color="auto"/>
        <w:left w:val="none" w:sz="0" w:space="0" w:color="auto"/>
        <w:bottom w:val="none" w:sz="0" w:space="0" w:color="auto"/>
        <w:right w:val="none" w:sz="0" w:space="0" w:color="auto"/>
      </w:divBdr>
      <w:divsChild>
        <w:div w:id="1902867630">
          <w:marLeft w:val="0"/>
          <w:marRight w:val="0"/>
          <w:marTop w:val="0"/>
          <w:marBottom w:val="0"/>
          <w:divBdr>
            <w:top w:val="none" w:sz="0" w:space="0" w:color="auto"/>
            <w:left w:val="none" w:sz="0" w:space="0" w:color="auto"/>
            <w:bottom w:val="none" w:sz="0" w:space="0" w:color="auto"/>
            <w:right w:val="none" w:sz="0" w:space="0" w:color="auto"/>
          </w:divBdr>
          <w:divsChild>
            <w:div w:id="1902867629">
              <w:marLeft w:val="0"/>
              <w:marRight w:val="0"/>
              <w:marTop w:val="0"/>
              <w:marBottom w:val="0"/>
              <w:divBdr>
                <w:top w:val="none" w:sz="0" w:space="0" w:color="auto"/>
                <w:left w:val="none" w:sz="0" w:space="0" w:color="auto"/>
                <w:bottom w:val="none" w:sz="0" w:space="0" w:color="auto"/>
                <w:right w:val="none" w:sz="0" w:space="0" w:color="auto"/>
              </w:divBdr>
              <w:divsChild>
                <w:div w:id="1902867631">
                  <w:marLeft w:val="0"/>
                  <w:marRight w:val="0"/>
                  <w:marTop w:val="0"/>
                  <w:marBottom w:val="0"/>
                  <w:divBdr>
                    <w:top w:val="none" w:sz="0" w:space="0" w:color="auto"/>
                    <w:left w:val="none" w:sz="0" w:space="0" w:color="auto"/>
                    <w:bottom w:val="none" w:sz="0" w:space="0" w:color="auto"/>
                    <w:right w:val="none" w:sz="0" w:space="0" w:color="auto"/>
                  </w:divBdr>
                  <w:divsChild>
                    <w:div w:id="1902867623">
                      <w:marLeft w:val="0"/>
                      <w:marRight w:val="0"/>
                      <w:marTop w:val="0"/>
                      <w:marBottom w:val="0"/>
                      <w:divBdr>
                        <w:top w:val="none" w:sz="0" w:space="0" w:color="auto"/>
                        <w:left w:val="none" w:sz="0" w:space="0" w:color="auto"/>
                        <w:bottom w:val="none" w:sz="0" w:space="0" w:color="auto"/>
                        <w:right w:val="none" w:sz="0" w:space="0" w:color="auto"/>
                      </w:divBdr>
                      <w:divsChild>
                        <w:div w:id="1902867621">
                          <w:marLeft w:val="0"/>
                          <w:marRight w:val="0"/>
                          <w:marTop w:val="0"/>
                          <w:marBottom w:val="0"/>
                          <w:divBdr>
                            <w:top w:val="none" w:sz="0" w:space="0" w:color="auto"/>
                            <w:left w:val="none" w:sz="0" w:space="0" w:color="auto"/>
                            <w:bottom w:val="none" w:sz="0" w:space="0" w:color="auto"/>
                            <w:right w:val="none" w:sz="0" w:space="0" w:color="auto"/>
                          </w:divBdr>
                          <w:divsChild>
                            <w:div w:id="19028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867620">
      <w:marLeft w:val="0"/>
      <w:marRight w:val="0"/>
      <w:marTop w:val="0"/>
      <w:marBottom w:val="0"/>
      <w:divBdr>
        <w:top w:val="none" w:sz="0" w:space="0" w:color="auto"/>
        <w:left w:val="none" w:sz="0" w:space="0" w:color="auto"/>
        <w:bottom w:val="none" w:sz="0" w:space="0" w:color="auto"/>
        <w:right w:val="none" w:sz="0" w:space="0" w:color="auto"/>
      </w:divBdr>
      <w:divsChild>
        <w:div w:id="1902867637">
          <w:marLeft w:val="0"/>
          <w:marRight w:val="0"/>
          <w:marTop w:val="0"/>
          <w:marBottom w:val="15"/>
          <w:divBdr>
            <w:top w:val="none" w:sz="0" w:space="0" w:color="auto"/>
            <w:left w:val="none" w:sz="0" w:space="0" w:color="auto"/>
            <w:bottom w:val="none" w:sz="0" w:space="0" w:color="auto"/>
            <w:right w:val="none" w:sz="0" w:space="0" w:color="auto"/>
          </w:divBdr>
          <w:divsChild>
            <w:div w:id="1902867636">
              <w:marLeft w:val="0"/>
              <w:marRight w:val="0"/>
              <w:marTop w:val="0"/>
              <w:marBottom w:val="0"/>
              <w:divBdr>
                <w:top w:val="none" w:sz="0" w:space="0" w:color="auto"/>
                <w:left w:val="none" w:sz="0" w:space="0" w:color="auto"/>
                <w:bottom w:val="none" w:sz="0" w:space="0" w:color="auto"/>
                <w:right w:val="none" w:sz="0" w:space="0" w:color="auto"/>
              </w:divBdr>
              <w:divsChild>
                <w:div w:id="190286763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02867632">
      <w:marLeft w:val="0"/>
      <w:marRight w:val="0"/>
      <w:marTop w:val="0"/>
      <w:marBottom w:val="0"/>
      <w:divBdr>
        <w:top w:val="none" w:sz="0" w:space="0" w:color="auto"/>
        <w:left w:val="none" w:sz="0" w:space="0" w:color="auto"/>
        <w:bottom w:val="none" w:sz="0" w:space="0" w:color="auto"/>
        <w:right w:val="none" w:sz="0" w:space="0" w:color="auto"/>
      </w:divBdr>
      <w:divsChild>
        <w:div w:id="1902867626">
          <w:marLeft w:val="0"/>
          <w:marRight w:val="0"/>
          <w:marTop w:val="0"/>
          <w:marBottom w:val="0"/>
          <w:divBdr>
            <w:top w:val="none" w:sz="0" w:space="0" w:color="auto"/>
            <w:left w:val="none" w:sz="0" w:space="0" w:color="auto"/>
            <w:bottom w:val="none" w:sz="0" w:space="0" w:color="auto"/>
            <w:right w:val="none" w:sz="0" w:space="0" w:color="auto"/>
          </w:divBdr>
          <w:divsChild>
            <w:div w:id="1902867628">
              <w:marLeft w:val="0"/>
              <w:marRight w:val="0"/>
              <w:marTop w:val="0"/>
              <w:marBottom w:val="0"/>
              <w:divBdr>
                <w:top w:val="none" w:sz="0" w:space="0" w:color="auto"/>
                <w:left w:val="none" w:sz="0" w:space="0" w:color="auto"/>
                <w:bottom w:val="none" w:sz="0" w:space="0" w:color="auto"/>
                <w:right w:val="none" w:sz="0" w:space="0" w:color="auto"/>
              </w:divBdr>
              <w:divsChild>
                <w:div w:id="1902867634">
                  <w:marLeft w:val="0"/>
                  <w:marRight w:val="0"/>
                  <w:marTop w:val="0"/>
                  <w:marBottom w:val="0"/>
                  <w:divBdr>
                    <w:top w:val="none" w:sz="0" w:space="0" w:color="auto"/>
                    <w:left w:val="none" w:sz="0" w:space="0" w:color="auto"/>
                    <w:bottom w:val="none" w:sz="0" w:space="0" w:color="auto"/>
                    <w:right w:val="none" w:sz="0" w:space="0" w:color="auto"/>
                  </w:divBdr>
                  <w:divsChild>
                    <w:div w:id="1902867625">
                      <w:marLeft w:val="0"/>
                      <w:marRight w:val="0"/>
                      <w:marTop w:val="0"/>
                      <w:marBottom w:val="0"/>
                      <w:divBdr>
                        <w:top w:val="none" w:sz="0" w:space="0" w:color="auto"/>
                        <w:left w:val="none" w:sz="0" w:space="0" w:color="auto"/>
                        <w:bottom w:val="none" w:sz="0" w:space="0" w:color="auto"/>
                        <w:right w:val="none" w:sz="0" w:space="0" w:color="auto"/>
                      </w:divBdr>
                      <w:divsChild>
                        <w:div w:id="1902867624">
                          <w:marLeft w:val="0"/>
                          <w:marRight w:val="0"/>
                          <w:marTop w:val="0"/>
                          <w:marBottom w:val="0"/>
                          <w:divBdr>
                            <w:top w:val="none" w:sz="0" w:space="0" w:color="auto"/>
                            <w:left w:val="none" w:sz="0" w:space="0" w:color="auto"/>
                            <w:bottom w:val="none" w:sz="0" w:space="0" w:color="auto"/>
                            <w:right w:val="none" w:sz="0" w:space="0" w:color="auto"/>
                          </w:divBdr>
                          <w:divsChild>
                            <w:div w:id="19028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867635">
      <w:marLeft w:val="0"/>
      <w:marRight w:val="0"/>
      <w:marTop w:val="0"/>
      <w:marBottom w:val="0"/>
      <w:divBdr>
        <w:top w:val="none" w:sz="0" w:space="0" w:color="auto"/>
        <w:left w:val="none" w:sz="0" w:space="0" w:color="auto"/>
        <w:bottom w:val="none" w:sz="0" w:space="0" w:color="auto"/>
        <w:right w:val="none" w:sz="0" w:space="0" w:color="auto"/>
      </w:divBdr>
      <w:divsChild>
        <w:div w:id="1902867622">
          <w:marLeft w:val="0"/>
          <w:marRight w:val="0"/>
          <w:marTop w:val="0"/>
          <w:marBottom w:val="15"/>
          <w:divBdr>
            <w:top w:val="none" w:sz="0" w:space="0" w:color="auto"/>
            <w:left w:val="none" w:sz="0" w:space="0" w:color="auto"/>
            <w:bottom w:val="none" w:sz="0" w:space="0" w:color="auto"/>
            <w:right w:val="none" w:sz="0" w:space="0" w:color="auto"/>
          </w:divBdr>
          <w:divsChild>
            <w:div w:id="1902867638">
              <w:marLeft w:val="0"/>
              <w:marRight w:val="0"/>
              <w:marTop w:val="0"/>
              <w:marBottom w:val="0"/>
              <w:divBdr>
                <w:top w:val="none" w:sz="0" w:space="0" w:color="auto"/>
                <w:left w:val="none" w:sz="0" w:space="0" w:color="auto"/>
                <w:bottom w:val="none" w:sz="0" w:space="0" w:color="auto"/>
                <w:right w:val="none" w:sz="0" w:space="0" w:color="auto"/>
              </w:divBdr>
              <w:divsChild>
                <w:div w:id="190286761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824</Words>
  <Characters>4698</Characters>
  <Application>Microsoft Office Outlook</Application>
  <DocSecurity>0</DocSecurity>
  <Lines>0</Lines>
  <Paragraphs>0</Paragraphs>
  <ScaleCrop>false</ScaleCrop>
  <Company>Dept of the Premier and Cabinet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 STRATEGY, QUEENSLAND POLICE SERVICE, 2013 - 2016</dc:title>
  <dc:subject/>
  <dc:creator>Zoe Wilson</dc:creator>
  <cp:keywords/>
  <dc:description/>
  <cp:lastModifiedBy>bettsdj</cp:lastModifiedBy>
  <cp:revision>2</cp:revision>
  <cp:lastPrinted>2013-09-29T23:06:00Z</cp:lastPrinted>
  <dcterms:created xsi:type="dcterms:W3CDTF">2013-11-20T05:38:00Z</dcterms:created>
  <dcterms:modified xsi:type="dcterms:W3CDTF">2013-11-20T05:38:00Z</dcterms:modified>
</cp:coreProperties>
</file>