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07F6" w14:textId="77777777" w:rsidR="008571E3" w:rsidRDefault="00215788" w:rsidP="00AE1BB2">
      <w:pPr>
        <w:pStyle w:val="Heading1"/>
        <w:spacing w:before="0"/>
      </w:pPr>
      <w:r>
        <w:t>Department of Communities, Disability Services and Seniors</w:t>
      </w:r>
    </w:p>
    <w:p w14:paraId="22251C85" w14:textId="77777777" w:rsidR="002E375F" w:rsidRDefault="00215788" w:rsidP="00AE1BB2">
      <w:pPr>
        <w:pStyle w:val="Heading1"/>
        <w:spacing w:before="0"/>
        <w:rPr>
          <w:rFonts w:ascii="Times New Roman" w:hAnsi="Times New Roman" w:cs="Times New Roman"/>
          <w:sz w:val="24"/>
          <w:szCs w:val="24"/>
        </w:rPr>
      </w:pPr>
      <w:r>
        <w:t xml:space="preserve">Annual Financial Statements </w:t>
      </w:r>
      <w:r w:rsidRPr="00215788">
        <w:t>2019-20</w:t>
      </w:r>
    </w:p>
    <w:p w14:paraId="04C3DDFB" w14:textId="77777777" w:rsidR="00950266" w:rsidRDefault="00950266" w:rsidP="00862FE1">
      <w:pPr>
        <w:rPr>
          <w:rFonts w:ascii="Times New Roman" w:hAnsi="Times New Roman" w:cs="Times New Roman"/>
          <w:sz w:val="24"/>
          <w:szCs w:val="24"/>
        </w:rPr>
        <w:sectPr w:rsidR="00950266" w:rsidSect="00D40BAA">
          <w:footerReference w:type="default" r:id="rId8"/>
          <w:pgSz w:w="11909" w:h="16834"/>
          <w:pgMar w:top="1440" w:right="1440" w:bottom="1440" w:left="1440" w:header="720" w:footer="720" w:gutter="0"/>
          <w:cols w:space="720"/>
          <w:noEndnote/>
        </w:sectPr>
      </w:pPr>
    </w:p>
    <w:p w14:paraId="69279A7B" w14:textId="77777777" w:rsidR="002E375F" w:rsidRDefault="00EB2569" w:rsidP="00F45CE1">
      <w:pPr>
        <w:pStyle w:val="Heading2"/>
        <w:spacing w:before="0"/>
        <w:rPr>
          <w:rFonts w:ascii="Times New Roman" w:hAnsi="Times New Roman" w:cs="Times New Roman"/>
        </w:rPr>
      </w:pPr>
      <w:r>
        <w:lastRenderedPageBreak/>
        <w:t>Department of Communities, Disability Services and Seniors</w:t>
      </w:r>
    </w:p>
    <w:p w14:paraId="2F5E58A5" w14:textId="77777777" w:rsidR="00215788" w:rsidRDefault="00EB2569" w:rsidP="00F45CE1">
      <w:pPr>
        <w:pStyle w:val="Heading2"/>
        <w:spacing w:before="0"/>
      </w:pPr>
      <w:r>
        <w:t>Financial Statements</w:t>
      </w:r>
    </w:p>
    <w:p w14:paraId="517B845D" w14:textId="77777777" w:rsidR="002E375F" w:rsidRDefault="00EB2569" w:rsidP="00F45CE1">
      <w:pPr>
        <w:pStyle w:val="Heading2"/>
        <w:spacing w:before="0"/>
        <w:rPr>
          <w:rFonts w:ascii="Times New Roman" w:hAnsi="Times New Roman" w:cs="Times New Roman"/>
        </w:rPr>
      </w:pPr>
      <w:r>
        <w:t>for the year ended 30 June 2020</w:t>
      </w:r>
    </w:p>
    <w:p w14:paraId="0A91B623" w14:textId="77777777" w:rsidR="002E375F" w:rsidRDefault="002E375F">
      <w:pPr>
        <w:autoSpaceDE w:val="0"/>
        <w:autoSpaceDN w:val="0"/>
        <w:adjustRightInd w:val="0"/>
        <w:spacing w:before="440" w:after="0" w:line="240" w:lineRule="auto"/>
        <w:rPr>
          <w:rFonts w:ascii="Times New Roman" w:hAnsi="Times New Roman" w:cs="Times New Roman"/>
          <w:sz w:val="24"/>
          <w:szCs w:val="24"/>
        </w:rPr>
      </w:pPr>
    </w:p>
    <w:tbl>
      <w:tblPr>
        <w:tblW w:w="9034" w:type="dxa"/>
        <w:tblLayout w:type="fixed"/>
        <w:tblCellMar>
          <w:left w:w="0" w:type="dxa"/>
          <w:right w:w="0" w:type="dxa"/>
        </w:tblCellMar>
        <w:tblLook w:val="0000" w:firstRow="0" w:lastRow="0" w:firstColumn="0" w:lastColumn="0" w:noHBand="0" w:noVBand="0"/>
      </w:tblPr>
      <w:tblGrid>
        <w:gridCol w:w="57"/>
        <w:gridCol w:w="397"/>
        <w:gridCol w:w="7768"/>
        <w:gridCol w:w="812"/>
      </w:tblGrid>
      <w:tr w:rsidR="002E375F" w14:paraId="683B9B72" w14:textId="77777777" w:rsidTr="00D830C2">
        <w:tc>
          <w:tcPr>
            <w:tcW w:w="8222" w:type="dxa"/>
            <w:gridSpan w:val="3"/>
            <w:tcBorders>
              <w:top w:val="nil"/>
              <w:left w:val="nil"/>
              <w:bottom w:val="nil"/>
              <w:right w:val="nil"/>
            </w:tcBorders>
            <w:shd w:val="clear" w:color="auto" w:fill="FFFFFF"/>
            <w:vAlign w:val="bottom"/>
          </w:tcPr>
          <w:p w14:paraId="130501BC" w14:textId="77777777" w:rsidR="002E375F" w:rsidRDefault="00EB2569" w:rsidP="008571E3">
            <w:pPr>
              <w:pStyle w:val="Heading3"/>
              <w:rPr>
                <w:rFonts w:ascii="Times New Roman" w:hAnsi="Times New Roman" w:cs="Times New Roman"/>
              </w:rPr>
            </w:pPr>
            <w:r>
              <w:t>CONTENTS</w:t>
            </w:r>
          </w:p>
        </w:tc>
        <w:tc>
          <w:tcPr>
            <w:tcW w:w="812" w:type="dxa"/>
            <w:tcBorders>
              <w:top w:val="nil"/>
              <w:left w:val="nil"/>
              <w:bottom w:val="nil"/>
              <w:right w:val="nil"/>
            </w:tcBorders>
            <w:shd w:val="clear" w:color="auto" w:fill="FFFFFF"/>
            <w:vAlign w:val="bottom"/>
          </w:tcPr>
          <w:p w14:paraId="4220326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Page</w:t>
            </w:r>
          </w:p>
        </w:tc>
      </w:tr>
      <w:tr w:rsidR="002E375F" w:rsidRPr="00B843A8" w14:paraId="0E257D6E" w14:textId="77777777" w:rsidTr="00D830C2">
        <w:tc>
          <w:tcPr>
            <w:tcW w:w="8222" w:type="dxa"/>
            <w:gridSpan w:val="3"/>
            <w:tcBorders>
              <w:top w:val="nil"/>
              <w:left w:val="nil"/>
              <w:bottom w:val="nil"/>
              <w:right w:val="nil"/>
            </w:tcBorders>
            <w:shd w:val="clear" w:color="auto" w:fill="FFFFFF"/>
            <w:vAlign w:val="bottom"/>
          </w:tcPr>
          <w:p w14:paraId="51C75D6C" w14:textId="77777777" w:rsidR="002E375F" w:rsidRPr="00862FE1" w:rsidRDefault="00EB2569">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Financial Statements</w:t>
            </w:r>
          </w:p>
        </w:tc>
        <w:tc>
          <w:tcPr>
            <w:tcW w:w="812" w:type="dxa"/>
            <w:tcBorders>
              <w:top w:val="nil"/>
              <w:left w:val="nil"/>
              <w:bottom w:val="nil"/>
              <w:right w:val="nil"/>
            </w:tcBorders>
            <w:shd w:val="clear" w:color="auto" w:fill="FFFFFF"/>
            <w:vAlign w:val="bottom"/>
          </w:tcPr>
          <w:p w14:paraId="6857DF7C" w14:textId="77777777" w:rsidR="002E375F" w:rsidRPr="00862FE1" w:rsidRDefault="002E375F">
            <w:pPr>
              <w:autoSpaceDE w:val="0"/>
              <w:autoSpaceDN w:val="0"/>
              <w:adjustRightInd w:val="0"/>
              <w:spacing w:after="0" w:line="240" w:lineRule="auto"/>
              <w:rPr>
                <w:rFonts w:ascii="Arial" w:hAnsi="Arial" w:cs="Arial"/>
                <w:b/>
                <w:bCs/>
                <w:sz w:val="18"/>
                <w:szCs w:val="18"/>
              </w:rPr>
            </w:pPr>
          </w:p>
        </w:tc>
      </w:tr>
      <w:tr w:rsidR="002E375F" w14:paraId="5BE30C42" w14:textId="77777777" w:rsidTr="00D830C2">
        <w:tc>
          <w:tcPr>
            <w:tcW w:w="8222" w:type="dxa"/>
            <w:gridSpan w:val="3"/>
            <w:tcBorders>
              <w:top w:val="nil"/>
              <w:left w:val="nil"/>
              <w:bottom w:val="nil"/>
              <w:right w:val="nil"/>
            </w:tcBorders>
            <w:shd w:val="clear" w:color="auto" w:fill="FFFFFF"/>
            <w:vAlign w:val="bottom"/>
          </w:tcPr>
          <w:p w14:paraId="4F498F3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Income Statement - Controlled</w:t>
            </w:r>
          </w:p>
        </w:tc>
        <w:tc>
          <w:tcPr>
            <w:tcW w:w="812" w:type="dxa"/>
            <w:tcBorders>
              <w:top w:val="nil"/>
              <w:left w:val="nil"/>
              <w:bottom w:val="nil"/>
              <w:right w:val="nil"/>
            </w:tcBorders>
            <w:shd w:val="clear" w:color="auto" w:fill="FFFFFF"/>
            <w:vAlign w:val="bottom"/>
          </w:tcPr>
          <w:p w14:paraId="5408424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w:t>
            </w:r>
          </w:p>
        </w:tc>
      </w:tr>
      <w:tr w:rsidR="002E375F" w14:paraId="136E2F34" w14:textId="77777777" w:rsidTr="00D830C2">
        <w:tc>
          <w:tcPr>
            <w:tcW w:w="8222" w:type="dxa"/>
            <w:gridSpan w:val="3"/>
            <w:tcBorders>
              <w:top w:val="nil"/>
              <w:left w:val="nil"/>
              <w:bottom w:val="nil"/>
              <w:right w:val="nil"/>
            </w:tcBorders>
            <w:shd w:val="clear" w:color="auto" w:fill="FFFFFF"/>
            <w:vAlign w:val="bottom"/>
          </w:tcPr>
          <w:p w14:paraId="305A2CD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Income Statement by Major Departmental Services - Controlled</w:t>
            </w:r>
          </w:p>
        </w:tc>
        <w:tc>
          <w:tcPr>
            <w:tcW w:w="812" w:type="dxa"/>
            <w:tcBorders>
              <w:top w:val="nil"/>
              <w:left w:val="nil"/>
              <w:bottom w:val="nil"/>
              <w:right w:val="nil"/>
            </w:tcBorders>
            <w:shd w:val="clear" w:color="auto" w:fill="FFFFFF"/>
            <w:vAlign w:val="bottom"/>
          </w:tcPr>
          <w:p w14:paraId="0E7757C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w:t>
            </w:r>
          </w:p>
        </w:tc>
      </w:tr>
      <w:tr w:rsidR="002E375F" w14:paraId="3E3FB9BB" w14:textId="77777777" w:rsidTr="00D830C2">
        <w:tc>
          <w:tcPr>
            <w:tcW w:w="8222" w:type="dxa"/>
            <w:gridSpan w:val="3"/>
            <w:tcBorders>
              <w:top w:val="nil"/>
              <w:left w:val="nil"/>
              <w:bottom w:val="nil"/>
              <w:right w:val="nil"/>
            </w:tcBorders>
            <w:shd w:val="clear" w:color="auto" w:fill="FFFFFF"/>
            <w:vAlign w:val="bottom"/>
          </w:tcPr>
          <w:p w14:paraId="0515983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Balance Sheet - Controlled</w:t>
            </w:r>
          </w:p>
        </w:tc>
        <w:tc>
          <w:tcPr>
            <w:tcW w:w="812" w:type="dxa"/>
            <w:tcBorders>
              <w:top w:val="nil"/>
              <w:left w:val="nil"/>
              <w:bottom w:val="nil"/>
              <w:right w:val="nil"/>
            </w:tcBorders>
            <w:shd w:val="clear" w:color="auto" w:fill="FFFFFF"/>
            <w:vAlign w:val="bottom"/>
          </w:tcPr>
          <w:p w14:paraId="287C290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w:t>
            </w:r>
          </w:p>
        </w:tc>
      </w:tr>
      <w:tr w:rsidR="002E375F" w14:paraId="51525983" w14:textId="77777777" w:rsidTr="00D830C2">
        <w:tc>
          <w:tcPr>
            <w:tcW w:w="8222" w:type="dxa"/>
            <w:gridSpan w:val="3"/>
            <w:tcBorders>
              <w:top w:val="nil"/>
              <w:left w:val="nil"/>
              <w:bottom w:val="nil"/>
              <w:right w:val="nil"/>
            </w:tcBorders>
            <w:shd w:val="clear" w:color="auto" w:fill="FFFFFF"/>
            <w:vAlign w:val="bottom"/>
          </w:tcPr>
          <w:p w14:paraId="2DC504E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Statement of Assets and Liabilities by Major Departmental Services - Controlled</w:t>
            </w:r>
          </w:p>
        </w:tc>
        <w:tc>
          <w:tcPr>
            <w:tcW w:w="812" w:type="dxa"/>
            <w:tcBorders>
              <w:top w:val="nil"/>
              <w:left w:val="nil"/>
              <w:bottom w:val="nil"/>
              <w:right w:val="nil"/>
            </w:tcBorders>
            <w:shd w:val="clear" w:color="auto" w:fill="FFFFFF"/>
            <w:vAlign w:val="bottom"/>
          </w:tcPr>
          <w:p w14:paraId="7A595D0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w:t>
            </w:r>
          </w:p>
        </w:tc>
      </w:tr>
      <w:tr w:rsidR="002E375F" w14:paraId="563C9A09" w14:textId="77777777" w:rsidTr="00D830C2">
        <w:tc>
          <w:tcPr>
            <w:tcW w:w="8222" w:type="dxa"/>
            <w:gridSpan w:val="3"/>
            <w:tcBorders>
              <w:top w:val="nil"/>
              <w:left w:val="nil"/>
              <w:bottom w:val="nil"/>
              <w:right w:val="nil"/>
            </w:tcBorders>
            <w:shd w:val="clear" w:color="auto" w:fill="FFFFFF"/>
            <w:vAlign w:val="bottom"/>
          </w:tcPr>
          <w:p w14:paraId="5F40E88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Statement of Changes in Equity - Controlled</w:t>
            </w:r>
          </w:p>
        </w:tc>
        <w:tc>
          <w:tcPr>
            <w:tcW w:w="812" w:type="dxa"/>
            <w:tcBorders>
              <w:top w:val="nil"/>
              <w:left w:val="nil"/>
              <w:bottom w:val="nil"/>
              <w:right w:val="nil"/>
            </w:tcBorders>
            <w:shd w:val="clear" w:color="auto" w:fill="FFFFFF"/>
            <w:vAlign w:val="bottom"/>
          </w:tcPr>
          <w:p w14:paraId="582673F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w:t>
            </w:r>
          </w:p>
        </w:tc>
      </w:tr>
      <w:tr w:rsidR="002E375F" w14:paraId="4ED1DACA" w14:textId="77777777" w:rsidTr="00D830C2">
        <w:tc>
          <w:tcPr>
            <w:tcW w:w="8222" w:type="dxa"/>
            <w:gridSpan w:val="3"/>
            <w:tcBorders>
              <w:top w:val="nil"/>
              <w:left w:val="nil"/>
              <w:bottom w:val="nil"/>
              <w:right w:val="nil"/>
            </w:tcBorders>
            <w:shd w:val="clear" w:color="auto" w:fill="FFFFFF"/>
            <w:vAlign w:val="bottom"/>
          </w:tcPr>
          <w:p w14:paraId="6DEE1F0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Statement of Cash Flows - Controlled (including Notes to the Statement of Cash Flows)</w:t>
            </w:r>
          </w:p>
        </w:tc>
        <w:tc>
          <w:tcPr>
            <w:tcW w:w="812" w:type="dxa"/>
            <w:tcBorders>
              <w:top w:val="nil"/>
              <w:left w:val="nil"/>
              <w:bottom w:val="nil"/>
              <w:right w:val="nil"/>
            </w:tcBorders>
            <w:shd w:val="clear" w:color="auto" w:fill="FFFFFF"/>
            <w:vAlign w:val="bottom"/>
          </w:tcPr>
          <w:p w14:paraId="63299F5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w:t>
            </w:r>
          </w:p>
        </w:tc>
      </w:tr>
      <w:tr w:rsidR="002E375F" w14:paraId="760E04B4" w14:textId="77777777" w:rsidTr="00D830C2">
        <w:tc>
          <w:tcPr>
            <w:tcW w:w="8222" w:type="dxa"/>
            <w:gridSpan w:val="3"/>
            <w:tcBorders>
              <w:top w:val="nil"/>
              <w:left w:val="nil"/>
              <w:bottom w:val="nil"/>
              <w:right w:val="nil"/>
            </w:tcBorders>
            <w:shd w:val="clear" w:color="auto" w:fill="FFFFFF"/>
            <w:vAlign w:val="bottom"/>
          </w:tcPr>
          <w:p w14:paraId="63C3549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Income Statement - Administered</w:t>
            </w:r>
          </w:p>
        </w:tc>
        <w:tc>
          <w:tcPr>
            <w:tcW w:w="812" w:type="dxa"/>
            <w:tcBorders>
              <w:top w:val="nil"/>
              <w:left w:val="nil"/>
              <w:bottom w:val="nil"/>
              <w:right w:val="nil"/>
            </w:tcBorders>
            <w:shd w:val="clear" w:color="auto" w:fill="FFFFFF"/>
            <w:vAlign w:val="bottom"/>
          </w:tcPr>
          <w:p w14:paraId="5791238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w:t>
            </w:r>
          </w:p>
        </w:tc>
      </w:tr>
      <w:tr w:rsidR="002E375F" w14:paraId="108EA570" w14:textId="77777777" w:rsidTr="00D830C2">
        <w:tc>
          <w:tcPr>
            <w:tcW w:w="8222" w:type="dxa"/>
            <w:gridSpan w:val="3"/>
            <w:tcBorders>
              <w:top w:val="nil"/>
              <w:left w:val="nil"/>
              <w:bottom w:val="nil"/>
              <w:right w:val="nil"/>
            </w:tcBorders>
            <w:shd w:val="clear" w:color="auto" w:fill="FFFFFF"/>
            <w:vAlign w:val="bottom"/>
          </w:tcPr>
          <w:p w14:paraId="12D772D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Balance Sheet - Administered</w:t>
            </w:r>
          </w:p>
        </w:tc>
        <w:tc>
          <w:tcPr>
            <w:tcW w:w="812" w:type="dxa"/>
            <w:tcBorders>
              <w:top w:val="nil"/>
              <w:left w:val="nil"/>
              <w:bottom w:val="nil"/>
              <w:right w:val="nil"/>
            </w:tcBorders>
            <w:shd w:val="clear" w:color="auto" w:fill="FFFFFF"/>
            <w:vAlign w:val="bottom"/>
          </w:tcPr>
          <w:p w14:paraId="6E5D68E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w:t>
            </w:r>
          </w:p>
        </w:tc>
      </w:tr>
      <w:tr w:rsidR="002E375F" w14:paraId="6B2F2D8A" w14:textId="77777777" w:rsidTr="00D830C2">
        <w:tc>
          <w:tcPr>
            <w:tcW w:w="8222" w:type="dxa"/>
            <w:gridSpan w:val="3"/>
            <w:tcBorders>
              <w:top w:val="nil"/>
              <w:left w:val="nil"/>
              <w:bottom w:val="nil"/>
              <w:right w:val="nil"/>
            </w:tcBorders>
            <w:shd w:val="clear" w:color="auto" w:fill="FFFFFF"/>
            <w:vAlign w:val="bottom"/>
          </w:tcPr>
          <w:p w14:paraId="4B6D77A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Statement of Cash Flows - Administered (including Notes to the Statement of Cash Flows)</w:t>
            </w:r>
          </w:p>
        </w:tc>
        <w:tc>
          <w:tcPr>
            <w:tcW w:w="812" w:type="dxa"/>
            <w:tcBorders>
              <w:top w:val="nil"/>
              <w:left w:val="nil"/>
              <w:bottom w:val="nil"/>
              <w:right w:val="nil"/>
            </w:tcBorders>
            <w:shd w:val="clear" w:color="auto" w:fill="FFFFFF"/>
            <w:vAlign w:val="bottom"/>
          </w:tcPr>
          <w:p w14:paraId="419423D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w:t>
            </w:r>
          </w:p>
        </w:tc>
      </w:tr>
      <w:tr w:rsidR="00B843A8" w:rsidRPr="00B843A8" w14:paraId="024D73CB" w14:textId="77777777" w:rsidTr="00862FE1">
        <w:tc>
          <w:tcPr>
            <w:tcW w:w="8222" w:type="dxa"/>
            <w:gridSpan w:val="3"/>
            <w:tcBorders>
              <w:top w:val="nil"/>
              <w:left w:val="nil"/>
              <w:bottom w:val="nil"/>
              <w:right w:val="nil"/>
            </w:tcBorders>
            <w:shd w:val="clear" w:color="auto" w:fill="FFFFFF"/>
          </w:tcPr>
          <w:p w14:paraId="0BF309D0" w14:textId="77777777" w:rsidR="00B843A8" w:rsidRPr="00862FE1" w:rsidRDefault="00B843A8">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Notes to the Financial Statements</w:t>
            </w:r>
          </w:p>
        </w:tc>
        <w:tc>
          <w:tcPr>
            <w:tcW w:w="812" w:type="dxa"/>
            <w:tcBorders>
              <w:top w:val="nil"/>
              <w:left w:val="nil"/>
              <w:bottom w:val="nil"/>
              <w:right w:val="nil"/>
            </w:tcBorders>
            <w:shd w:val="clear" w:color="auto" w:fill="FFFFFF"/>
          </w:tcPr>
          <w:p w14:paraId="05CC1BA6" w14:textId="77777777" w:rsidR="00B843A8" w:rsidRPr="00862FE1" w:rsidRDefault="00B843A8">
            <w:pPr>
              <w:autoSpaceDE w:val="0"/>
              <w:autoSpaceDN w:val="0"/>
              <w:adjustRightInd w:val="0"/>
              <w:spacing w:after="0" w:line="240" w:lineRule="auto"/>
              <w:rPr>
                <w:rFonts w:ascii="Arial" w:hAnsi="Arial" w:cs="Arial"/>
                <w:b/>
                <w:bCs/>
                <w:sz w:val="18"/>
                <w:szCs w:val="18"/>
              </w:rPr>
            </w:pPr>
          </w:p>
        </w:tc>
      </w:tr>
      <w:tr w:rsidR="002E375F" w14:paraId="0E5F9E9E" w14:textId="77777777" w:rsidTr="00D830C2">
        <w:tc>
          <w:tcPr>
            <w:tcW w:w="8222" w:type="dxa"/>
            <w:gridSpan w:val="3"/>
            <w:tcBorders>
              <w:top w:val="nil"/>
              <w:left w:val="nil"/>
              <w:bottom w:val="nil"/>
              <w:right w:val="nil"/>
            </w:tcBorders>
            <w:shd w:val="clear" w:color="auto" w:fill="FFFFFF"/>
          </w:tcPr>
          <w:p w14:paraId="705FE6F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About this Report and What We Do</w:t>
            </w:r>
          </w:p>
        </w:tc>
        <w:tc>
          <w:tcPr>
            <w:tcW w:w="812" w:type="dxa"/>
            <w:tcBorders>
              <w:top w:val="nil"/>
              <w:left w:val="nil"/>
              <w:bottom w:val="nil"/>
              <w:right w:val="nil"/>
            </w:tcBorders>
            <w:shd w:val="clear" w:color="auto" w:fill="FFFFFF"/>
          </w:tcPr>
          <w:p w14:paraId="2A2CA917"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12</w:t>
            </w:r>
          </w:p>
        </w:tc>
      </w:tr>
      <w:tr w:rsidR="002E375F" w14:paraId="602E7301" w14:textId="77777777" w:rsidTr="00D830C2">
        <w:tc>
          <w:tcPr>
            <w:tcW w:w="454" w:type="dxa"/>
            <w:gridSpan w:val="2"/>
            <w:tcBorders>
              <w:top w:val="nil"/>
              <w:left w:val="nil"/>
              <w:bottom w:val="nil"/>
              <w:right w:val="nil"/>
            </w:tcBorders>
            <w:shd w:val="clear" w:color="auto" w:fill="FFFFFF"/>
          </w:tcPr>
          <w:p w14:paraId="0554BCE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A1</w:t>
            </w:r>
          </w:p>
        </w:tc>
        <w:tc>
          <w:tcPr>
            <w:tcW w:w="7768" w:type="dxa"/>
            <w:tcBorders>
              <w:top w:val="nil"/>
              <w:left w:val="nil"/>
              <w:bottom w:val="nil"/>
              <w:right w:val="nil"/>
            </w:tcBorders>
            <w:shd w:val="clear" w:color="auto" w:fill="FFFFFF"/>
            <w:vAlign w:val="bottom"/>
          </w:tcPr>
          <w:p w14:paraId="1EE0024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Basis of Financial Statement Preparation</w:t>
            </w:r>
          </w:p>
        </w:tc>
        <w:tc>
          <w:tcPr>
            <w:tcW w:w="812" w:type="dxa"/>
            <w:tcBorders>
              <w:top w:val="nil"/>
              <w:left w:val="nil"/>
              <w:bottom w:val="nil"/>
              <w:right w:val="nil"/>
            </w:tcBorders>
            <w:shd w:val="clear" w:color="auto" w:fill="FFFFFF"/>
          </w:tcPr>
          <w:p w14:paraId="12C30F4B"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12</w:t>
            </w:r>
          </w:p>
        </w:tc>
      </w:tr>
      <w:tr w:rsidR="002E375F" w14:paraId="4421A6F4" w14:textId="77777777" w:rsidTr="00D830C2">
        <w:tc>
          <w:tcPr>
            <w:tcW w:w="454" w:type="dxa"/>
            <w:gridSpan w:val="2"/>
            <w:tcBorders>
              <w:top w:val="nil"/>
              <w:left w:val="nil"/>
              <w:bottom w:val="nil"/>
              <w:right w:val="nil"/>
            </w:tcBorders>
            <w:shd w:val="clear" w:color="auto" w:fill="FFFFFF"/>
          </w:tcPr>
          <w:p w14:paraId="70FEE77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A2</w:t>
            </w:r>
          </w:p>
        </w:tc>
        <w:tc>
          <w:tcPr>
            <w:tcW w:w="7768" w:type="dxa"/>
            <w:tcBorders>
              <w:top w:val="nil"/>
              <w:left w:val="nil"/>
              <w:bottom w:val="nil"/>
              <w:right w:val="nil"/>
            </w:tcBorders>
            <w:shd w:val="clear" w:color="auto" w:fill="FFFFFF"/>
            <w:vAlign w:val="bottom"/>
          </w:tcPr>
          <w:p w14:paraId="7E03CFD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Departmental Objectives</w:t>
            </w:r>
          </w:p>
        </w:tc>
        <w:tc>
          <w:tcPr>
            <w:tcW w:w="812" w:type="dxa"/>
            <w:tcBorders>
              <w:top w:val="nil"/>
              <w:left w:val="nil"/>
              <w:bottom w:val="nil"/>
              <w:right w:val="nil"/>
            </w:tcBorders>
            <w:shd w:val="clear" w:color="auto" w:fill="FFFFFF"/>
          </w:tcPr>
          <w:p w14:paraId="73489FA6"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14</w:t>
            </w:r>
          </w:p>
        </w:tc>
      </w:tr>
      <w:tr w:rsidR="002E375F" w14:paraId="5E071D02" w14:textId="77777777" w:rsidTr="00D830C2">
        <w:tc>
          <w:tcPr>
            <w:tcW w:w="454" w:type="dxa"/>
            <w:gridSpan w:val="2"/>
            <w:tcBorders>
              <w:top w:val="nil"/>
              <w:left w:val="nil"/>
              <w:bottom w:val="nil"/>
              <w:right w:val="nil"/>
            </w:tcBorders>
            <w:shd w:val="clear" w:color="auto" w:fill="FFFFFF"/>
          </w:tcPr>
          <w:p w14:paraId="5A0EBE0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A3</w:t>
            </w:r>
          </w:p>
        </w:tc>
        <w:tc>
          <w:tcPr>
            <w:tcW w:w="7768" w:type="dxa"/>
            <w:tcBorders>
              <w:top w:val="nil"/>
              <w:left w:val="nil"/>
              <w:bottom w:val="nil"/>
              <w:right w:val="nil"/>
            </w:tcBorders>
            <w:shd w:val="clear" w:color="auto" w:fill="FFFFFF"/>
            <w:vAlign w:val="bottom"/>
          </w:tcPr>
          <w:p w14:paraId="029CCEC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National Disability Insurance Scheme</w:t>
            </w:r>
          </w:p>
        </w:tc>
        <w:tc>
          <w:tcPr>
            <w:tcW w:w="812" w:type="dxa"/>
            <w:tcBorders>
              <w:top w:val="nil"/>
              <w:left w:val="nil"/>
              <w:bottom w:val="nil"/>
              <w:right w:val="nil"/>
            </w:tcBorders>
            <w:shd w:val="clear" w:color="auto" w:fill="FFFFFF"/>
          </w:tcPr>
          <w:p w14:paraId="54B5D05B"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14</w:t>
            </w:r>
          </w:p>
        </w:tc>
      </w:tr>
      <w:tr w:rsidR="002E375F" w14:paraId="5F9F6F0E" w14:textId="77777777" w:rsidTr="00D830C2">
        <w:tc>
          <w:tcPr>
            <w:tcW w:w="454" w:type="dxa"/>
            <w:gridSpan w:val="2"/>
            <w:tcBorders>
              <w:top w:val="nil"/>
              <w:left w:val="nil"/>
              <w:bottom w:val="nil"/>
              <w:right w:val="nil"/>
            </w:tcBorders>
            <w:shd w:val="clear" w:color="auto" w:fill="FFFFFF"/>
          </w:tcPr>
          <w:p w14:paraId="51F0C06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A4</w:t>
            </w:r>
          </w:p>
        </w:tc>
        <w:tc>
          <w:tcPr>
            <w:tcW w:w="7768" w:type="dxa"/>
            <w:tcBorders>
              <w:top w:val="nil"/>
              <w:left w:val="nil"/>
              <w:bottom w:val="nil"/>
              <w:right w:val="nil"/>
            </w:tcBorders>
            <w:shd w:val="clear" w:color="auto" w:fill="FFFFFF"/>
            <w:vAlign w:val="bottom"/>
          </w:tcPr>
          <w:p w14:paraId="1C12E24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Volunteer Services and Contribution of Services between Agencies</w:t>
            </w:r>
          </w:p>
        </w:tc>
        <w:tc>
          <w:tcPr>
            <w:tcW w:w="812" w:type="dxa"/>
            <w:tcBorders>
              <w:top w:val="nil"/>
              <w:left w:val="nil"/>
              <w:bottom w:val="nil"/>
              <w:right w:val="nil"/>
            </w:tcBorders>
            <w:shd w:val="clear" w:color="auto" w:fill="FFFFFF"/>
          </w:tcPr>
          <w:p w14:paraId="1B7E8420"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w:t>
            </w:r>
          </w:p>
        </w:tc>
      </w:tr>
      <w:tr w:rsidR="002E375F" w14:paraId="2A8BE02A" w14:textId="77777777" w:rsidTr="00D830C2">
        <w:tc>
          <w:tcPr>
            <w:tcW w:w="8222" w:type="dxa"/>
            <w:gridSpan w:val="3"/>
            <w:tcBorders>
              <w:top w:val="nil"/>
              <w:left w:val="nil"/>
              <w:bottom w:val="nil"/>
              <w:right w:val="nil"/>
            </w:tcBorders>
            <w:shd w:val="clear" w:color="auto" w:fill="FFFFFF"/>
          </w:tcPr>
          <w:p w14:paraId="0274451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Our Performance</w:t>
            </w:r>
          </w:p>
        </w:tc>
        <w:tc>
          <w:tcPr>
            <w:tcW w:w="812" w:type="dxa"/>
            <w:tcBorders>
              <w:top w:val="nil"/>
              <w:left w:val="nil"/>
              <w:bottom w:val="nil"/>
              <w:right w:val="nil"/>
            </w:tcBorders>
            <w:shd w:val="clear" w:color="auto" w:fill="FFFFFF"/>
          </w:tcPr>
          <w:p w14:paraId="418BC831"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w:t>
            </w:r>
          </w:p>
        </w:tc>
      </w:tr>
      <w:tr w:rsidR="002E375F" w14:paraId="3CBF58F1" w14:textId="77777777" w:rsidTr="00D830C2">
        <w:tc>
          <w:tcPr>
            <w:tcW w:w="454" w:type="dxa"/>
            <w:gridSpan w:val="2"/>
            <w:tcBorders>
              <w:top w:val="nil"/>
              <w:left w:val="nil"/>
              <w:bottom w:val="nil"/>
              <w:right w:val="nil"/>
            </w:tcBorders>
            <w:shd w:val="clear" w:color="auto" w:fill="FFFFFF"/>
          </w:tcPr>
          <w:p w14:paraId="5323660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B1</w:t>
            </w:r>
          </w:p>
        </w:tc>
        <w:tc>
          <w:tcPr>
            <w:tcW w:w="7768" w:type="dxa"/>
            <w:tcBorders>
              <w:top w:val="nil"/>
              <w:left w:val="nil"/>
              <w:bottom w:val="nil"/>
              <w:right w:val="nil"/>
            </w:tcBorders>
            <w:shd w:val="clear" w:color="auto" w:fill="FFFFFF"/>
            <w:vAlign w:val="bottom"/>
          </w:tcPr>
          <w:p w14:paraId="100CF76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Revenue</w:t>
            </w:r>
          </w:p>
        </w:tc>
        <w:tc>
          <w:tcPr>
            <w:tcW w:w="812" w:type="dxa"/>
            <w:tcBorders>
              <w:top w:val="nil"/>
              <w:left w:val="nil"/>
              <w:bottom w:val="nil"/>
              <w:right w:val="nil"/>
            </w:tcBorders>
            <w:shd w:val="clear" w:color="auto" w:fill="FFFFFF"/>
          </w:tcPr>
          <w:p w14:paraId="5C7CD9E0"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w:t>
            </w:r>
          </w:p>
        </w:tc>
      </w:tr>
      <w:tr w:rsidR="002E375F" w14:paraId="01037C5F" w14:textId="77777777" w:rsidTr="00D830C2">
        <w:tc>
          <w:tcPr>
            <w:tcW w:w="454" w:type="dxa"/>
            <w:gridSpan w:val="2"/>
            <w:tcBorders>
              <w:top w:val="nil"/>
              <w:left w:val="nil"/>
              <w:bottom w:val="nil"/>
              <w:right w:val="nil"/>
            </w:tcBorders>
            <w:shd w:val="clear" w:color="auto" w:fill="FFFFFF"/>
          </w:tcPr>
          <w:p w14:paraId="13C3E4F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B2</w:t>
            </w:r>
          </w:p>
        </w:tc>
        <w:tc>
          <w:tcPr>
            <w:tcW w:w="7768" w:type="dxa"/>
            <w:tcBorders>
              <w:top w:val="nil"/>
              <w:left w:val="nil"/>
              <w:bottom w:val="nil"/>
              <w:right w:val="nil"/>
            </w:tcBorders>
            <w:shd w:val="clear" w:color="auto" w:fill="FFFFFF"/>
            <w:vAlign w:val="bottom"/>
          </w:tcPr>
          <w:p w14:paraId="5D3412F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Expenses</w:t>
            </w:r>
          </w:p>
        </w:tc>
        <w:tc>
          <w:tcPr>
            <w:tcW w:w="812" w:type="dxa"/>
            <w:tcBorders>
              <w:top w:val="nil"/>
              <w:left w:val="nil"/>
              <w:bottom w:val="nil"/>
              <w:right w:val="nil"/>
            </w:tcBorders>
            <w:shd w:val="clear" w:color="auto" w:fill="FFFFFF"/>
          </w:tcPr>
          <w:p w14:paraId="31C8D797"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w:t>
            </w:r>
          </w:p>
        </w:tc>
      </w:tr>
      <w:tr w:rsidR="002E375F" w14:paraId="07265F29" w14:textId="77777777" w:rsidTr="00D830C2">
        <w:tc>
          <w:tcPr>
            <w:tcW w:w="8222" w:type="dxa"/>
            <w:gridSpan w:val="3"/>
            <w:tcBorders>
              <w:top w:val="nil"/>
              <w:left w:val="nil"/>
              <w:bottom w:val="nil"/>
              <w:right w:val="nil"/>
            </w:tcBorders>
            <w:shd w:val="clear" w:color="auto" w:fill="FFFFFF"/>
          </w:tcPr>
          <w:p w14:paraId="7DC70B0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Our Financial Position</w:t>
            </w:r>
          </w:p>
        </w:tc>
        <w:tc>
          <w:tcPr>
            <w:tcW w:w="812" w:type="dxa"/>
            <w:tcBorders>
              <w:top w:val="nil"/>
              <w:left w:val="nil"/>
              <w:bottom w:val="nil"/>
              <w:right w:val="nil"/>
            </w:tcBorders>
            <w:shd w:val="clear" w:color="auto" w:fill="FFFFFF"/>
          </w:tcPr>
          <w:p w14:paraId="57FFB096"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22</w:t>
            </w:r>
          </w:p>
        </w:tc>
      </w:tr>
      <w:tr w:rsidR="002E375F" w14:paraId="4E1D7931" w14:textId="77777777" w:rsidTr="00D830C2">
        <w:tc>
          <w:tcPr>
            <w:tcW w:w="454" w:type="dxa"/>
            <w:gridSpan w:val="2"/>
            <w:tcBorders>
              <w:top w:val="nil"/>
              <w:left w:val="nil"/>
              <w:bottom w:val="nil"/>
              <w:right w:val="nil"/>
            </w:tcBorders>
            <w:shd w:val="clear" w:color="auto" w:fill="FFFFFF"/>
          </w:tcPr>
          <w:p w14:paraId="661D544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C1</w:t>
            </w:r>
          </w:p>
        </w:tc>
        <w:tc>
          <w:tcPr>
            <w:tcW w:w="7768" w:type="dxa"/>
            <w:tcBorders>
              <w:top w:val="nil"/>
              <w:left w:val="nil"/>
              <w:bottom w:val="nil"/>
              <w:right w:val="nil"/>
            </w:tcBorders>
            <w:shd w:val="clear" w:color="auto" w:fill="FFFFFF"/>
            <w:vAlign w:val="bottom"/>
          </w:tcPr>
          <w:p w14:paraId="0E36097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Cash and Cash Equivalents</w:t>
            </w:r>
          </w:p>
        </w:tc>
        <w:tc>
          <w:tcPr>
            <w:tcW w:w="812" w:type="dxa"/>
            <w:tcBorders>
              <w:top w:val="nil"/>
              <w:left w:val="nil"/>
              <w:bottom w:val="nil"/>
              <w:right w:val="nil"/>
            </w:tcBorders>
            <w:shd w:val="clear" w:color="auto" w:fill="FFFFFF"/>
          </w:tcPr>
          <w:p w14:paraId="4A1621DA"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22</w:t>
            </w:r>
          </w:p>
        </w:tc>
      </w:tr>
      <w:tr w:rsidR="002E375F" w14:paraId="5539D181" w14:textId="77777777" w:rsidTr="00D830C2">
        <w:tc>
          <w:tcPr>
            <w:tcW w:w="454" w:type="dxa"/>
            <w:gridSpan w:val="2"/>
            <w:tcBorders>
              <w:top w:val="nil"/>
              <w:left w:val="nil"/>
              <w:bottom w:val="nil"/>
              <w:right w:val="nil"/>
            </w:tcBorders>
            <w:shd w:val="clear" w:color="auto" w:fill="FFFFFF"/>
          </w:tcPr>
          <w:p w14:paraId="5BBF343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C2</w:t>
            </w:r>
          </w:p>
        </w:tc>
        <w:tc>
          <w:tcPr>
            <w:tcW w:w="7768" w:type="dxa"/>
            <w:tcBorders>
              <w:top w:val="nil"/>
              <w:left w:val="nil"/>
              <w:bottom w:val="nil"/>
              <w:right w:val="nil"/>
            </w:tcBorders>
            <w:shd w:val="clear" w:color="auto" w:fill="FFFFFF"/>
            <w:vAlign w:val="bottom"/>
          </w:tcPr>
          <w:p w14:paraId="51427BD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Receivables</w:t>
            </w:r>
          </w:p>
        </w:tc>
        <w:tc>
          <w:tcPr>
            <w:tcW w:w="812" w:type="dxa"/>
            <w:tcBorders>
              <w:top w:val="nil"/>
              <w:left w:val="nil"/>
              <w:bottom w:val="nil"/>
              <w:right w:val="nil"/>
            </w:tcBorders>
            <w:shd w:val="clear" w:color="auto" w:fill="FFFFFF"/>
          </w:tcPr>
          <w:p w14:paraId="7E95D5D9"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22</w:t>
            </w:r>
          </w:p>
        </w:tc>
      </w:tr>
      <w:tr w:rsidR="002E375F" w14:paraId="08EC8826" w14:textId="77777777" w:rsidTr="00D830C2">
        <w:tc>
          <w:tcPr>
            <w:tcW w:w="454" w:type="dxa"/>
            <w:gridSpan w:val="2"/>
            <w:tcBorders>
              <w:top w:val="nil"/>
              <w:left w:val="nil"/>
              <w:bottom w:val="nil"/>
              <w:right w:val="nil"/>
            </w:tcBorders>
            <w:shd w:val="clear" w:color="auto" w:fill="FFFFFF"/>
          </w:tcPr>
          <w:p w14:paraId="26271C7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C3</w:t>
            </w:r>
          </w:p>
        </w:tc>
        <w:tc>
          <w:tcPr>
            <w:tcW w:w="7768" w:type="dxa"/>
            <w:tcBorders>
              <w:top w:val="nil"/>
              <w:left w:val="nil"/>
              <w:bottom w:val="nil"/>
              <w:right w:val="nil"/>
            </w:tcBorders>
            <w:shd w:val="clear" w:color="auto" w:fill="FFFFFF"/>
            <w:vAlign w:val="bottom"/>
          </w:tcPr>
          <w:p w14:paraId="457B58C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Non-Current Assets Held for Sale</w:t>
            </w:r>
          </w:p>
        </w:tc>
        <w:tc>
          <w:tcPr>
            <w:tcW w:w="812" w:type="dxa"/>
            <w:tcBorders>
              <w:top w:val="nil"/>
              <w:left w:val="nil"/>
              <w:bottom w:val="nil"/>
              <w:right w:val="nil"/>
            </w:tcBorders>
            <w:shd w:val="clear" w:color="auto" w:fill="FFFFFF"/>
          </w:tcPr>
          <w:p w14:paraId="2809541C"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24</w:t>
            </w:r>
          </w:p>
        </w:tc>
      </w:tr>
      <w:tr w:rsidR="002E375F" w14:paraId="294EC067" w14:textId="77777777" w:rsidTr="00D830C2">
        <w:tc>
          <w:tcPr>
            <w:tcW w:w="454" w:type="dxa"/>
            <w:gridSpan w:val="2"/>
            <w:tcBorders>
              <w:top w:val="nil"/>
              <w:left w:val="nil"/>
              <w:bottom w:val="nil"/>
              <w:right w:val="nil"/>
            </w:tcBorders>
            <w:shd w:val="clear" w:color="auto" w:fill="FFFFFF"/>
          </w:tcPr>
          <w:p w14:paraId="752FC25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C4</w:t>
            </w:r>
          </w:p>
        </w:tc>
        <w:tc>
          <w:tcPr>
            <w:tcW w:w="7768" w:type="dxa"/>
            <w:tcBorders>
              <w:top w:val="nil"/>
              <w:left w:val="nil"/>
              <w:bottom w:val="nil"/>
              <w:right w:val="nil"/>
            </w:tcBorders>
            <w:shd w:val="clear" w:color="auto" w:fill="FFFFFF"/>
            <w:vAlign w:val="bottom"/>
          </w:tcPr>
          <w:p w14:paraId="443F67B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Property, Plant and Equipment</w:t>
            </w:r>
          </w:p>
        </w:tc>
        <w:tc>
          <w:tcPr>
            <w:tcW w:w="812" w:type="dxa"/>
            <w:tcBorders>
              <w:top w:val="nil"/>
              <w:left w:val="nil"/>
              <w:bottom w:val="nil"/>
              <w:right w:val="nil"/>
            </w:tcBorders>
            <w:shd w:val="clear" w:color="auto" w:fill="FFFFFF"/>
          </w:tcPr>
          <w:p w14:paraId="4F7A7E5E"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24</w:t>
            </w:r>
          </w:p>
        </w:tc>
      </w:tr>
      <w:tr w:rsidR="002E375F" w14:paraId="14449D9E" w14:textId="77777777" w:rsidTr="00D830C2">
        <w:tc>
          <w:tcPr>
            <w:tcW w:w="454" w:type="dxa"/>
            <w:gridSpan w:val="2"/>
            <w:tcBorders>
              <w:top w:val="nil"/>
              <w:left w:val="nil"/>
              <w:bottom w:val="nil"/>
              <w:right w:val="nil"/>
            </w:tcBorders>
            <w:shd w:val="clear" w:color="auto" w:fill="FFFFFF"/>
          </w:tcPr>
          <w:p w14:paraId="4D380A9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C5</w:t>
            </w:r>
          </w:p>
        </w:tc>
        <w:tc>
          <w:tcPr>
            <w:tcW w:w="7768" w:type="dxa"/>
            <w:tcBorders>
              <w:top w:val="nil"/>
              <w:left w:val="nil"/>
              <w:bottom w:val="nil"/>
              <w:right w:val="nil"/>
            </w:tcBorders>
            <w:shd w:val="clear" w:color="auto" w:fill="FFFFFF"/>
            <w:vAlign w:val="bottom"/>
          </w:tcPr>
          <w:p w14:paraId="79FBB85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Intangibles</w:t>
            </w:r>
          </w:p>
        </w:tc>
        <w:tc>
          <w:tcPr>
            <w:tcW w:w="812" w:type="dxa"/>
            <w:tcBorders>
              <w:top w:val="nil"/>
              <w:left w:val="nil"/>
              <w:bottom w:val="nil"/>
              <w:right w:val="nil"/>
            </w:tcBorders>
            <w:shd w:val="clear" w:color="auto" w:fill="FFFFFF"/>
          </w:tcPr>
          <w:p w14:paraId="48DAFDBA"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30</w:t>
            </w:r>
          </w:p>
        </w:tc>
      </w:tr>
      <w:tr w:rsidR="002E375F" w14:paraId="7B1F4DCD" w14:textId="77777777" w:rsidTr="00D830C2">
        <w:tc>
          <w:tcPr>
            <w:tcW w:w="454" w:type="dxa"/>
            <w:gridSpan w:val="2"/>
            <w:tcBorders>
              <w:top w:val="nil"/>
              <w:left w:val="nil"/>
              <w:bottom w:val="nil"/>
              <w:right w:val="nil"/>
            </w:tcBorders>
            <w:shd w:val="clear" w:color="auto" w:fill="FFFFFF"/>
          </w:tcPr>
          <w:p w14:paraId="275F701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C6</w:t>
            </w:r>
          </w:p>
        </w:tc>
        <w:tc>
          <w:tcPr>
            <w:tcW w:w="7768" w:type="dxa"/>
            <w:tcBorders>
              <w:top w:val="nil"/>
              <w:left w:val="nil"/>
              <w:bottom w:val="nil"/>
              <w:right w:val="nil"/>
            </w:tcBorders>
            <w:shd w:val="clear" w:color="auto" w:fill="FFFFFF"/>
            <w:vAlign w:val="bottom"/>
          </w:tcPr>
          <w:p w14:paraId="135C1D5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Payables</w:t>
            </w:r>
          </w:p>
        </w:tc>
        <w:tc>
          <w:tcPr>
            <w:tcW w:w="812" w:type="dxa"/>
            <w:tcBorders>
              <w:top w:val="nil"/>
              <w:left w:val="nil"/>
              <w:bottom w:val="nil"/>
              <w:right w:val="nil"/>
            </w:tcBorders>
            <w:shd w:val="clear" w:color="auto" w:fill="FFFFFF"/>
          </w:tcPr>
          <w:p w14:paraId="4FDD62AC"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31</w:t>
            </w:r>
          </w:p>
        </w:tc>
      </w:tr>
      <w:tr w:rsidR="002E375F" w14:paraId="0914C10E" w14:textId="77777777" w:rsidTr="00D830C2">
        <w:tc>
          <w:tcPr>
            <w:tcW w:w="454" w:type="dxa"/>
            <w:gridSpan w:val="2"/>
            <w:tcBorders>
              <w:top w:val="nil"/>
              <w:left w:val="nil"/>
              <w:bottom w:val="nil"/>
              <w:right w:val="nil"/>
            </w:tcBorders>
            <w:shd w:val="clear" w:color="auto" w:fill="FFFFFF"/>
          </w:tcPr>
          <w:p w14:paraId="7AF8B23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C7</w:t>
            </w:r>
          </w:p>
        </w:tc>
        <w:tc>
          <w:tcPr>
            <w:tcW w:w="7768" w:type="dxa"/>
            <w:tcBorders>
              <w:top w:val="nil"/>
              <w:left w:val="nil"/>
              <w:bottom w:val="nil"/>
              <w:right w:val="nil"/>
            </w:tcBorders>
            <w:shd w:val="clear" w:color="auto" w:fill="FFFFFF"/>
            <w:vAlign w:val="bottom"/>
          </w:tcPr>
          <w:p w14:paraId="31D92AC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Accrued Employee Benefits</w:t>
            </w:r>
          </w:p>
        </w:tc>
        <w:tc>
          <w:tcPr>
            <w:tcW w:w="812" w:type="dxa"/>
            <w:tcBorders>
              <w:top w:val="nil"/>
              <w:left w:val="nil"/>
              <w:bottom w:val="nil"/>
              <w:right w:val="nil"/>
            </w:tcBorders>
            <w:shd w:val="clear" w:color="auto" w:fill="FFFFFF"/>
          </w:tcPr>
          <w:p w14:paraId="734A6BC1"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32</w:t>
            </w:r>
          </w:p>
        </w:tc>
      </w:tr>
      <w:tr w:rsidR="002E375F" w14:paraId="0D47016D" w14:textId="77777777" w:rsidTr="00D830C2">
        <w:tc>
          <w:tcPr>
            <w:tcW w:w="454" w:type="dxa"/>
            <w:gridSpan w:val="2"/>
            <w:tcBorders>
              <w:top w:val="nil"/>
              <w:left w:val="nil"/>
              <w:bottom w:val="nil"/>
              <w:right w:val="nil"/>
            </w:tcBorders>
            <w:shd w:val="clear" w:color="auto" w:fill="FFFFFF"/>
          </w:tcPr>
          <w:p w14:paraId="7C3EE5F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C8</w:t>
            </w:r>
          </w:p>
        </w:tc>
        <w:tc>
          <w:tcPr>
            <w:tcW w:w="7768" w:type="dxa"/>
            <w:tcBorders>
              <w:top w:val="nil"/>
              <w:left w:val="nil"/>
              <w:bottom w:val="nil"/>
              <w:right w:val="nil"/>
            </w:tcBorders>
            <w:shd w:val="clear" w:color="auto" w:fill="FFFFFF"/>
            <w:vAlign w:val="bottom"/>
          </w:tcPr>
          <w:p w14:paraId="1409113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 Current Liabilities</w:t>
            </w:r>
          </w:p>
        </w:tc>
        <w:tc>
          <w:tcPr>
            <w:tcW w:w="812" w:type="dxa"/>
            <w:tcBorders>
              <w:top w:val="nil"/>
              <w:left w:val="nil"/>
              <w:bottom w:val="nil"/>
              <w:right w:val="nil"/>
            </w:tcBorders>
            <w:shd w:val="clear" w:color="auto" w:fill="FFFFFF"/>
          </w:tcPr>
          <w:p w14:paraId="3AE56456"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32</w:t>
            </w:r>
          </w:p>
        </w:tc>
      </w:tr>
      <w:tr w:rsidR="002E375F" w14:paraId="4B08DFB9" w14:textId="77777777" w:rsidTr="00D830C2">
        <w:tc>
          <w:tcPr>
            <w:tcW w:w="454" w:type="dxa"/>
            <w:gridSpan w:val="2"/>
            <w:tcBorders>
              <w:top w:val="nil"/>
              <w:left w:val="nil"/>
              <w:bottom w:val="nil"/>
              <w:right w:val="nil"/>
            </w:tcBorders>
            <w:shd w:val="clear" w:color="auto" w:fill="FFFFFF"/>
          </w:tcPr>
          <w:p w14:paraId="780E5F5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C9</w:t>
            </w:r>
          </w:p>
        </w:tc>
        <w:tc>
          <w:tcPr>
            <w:tcW w:w="7768" w:type="dxa"/>
            <w:tcBorders>
              <w:top w:val="nil"/>
              <w:left w:val="nil"/>
              <w:bottom w:val="nil"/>
              <w:right w:val="nil"/>
            </w:tcBorders>
            <w:shd w:val="clear" w:color="auto" w:fill="FFFFFF"/>
            <w:vAlign w:val="bottom"/>
          </w:tcPr>
          <w:p w14:paraId="5A6C043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Equity</w:t>
            </w:r>
          </w:p>
        </w:tc>
        <w:tc>
          <w:tcPr>
            <w:tcW w:w="812" w:type="dxa"/>
            <w:tcBorders>
              <w:top w:val="nil"/>
              <w:left w:val="nil"/>
              <w:bottom w:val="nil"/>
              <w:right w:val="nil"/>
            </w:tcBorders>
            <w:shd w:val="clear" w:color="auto" w:fill="FFFFFF"/>
          </w:tcPr>
          <w:p w14:paraId="7CEA7EA1"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33</w:t>
            </w:r>
          </w:p>
        </w:tc>
      </w:tr>
      <w:tr w:rsidR="002E375F" w14:paraId="5B4AB5FB" w14:textId="77777777" w:rsidTr="00D830C2">
        <w:tc>
          <w:tcPr>
            <w:tcW w:w="8222" w:type="dxa"/>
            <w:gridSpan w:val="3"/>
            <w:tcBorders>
              <w:top w:val="nil"/>
              <w:left w:val="nil"/>
              <w:bottom w:val="nil"/>
              <w:right w:val="nil"/>
            </w:tcBorders>
            <w:shd w:val="clear" w:color="auto" w:fill="FFFFFF"/>
          </w:tcPr>
          <w:p w14:paraId="2E7B922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Other Key Information</w:t>
            </w:r>
          </w:p>
        </w:tc>
        <w:tc>
          <w:tcPr>
            <w:tcW w:w="812" w:type="dxa"/>
            <w:tcBorders>
              <w:top w:val="nil"/>
              <w:left w:val="nil"/>
              <w:bottom w:val="nil"/>
              <w:right w:val="nil"/>
            </w:tcBorders>
            <w:shd w:val="clear" w:color="auto" w:fill="FFFFFF"/>
          </w:tcPr>
          <w:p w14:paraId="55A2A2C1"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35</w:t>
            </w:r>
          </w:p>
        </w:tc>
      </w:tr>
      <w:tr w:rsidR="002E375F" w14:paraId="23D36763" w14:textId="77777777" w:rsidTr="00D830C2">
        <w:tc>
          <w:tcPr>
            <w:tcW w:w="454" w:type="dxa"/>
            <w:gridSpan w:val="2"/>
            <w:tcBorders>
              <w:top w:val="nil"/>
              <w:left w:val="nil"/>
              <w:bottom w:val="nil"/>
              <w:right w:val="nil"/>
            </w:tcBorders>
            <w:shd w:val="clear" w:color="auto" w:fill="FFFFFF"/>
          </w:tcPr>
          <w:p w14:paraId="5C343F4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D1</w:t>
            </w:r>
          </w:p>
        </w:tc>
        <w:tc>
          <w:tcPr>
            <w:tcW w:w="7768" w:type="dxa"/>
            <w:tcBorders>
              <w:top w:val="nil"/>
              <w:left w:val="nil"/>
              <w:bottom w:val="nil"/>
              <w:right w:val="nil"/>
            </w:tcBorders>
            <w:shd w:val="clear" w:color="auto" w:fill="FFFFFF"/>
            <w:vAlign w:val="bottom"/>
          </w:tcPr>
          <w:p w14:paraId="5B6CE34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Financial Risk Disclosures</w:t>
            </w:r>
          </w:p>
        </w:tc>
        <w:tc>
          <w:tcPr>
            <w:tcW w:w="812" w:type="dxa"/>
            <w:tcBorders>
              <w:top w:val="nil"/>
              <w:left w:val="nil"/>
              <w:bottom w:val="nil"/>
              <w:right w:val="nil"/>
            </w:tcBorders>
            <w:shd w:val="clear" w:color="auto" w:fill="FFFFFF"/>
          </w:tcPr>
          <w:p w14:paraId="7B5916FA"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35</w:t>
            </w:r>
          </w:p>
        </w:tc>
      </w:tr>
      <w:tr w:rsidR="002E375F" w14:paraId="74BF8406" w14:textId="77777777" w:rsidTr="00D830C2">
        <w:tc>
          <w:tcPr>
            <w:tcW w:w="454" w:type="dxa"/>
            <w:gridSpan w:val="2"/>
            <w:tcBorders>
              <w:top w:val="nil"/>
              <w:left w:val="nil"/>
              <w:bottom w:val="nil"/>
              <w:right w:val="nil"/>
            </w:tcBorders>
            <w:shd w:val="clear" w:color="auto" w:fill="FFFFFF"/>
          </w:tcPr>
          <w:p w14:paraId="0032107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D2</w:t>
            </w:r>
          </w:p>
        </w:tc>
        <w:tc>
          <w:tcPr>
            <w:tcW w:w="7768" w:type="dxa"/>
            <w:tcBorders>
              <w:top w:val="nil"/>
              <w:left w:val="nil"/>
              <w:bottom w:val="nil"/>
              <w:right w:val="nil"/>
            </w:tcBorders>
            <w:shd w:val="clear" w:color="auto" w:fill="FFFFFF"/>
            <w:vAlign w:val="bottom"/>
          </w:tcPr>
          <w:p w14:paraId="1BAE745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Contingencies</w:t>
            </w:r>
          </w:p>
        </w:tc>
        <w:tc>
          <w:tcPr>
            <w:tcW w:w="812" w:type="dxa"/>
            <w:tcBorders>
              <w:top w:val="nil"/>
              <w:left w:val="nil"/>
              <w:bottom w:val="nil"/>
              <w:right w:val="nil"/>
            </w:tcBorders>
            <w:shd w:val="clear" w:color="auto" w:fill="FFFFFF"/>
          </w:tcPr>
          <w:p w14:paraId="0EB299B6"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36</w:t>
            </w:r>
          </w:p>
        </w:tc>
      </w:tr>
      <w:tr w:rsidR="002E375F" w14:paraId="29C98B87" w14:textId="77777777" w:rsidTr="00D830C2">
        <w:tc>
          <w:tcPr>
            <w:tcW w:w="454" w:type="dxa"/>
            <w:gridSpan w:val="2"/>
            <w:tcBorders>
              <w:top w:val="nil"/>
              <w:left w:val="nil"/>
              <w:bottom w:val="nil"/>
              <w:right w:val="nil"/>
            </w:tcBorders>
            <w:shd w:val="clear" w:color="auto" w:fill="FFFFFF"/>
          </w:tcPr>
          <w:p w14:paraId="7238E11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D3</w:t>
            </w:r>
          </w:p>
        </w:tc>
        <w:tc>
          <w:tcPr>
            <w:tcW w:w="7768" w:type="dxa"/>
            <w:tcBorders>
              <w:top w:val="nil"/>
              <w:left w:val="nil"/>
              <w:bottom w:val="nil"/>
              <w:right w:val="nil"/>
            </w:tcBorders>
            <w:shd w:val="clear" w:color="auto" w:fill="FFFFFF"/>
            <w:vAlign w:val="bottom"/>
          </w:tcPr>
          <w:p w14:paraId="0B2167B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Commitments</w:t>
            </w:r>
          </w:p>
        </w:tc>
        <w:tc>
          <w:tcPr>
            <w:tcW w:w="812" w:type="dxa"/>
            <w:tcBorders>
              <w:top w:val="nil"/>
              <w:left w:val="nil"/>
              <w:bottom w:val="nil"/>
              <w:right w:val="nil"/>
            </w:tcBorders>
            <w:shd w:val="clear" w:color="auto" w:fill="FFFFFF"/>
          </w:tcPr>
          <w:p w14:paraId="1B9477ED"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36</w:t>
            </w:r>
          </w:p>
        </w:tc>
      </w:tr>
      <w:tr w:rsidR="002E375F" w14:paraId="4DFC2396" w14:textId="77777777" w:rsidTr="00D830C2">
        <w:tc>
          <w:tcPr>
            <w:tcW w:w="454" w:type="dxa"/>
            <w:gridSpan w:val="2"/>
            <w:tcBorders>
              <w:top w:val="nil"/>
              <w:left w:val="nil"/>
              <w:bottom w:val="nil"/>
              <w:right w:val="nil"/>
            </w:tcBorders>
            <w:shd w:val="clear" w:color="auto" w:fill="FFFFFF"/>
          </w:tcPr>
          <w:p w14:paraId="33FA780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D4</w:t>
            </w:r>
          </w:p>
        </w:tc>
        <w:tc>
          <w:tcPr>
            <w:tcW w:w="7768" w:type="dxa"/>
            <w:tcBorders>
              <w:top w:val="nil"/>
              <w:left w:val="nil"/>
              <w:bottom w:val="nil"/>
              <w:right w:val="nil"/>
            </w:tcBorders>
            <w:shd w:val="clear" w:color="auto" w:fill="FFFFFF"/>
            <w:vAlign w:val="bottom"/>
          </w:tcPr>
          <w:p w14:paraId="2ADAC6E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Current and Future Year Impacts of Accounting Standards Changes</w:t>
            </w:r>
          </w:p>
        </w:tc>
        <w:tc>
          <w:tcPr>
            <w:tcW w:w="812" w:type="dxa"/>
            <w:tcBorders>
              <w:top w:val="nil"/>
              <w:left w:val="nil"/>
              <w:bottom w:val="nil"/>
              <w:right w:val="nil"/>
            </w:tcBorders>
            <w:shd w:val="clear" w:color="auto" w:fill="FFFFFF"/>
          </w:tcPr>
          <w:p w14:paraId="260CA3FF"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38</w:t>
            </w:r>
          </w:p>
        </w:tc>
      </w:tr>
      <w:tr w:rsidR="002E375F" w14:paraId="0159C58E" w14:textId="77777777" w:rsidTr="00D830C2">
        <w:tc>
          <w:tcPr>
            <w:tcW w:w="454" w:type="dxa"/>
            <w:gridSpan w:val="2"/>
            <w:tcBorders>
              <w:top w:val="nil"/>
              <w:left w:val="nil"/>
              <w:bottom w:val="nil"/>
              <w:right w:val="nil"/>
            </w:tcBorders>
            <w:shd w:val="clear" w:color="auto" w:fill="FFFFFF"/>
          </w:tcPr>
          <w:p w14:paraId="5CEE02F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E1</w:t>
            </w:r>
          </w:p>
        </w:tc>
        <w:tc>
          <w:tcPr>
            <w:tcW w:w="7768" w:type="dxa"/>
            <w:tcBorders>
              <w:top w:val="nil"/>
              <w:left w:val="nil"/>
              <w:bottom w:val="nil"/>
              <w:right w:val="nil"/>
            </w:tcBorders>
            <w:shd w:val="clear" w:color="auto" w:fill="FFFFFF"/>
            <w:vAlign w:val="bottom"/>
          </w:tcPr>
          <w:p w14:paraId="31F39C0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Budgetary Reporting Disclosures</w:t>
            </w:r>
          </w:p>
        </w:tc>
        <w:tc>
          <w:tcPr>
            <w:tcW w:w="812" w:type="dxa"/>
            <w:tcBorders>
              <w:top w:val="nil"/>
              <w:left w:val="nil"/>
              <w:bottom w:val="nil"/>
              <w:right w:val="nil"/>
            </w:tcBorders>
            <w:shd w:val="clear" w:color="auto" w:fill="FFFFFF"/>
          </w:tcPr>
          <w:p w14:paraId="69B5DFDB"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43</w:t>
            </w:r>
          </w:p>
        </w:tc>
      </w:tr>
      <w:tr w:rsidR="002E375F" w14:paraId="61555B13" w14:textId="77777777" w:rsidTr="00D830C2">
        <w:tc>
          <w:tcPr>
            <w:tcW w:w="454" w:type="dxa"/>
            <w:gridSpan w:val="2"/>
            <w:tcBorders>
              <w:top w:val="nil"/>
              <w:left w:val="nil"/>
              <w:bottom w:val="nil"/>
              <w:right w:val="nil"/>
            </w:tcBorders>
            <w:shd w:val="clear" w:color="auto" w:fill="FFFFFF"/>
          </w:tcPr>
          <w:p w14:paraId="6BFC88C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F1</w:t>
            </w:r>
          </w:p>
        </w:tc>
        <w:tc>
          <w:tcPr>
            <w:tcW w:w="7768" w:type="dxa"/>
            <w:tcBorders>
              <w:top w:val="nil"/>
              <w:left w:val="nil"/>
              <w:bottom w:val="nil"/>
              <w:right w:val="nil"/>
            </w:tcBorders>
            <w:shd w:val="clear" w:color="auto" w:fill="FFFFFF"/>
            <w:vAlign w:val="bottom"/>
          </w:tcPr>
          <w:p w14:paraId="5217992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Key Management Personnel Disclosures</w:t>
            </w:r>
          </w:p>
        </w:tc>
        <w:tc>
          <w:tcPr>
            <w:tcW w:w="812" w:type="dxa"/>
            <w:tcBorders>
              <w:top w:val="nil"/>
              <w:left w:val="nil"/>
              <w:bottom w:val="nil"/>
              <w:right w:val="nil"/>
            </w:tcBorders>
            <w:shd w:val="clear" w:color="auto" w:fill="FFFFFF"/>
          </w:tcPr>
          <w:p w14:paraId="6E5C2DC9"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49</w:t>
            </w:r>
          </w:p>
        </w:tc>
      </w:tr>
      <w:tr w:rsidR="002E375F" w14:paraId="6A4BC219" w14:textId="77777777" w:rsidTr="00D830C2">
        <w:tc>
          <w:tcPr>
            <w:tcW w:w="454" w:type="dxa"/>
            <w:gridSpan w:val="2"/>
            <w:tcBorders>
              <w:top w:val="nil"/>
              <w:left w:val="nil"/>
              <w:bottom w:val="nil"/>
              <w:right w:val="nil"/>
            </w:tcBorders>
            <w:shd w:val="clear" w:color="auto" w:fill="FFFFFF"/>
          </w:tcPr>
          <w:p w14:paraId="2293C6D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F2</w:t>
            </w:r>
          </w:p>
        </w:tc>
        <w:tc>
          <w:tcPr>
            <w:tcW w:w="7768" w:type="dxa"/>
            <w:tcBorders>
              <w:top w:val="nil"/>
              <w:left w:val="nil"/>
              <w:bottom w:val="nil"/>
              <w:right w:val="nil"/>
            </w:tcBorders>
            <w:shd w:val="clear" w:color="auto" w:fill="FFFFFF"/>
            <w:vAlign w:val="bottom"/>
          </w:tcPr>
          <w:p w14:paraId="1A3FDEE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Related Party Transactions</w:t>
            </w:r>
          </w:p>
        </w:tc>
        <w:tc>
          <w:tcPr>
            <w:tcW w:w="812" w:type="dxa"/>
            <w:tcBorders>
              <w:top w:val="nil"/>
              <w:left w:val="nil"/>
              <w:bottom w:val="nil"/>
              <w:right w:val="nil"/>
            </w:tcBorders>
            <w:shd w:val="clear" w:color="auto" w:fill="FFFFFF"/>
          </w:tcPr>
          <w:p w14:paraId="1F57119F"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51</w:t>
            </w:r>
          </w:p>
        </w:tc>
      </w:tr>
      <w:tr w:rsidR="002E375F" w14:paraId="06086282" w14:textId="77777777" w:rsidTr="00D830C2">
        <w:tc>
          <w:tcPr>
            <w:tcW w:w="454" w:type="dxa"/>
            <w:gridSpan w:val="2"/>
            <w:tcBorders>
              <w:top w:val="nil"/>
              <w:left w:val="nil"/>
              <w:bottom w:val="nil"/>
              <w:right w:val="nil"/>
            </w:tcBorders>
            <w:shd w:val="clear" w:color="auto" w:fill="FFFFFF"/>
          </w:tcPr>
          <w:p w14:paraId="776221E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F3</w:t>
            </w:r>
          </w:p>
        </w:tc>
        <w:tc>
          <w:tcPr>
            <w:tcW w:w="7768" w:type="dxa"/>
            <w:tcBorders>
              <w:top w:val="nil"/>
              <w:left w:val="nil"/>
              <w:bottom w:val="nil"/>
              <w:right w:val="nil"/>
            </w:tcBorders>
            <w:shd w:val="clear" w:color="auto" w:fill="FFFFFF"/>
            <w:vAlign w:val="bottom"/>
          </w:tcPr>
          <w:p w14:paraId="0ABB9F8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Climate Risk Disclosures</w:t>
            </w:r>
          </w:p>
        </w:tc>
        <w:tc>
          <w:tcPr>
            <w:tcW w:w="812" w:type="dxa"/>
            <w:tcBorders>
              <w:top w:val="nil"/>
              <w:left w:val="nil"/>
              <w:bottom w:val="nil"/>
              <w:right w:val="nil"/>
            </w:tcBorders>
            <w:shd w:val="clear" w:color="auto" w:fill="FFFFFF"/>
          </w:tcPr>
          <w:p w14:paraId="5AE45E74"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52</w:t>
            </w:r>
          </w:p>
        </w:tc>
      </w:tr>
      <w:tr w:rsidR="002E375F" w14:paraId="5FDE2D32" w14:textId="77777777" w:rsidTr="00D830C2">
        <w:tc>
          <w:tcPr>
            <w:tcW w:w="454" w:type="dxa"/>
            <w:gridSpan w:val="2"/>
            <w:tcBorders>
              <w:top w:val="nil"/>
              <w:left w:val="nil"/>
              <w:bottom w:val="nil"/>
              <w:right w:val="nil"/>
            </w:tcBorders>
            <w:shd w:val="clear" w:color="auto" w:fill="FFFFFF"/>
          </w:tcPr>
          <w:p w14:paraId="0AB7CAF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F4</w:t>
            </w:r>
          </w:p>
        </w:tc>
        <w:tc>
          <w:tcPr>
            <w:tcW w:w="7768" w:type="dxa"/>
            <w:tcBorders>
              <w:top w:val="nil"/>
              <w:left w:val="nil"/>
              <w:bottom w:val="nil"/>
              <w:right w:val="nil"/>
            </w:tcBorders>
            <w:shd w:val="clear" w:color="auto" w:fill="FFFFFF"/>
            <w:vAlign w:val="bottom"/>
          </w:tcPr>
          <w:p w14:paraId="47F1AF2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Impact of COVID-19 pandemic</w:t>
            </w:r>
          </w:p>
        </w:tc>
        <w:tc>
          <w:tcPr>
            <w:tcW w:w="812" w:type="dxa"/>
            <w:tcBorders>
              <w:top w:val="nil"/>
              <w:left w:val="nil"/>
              <w:bottom w:val="nil"/>
              <w:right w:val="nil"/>
            </w:tcBorders>
            <w:shd w:val="clear" w:color="auto" w:fill="FFFFFF"/>
          </w:tcPr>
          <w:p w14:paraId="1DDA6EED"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52</w:t>
            </w:r>
          </w:p>
        </w:tc>
      </w:tr>
      <w:tr w:rsidR="002E375F" w14:paraId="2CCA6675" w14:textId="77777777" w:rsidTr="00D830C2">
        <w:tc>
          <w:tcPr>
            <w:tcW w:w="8222" w:type="dxa"/>
            <w:gridSpan w:val="3"/>
            <w:tcBorders>
              <w:top w:val="nil"/>
              <w:left w:val="nil"/>
              <w:bottom w:val="nil"/>
              <w:right w:val="nil"/>
            </w:tcBorders>
            <w:shd w:val="clear" w:color="auto" w:fill="FFFFFF"/>
          </w:tcPr>
          <w:p w14:paraId="6978D2B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What We Look After On Behalf of Whole-of-Government</w:t>
            </w:r>
          </w:p>
        </w:tc>
        <w:tc>
          <w:tcPr>
            <w:tcW w:w="812" w:type="dxa"/>
            <w:tcBorders>
              <w:top w:val="nil"/>
              <w:left w:val="nil"/>
              <w:bottom w:val="nil"/>
              <w:right w:val="nil"/>
            </w:tcBorders>
            <w:shd w:val="clear" w:color="auto" w:fill="FFFFFF"/>
          </w:tcPr>
          <w:p w14:paraId="5B38CAD6"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52</w:t>
            </w:r>
          </w:p>
        </w:tc>
      </w:tr>
      <w:tr w:rsidR="002E375F" w14:paraId="246EC6B9" w14:textId="77777777" w:rsidTr="00D830C2">
        <w:tc>
          <w:tcPr>
            <w:tcW w:w="454" w:type="dxa"/>
            <w:gridSpan w:val="2"/>
            <w:tcBorders>
              <w:top w:val="nil"/>
              <w:left w:val="nil"/>
              <w:bottom w:val="nil"/>
              <w:right w:val="nil"/>
            </w:tcBorders>
            <w:shd w:val="clear" w:color="auto" w:fill="FFFFFF"/>
          </w:tcPr>
          <w:p w14:paraId="6BC973D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G1</w:t>
            </w:r>
          </w:p>
        </w:tc>
        <w:tc>
          <w:tcPr>
            <w:tcW w:w="7768" w:type="dxa"/>
            <w:tcBorders>
              <w:top w:val="nil"/>
              <w:left w:val="nil"/>
              <w:bottom w:val="nil"/>
              <w:right w:val="nil"/>
            </w:tcBorders>
            <w:shd w:val="clear" w:color="auto" w:fill="FFFFFF"/>
            <w:vAlign w:val="bottom"/>
          </w:tcPr>
          <w:p w14:paraId="2A6ECB9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Administered</w:t>
            </w:r>
          </w:p>
        </w:tc>
        <w:tc>
          <w:tcPr>
            <w:tcW w:w="812" w:type="dxa"/>
            <w:tcBorders>
              <w:top w:val="nil"/>
              <w:left w:val="nil"/>
              <w:bottom w:val="nil"/>
              <w:right w:val="nil"/>
            </w:tcBorders>
            <w:shd w:val="clear" w:color="auto" w:fill="FFFFFF"/>
          </w:tcPr>
          <w:p w14:paraId="77842AE7" w14:textId="77777777" w:rsidR="002E375F" w:rsidRDefault="00EB2569" w:rsidP="00B55A2A">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53</w:t>
            </w:r>
          </w:p>
        </w:tc>
      </w:tr>
      <w:tr w:rsidR="00B843A8" w:rsidRPr="00B843A8" w14:paraId="7AEE9F77" w14:textId="77777777" w:rsidTr="00862FE1">
        <w:tc>
          <w:tcPr>
            <w:tcW w:w="8222" w:type="dxa"/>
            <w:gridSpan w:val="3"/>
            <w:tcBorders>
              <w:top w:val="nil"/>
              <w:left w:val="nil"/>
              <w:bottom w:val="nil"/>
              <w:right w:val="nil"/>
            </w:tcBorders>
            <w:shd w:val="clear" w:color="auto" w:fill="FFFFFF"/>
          </w:tcPr>
          <w:p w14:paraId="48CA62C6" w14:textId="77777777" w:rsidR="00B843A8" w:rsidRPr="00862FE1" w:rsidRDefault="00B843A8">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Certification</w:t>
            </w:r>
          </w:p>
        </w:tc>
        <w:tc>
          <w:tcPr>
            <w:tcW w:w="811" w:type="dxa"/>
            <w:tcBorders>
              <w:top w:val="nil"/>
              <w:left w:val="nil"/>
              <w:bottom w:val="nil"/>
              <w:right w:val="nil"/>
            </w:tcBorders>
            <w:shd w:val="clear" w:color="auto" w:fill="FFFFFF"/>
          </w:tcPr>
          <w:p w14:paraId="173C2F48" w14:textId="77777777" w:rsidR="00B843A8" w:rsidRPr="00862FE1" w:rsidRDefault="00B843A8">
            <w:pPr>
              <w:autoSpaceDE w:val="0"/>
              <w:autoSpaceDN w:val="0"/>
              <w:adjustRightInd w:val="0"/>
              <w:spacing w:after="0" w:line="240" w:lineRule="auto"/>
              <w:rPr>
                <w:rFonts w:ascii="Arial" w:hAnsi="Arial" w:cs="Arial"/>
                <w:b/>
                <w:bCs/>
                <w:sz w:val="18"/>
                <w:szCs w:val="18"/>
              </w:rPr>
            </w:pPr>
          </w:p>
        </w:tc>
      </w:tr>
      <w:tr w:rsidR="002E375F" w:rsidRPr="00B843A8" w14:paraId="2EF02405" w14:textId="77777777" w:rsidTr="00D830C2">
        <w:tc>
          <w:tcPr>
            <w:tcW w:w="57" w:type="dxa"/>
            <w:tcBorders>
              <w:top w:val="nil"/>
              <w:left w:val="nil"/>
              <w:bottom w:val="nil"/>
              <w:right w:val="nil"/>
            </w:tcBorders>
            <w:shd w:val="clear" w:color="auto" w:fill="FFFFFF"/>
          </w:tcPr>
          <w:p w14:paraId="2F688EEB" w14:textId="77777777" w:rsidR="002E375F" w:rsidRPr="00862FE1" w:rsidRDefault="002E375F">
            <w:pPr>
              <w:autoSpaceDE w:val="0"/>
              <w:autoSpaceDN w:val="0"/>
              <w:adjustRightInd w:val="0"/>
              <w:spacing w:after="0" w:line="240" w:lineRule="auto"/>
              <w:rPr>
                <w:rFonts w:ascii="Arial" w:hAnsi="Arial" w:cs="Arial"/>
                <w:sz w:val="18"/>
                <w:szCs w:val="18"/>
              </w:rPr>
            </w:pPr>
          </w:p>
        </w:tc>
        <w:tc>
          <w:tcPr>
            <w:tcW w:w="8165" w:type="dxa"/>
            <w:gridSpan w:val="2"/>
            <w:tcBorders>
              <w:top w:val="nil"/>
              <w:left w:val="nil"/>
              <w:bottom w:val="nil"/>
              <w:right w:val="nil"/>
            </w:tcBorders>
            <w:shd w:val="clear" w:color="auto" w:fill="FFFFFF"/>
            <w:vAlign w:val="bottom"/>
          </w:tcPr>
          <w:p w14:paraId="593F9C6B" w14:textId="77777777" w:rsidR="002E375F" w:rsidRPr="00862FE1" w:rsidRDefault="00EB2569">
            <w:pPr>
              <w:autoSpaceDE w:val="0"/>
              <w:autoSpaceDN w:val="0"/>
              <w:adjustRightInd w:val="0"/>
              <w:spacing w:after="0" w:line="240" w:lineRule="auto"/>
              <w:rPr>
                <w:rFonts w:ascii="Arial" w:hAnsi="Arial" w:cs="Arial"/>
                <w:sz w:val="18"/>
                <w:szCs w:val="18"/>
              </w:rPr>
            </w:pPr>
            <w:r>
              <w:rPr>
                <w:rFonts w:ascii="Arial" w:hAnsi="Arial" w:cs="Arial"/>
                <w:sz w:val="18"/>
                <w:szCs w:val="18"/>
              </w:rPr>
              <w:t>Management Certificate</w:t>
            </w:r>
          </w:p>
        </w:tc>
        <w:tc>
          <w:tcPr>
            <w:tcW w:w="812" w:type="dxa"/>
            <w:tcBorders>
              <w:top w:val="nil"/>
              <w:left w:val="nil"/>
              <w:bottom w:val="nil"/>
              <w:right w:val="nil"/>
            </w:tcBorders>
            <w:shd w:val="clear" w:color="auto" w:fill="FFFFFF"/>
          </w:tcPr>
          <w:p w14:paraId="7860A6E9" w14:textId="77777777" w:rsidR="002E375F" w:rsidRPr="00862FE1" w:rsidRDefault="00EB2569" w:rsidP="005A3B27">
            <w:pPr>
              <w:autoSpaceDE w:val="0"/>
              <w:autoSpaceDN w:val="0"/>
              <w:adjustRightInd w:val="0"/>
              <w:spacing w:after="0" w:line="240" w:lineRule="auto"/>
              <w:jc w:val="right"/>
              <w:rPr>
                <w:rFonts w:ascii="Arial" w:hAnsi="Arial" w:cs="Arial"/>
                <w:sz w:val="18"/>
                <w:szCs w:val="18"/>
              </w:rPr>
            </w:pPr>
            <w:r>
              <w:rPr>
                <w:rFonts w:ascii="Arial" w:hAnsi="Arial" w:cs="Arial"/>
                <w:sz w:val="18"/>
                <w:szCs w:val="18"/>
              </w:rPr>
              <w:t>57</w:t>
            </w:r>
          </w:p>
        </w:tc>
      </w:tr>
    </w:tbl>
    <w:p w14:paraId="4DA29288"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footerReference w:type="default" r:id="rId9"/>
          <w:pgSz w:w="11909" w:h="16834"/>
          <w:pgMar w:top="1440" w:right="1440" w:bottom="1440" w:left="1440" w:header="720" w:footer="720" w:gutter="0"/>
          <w:pgNumType w:start="1"/>
          <w:cols w:space="720"/>
          <w:noEndnote/>
        </w:sectPr>
      </w:pPr>
    </w:p>
    <w:p w14:paraId="70DC4684" w14:textId="77777777" w:rsidR="002E375F" w:rsidRPr="00F45CE1" w:rsidRDefault="00EB2569" w:rsidP="00F45CE1">
      <w:pPr>
        <w:pStyle w:val="Heading2"/>
        <w:spacing w:before="0"/>
      </w:pPr>
      <w:r w:rsidRPr="00F45CE1">
        <w:lastRenderedPageBreak/>
        <w:t>Department of Communities, Disability Services and Seniors</w:t>
      </w:r>
    </w:p>
    <w:p w14:paraId="4D8A315C" w14:textId="77777777" w:rsidR="00215788" w:rsidRPr="00F45CE1" w:rsidRDefault="00EB2569" w:rsidP="00F45CE1">
      <w:pPr>
        <w:pStyle w:val="Heading2"/>
        <w:spacing w:before="0"/>
      </w:pPr>
      <w:r w:rsidRPr="00F45CE1">
        <w:t xml:space="preserve">Income Statement </w:t>
      </w:r>
      <w:r w:rsidR="00215788" w:rsidRPr="00F45CE1">
        <w:t>–</w:t>
      </w:r>
      <w:r w:rsidRPr="00F45CE1">
        <w:t xml:space="preserve"> Controlled</w:t>
      </w:r>
    </w:p>
    <w:p w14:paraId="4994768E" w14:textId="77777777" w:rsidR="002E375F" w:rsidRPr="00F45CE1" w:rsidRDefault="00EB2569" w:rsidP="00F45CE1">
      <w:pPr>
        <w:pStyle w:val="Heading2"/>
        <w:spacing w:before="0"/>
      </w:pPr>
      <w:r w:rsidRPr="00F45CE1">
        <w:t>for the year ended 30 June 2020</w:t>
      </w:r>
    </w:p>
    <w:p w14:paraId="5F950126" w14:textId="77777777" w:rsidR="002E375F" w:rsidRDefault="002E375F">
      <w:pPr>
        <w:autoSpaceDE w:val="0"/>
        <w:autoSpaceDN w:val="0"/>
        <w:adjustRightInd w:val="0"/>
        <w:spacing w:after="0" w:line="240" w:lineRule="auto"/>
        <w:rPr>
          <w:rFonts w:ascii="Times New Roman" w:hAnsi="Times New Roman" w:cs="Times New Roman"/>
          <w:sz w:val="24"/>
          <w:szCs w:val="24"/>
        </w:rPr>
      </w:pPr>
    </w:p>
    <w:tbl>
      <w:tblPr>
        <w:tblW w:w="9033" w:type="dxa"/>
        <w:tblLayout w:type="fixed"/>
        <w:tblCellMar>
          <w:left w:w="0" w:type="dxa"/>
          <w:right w:w="0" w:type="dxa"/>
        </w:tblCellMar>
        <w:tblLook w:val="0000" w:firstRow="0" w:lastRow="0" w:firstColumn="0" w:lastColumn="0" w:noHBand="0" w:noVBand="0"/>
      </w:tblPr>
      <w:tblGrid>
        <w:gridCol w:w="340"/>
        <w:gridCol w:w="3815"/>
        <w:gridCol w:w="1021"/>
        <w:gridCol w:w="964"/>
        <w:gridCol w:w="964"/>
        <w:gridCol w:w="964"/>
        <w:gridCol w:w="965"/>
      </w:tblGrid>
      <w:tr w:rsidR="002E375F" w14:paraId="19309DC9" w14:textId="77777777" w:rsidTr="00B55A2A">
        <w:tc>
          <w:tcPr>
            <w:tcW w:w="4155" w:type="dxa"/>
            <w:gridSpan w:val="2"/>
            <w:tcBorders>
              <w:top w:val="nil"/>
              <w:left w:val="nil"/>
              <w:bottom w:val="nil"/>
              <w:right w:val="nil"/>
            </w:tcBorders>
            <w:shd w:val="clear" w:color="auto" w:fill="FFFFFF"/>
            <w:vAlign w:val="bottom"/>
          </w:tcPr>
          <w:p w14:paraId="7259E74B" w14:textId="77777777" w:rsidR="002E375F" w:rsidRDefault="002E375F" w:rsidP="001C442D">
            <w:pPr>
              <w:pStyle w:val="Heading2"/>
            </w:pPr>
          </w:p>
        </w:tc>
        <w:tc>
          <w:tcPr>
            <w:tcW w:w="1021" w:type="dxa"/>
            <w:tcBorders>
              <w:top w:val="nil"/>
              <w:left w:val="nil"/>
              <w:bottom w:val="nil"/>
              <w:right w:val="nil"/>
            </w:tcBorders>
            <w:shd w:val="clear" w:color="auto" w:fill="FFFFFF"/>
            <w:vAlign w:val="bottom"/>
          </w:tcPr>
          <w:p w14:paraId="7E0B15F0" w14:textId="77777777" w:rsidR="002E375F" w:rsidRDefault="00EB2569" w:rsidP="001C442D">
            <w:pPr>
              <w:pStyle w:val="Heading2"/>
            </w:pPr>
            <w:r>
              <w:rPr>
                <w:rFonts w:ascii="Arial" w:hAnsi="Arial" w:cs="Arial"/>
                <w:b/>
                <w:bCs/>
                <w:sz w:val="18"/>
                <w:szCs w:val="18"/>
              </w:rPr>
              <w:t>Note</w:t>
            </w:r>
          </w:p>
        </w:tc>
        <w:tc>
          <w:tcPr>
            <w:tcW w:w="964" w:type="dxa"/>
            <w:tcBorders>
              <w:top w:val="nil"/>
              <w:left w:val="nil"/>
              <w:bottom w:val="nil"/>
              <w:right w:val="nil"/>
            </w:tcBorders>
            <w:shd w:val="clear" w:color="auto" w:fill="FFFFFF"/>
            <w:vAlign w:val="bottom"/>
          </w:tcPr>
          <w:p w14:paraId="0A559565" w14:textId="77777777" w:rsidR="002E375F" w:rsidRDefault="00EB2569" w:rsidP="00862FE1">
            <w:pPr>
              <w:pStyle w:val="Heading2"/>
              <w:jc w:val="right"/>
            </w:pPr>
            <w:r>
              <w:rPr>
                <w:rFonts w:ascii="Arial" w:hAnsi="Arial" w:cs="Arial"/>
                <w:b/>
                <w:bCs/>
                <w:sz w:val="18"/>
                <w:szCs w:val="18"/>
              </w:rPr>
              <w:t>Actual</w:t>
            </w:r>
            <w:r>
              <w:rPr>
                <w:rFonts w:ascii="Arial" w:hAnsi="Arial" w:cs="Arial"/>
                <w:b/>
                <w:bCs/>
                <w:sz w:val="18"/>
                <w:szCs w:val="18"/>
              </w:rPr>
              <w:b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10510B40" w14:textId="77777777" w:rsidR="002E375F" w:rsidRDefault="00EB2569" w:rsidP="00862FE1">
            <w:pPr>
              <w:pStyle w:val="Heading2"/>
              <w:jc w:val="right"/>
            </w:pPr>
            <w:r>
              <w:rPr>
                <w:rFonts w:ascii="Arial" w:hAnsi="Arial" w:cs="Arial"/>
                <w:b/>
                <w:bCs/>
                <w:sz w:val="18"/>
                <w:szCs w:val="18"/>
              </w:rPr>
              <w:t>Original Budget^</w:t>
            </w:r>
            <w:r>
              <w:rPr>
                <w:rFonts w:ascii="Arial" w:hAnsi="Arial" w:cs="Arial"/>
                <w:sz w:val="18"/>
                <w:szCs w:val="18"/>
              </w:rPr>
              <w:br/>
              <w:t>2020</w:t>
            </w:r>
            <w:r>
              <w:rPr>
                <w:rFonts w:ascii="Arial" w:hAnsi="Arial" w:cs="Arial"/>
                <w:sz w:val="18"/>
                <w:szCs w:val="18"/>
              </w:rPr>
              <w:br/>
              <w:t>$'000</w:t>
            </w:r>
          </w:p>
        </w:tc>
        <w:tc>
          <w:tcPr>
            <w:tcW w:w="964" w:type="dxa"/>
            <w:tcBorders>
              <w:top w:val="nil"/>
              <w:left w:val="nil"/>
              <w:bottom w:val="nil"/>
              <w:right w:val="nil"/>
            </w:tcBorders>
            <w:shd w:val="clear" w:color="auto" w:fill="FFFFFF"/>
            <w:vAlign w:val="bottom"/>
          </w:tcPr>
          <w:p w14:paraId="10295BA3" w14:textId="77777777" w:rsidR="002E375F" w:rsidRDefault="00EB2569" w:rsidP="00862FE1">
            <w:pPr>
              <w:pStyle w:val="Heading2"/>
              <w:jc w:val="right"/>
            </w:pPr>
            <w:r>
              <w:rPr>
                <w:rFonts w:ascii="Arial" w:hAnsi="Arial" w:cs="Arial"/>
                <w:b/>
                <w:bCs/>
                <w:sz w:val="18"/>
                <w:szCs w:val="18"/>
              </w:rPr>
              <w:t>Budget Variance*</w:t>
            </w:r>
            <w:r>
              <w:rPr>
                <w:rFonts w:ascii="Arial" w:hAnsi="Arial" w:cs="Arial"/>
                <w:sz w:val="18"/>
                <w:szCs w:val="18"/>
              </w:rPr>
              <w:br/>
              <w:t>2020</w:t>
            </w:r>
            <w:r>
              <w:rPr>
                <w:rFonts w:ascii="Arial" w:hAnsi="Arial" w:cs="Arial"/>
                <w:sz w:val="18"/>
                <w:szCs w:val="18"/>
              </w:rPr>
              <w:br/>
              <w:t>$'000</w:t>
            </w:r>
          </w:p>
        </w:tc>
        <w:tc>
          <w:tcPr>
            <w:tcW w:w="965" w:type="dxa"/>
            <w:tcBorders>
              <w:top w:val="nil"/>
              <w:left w:val="nil"/>
              <w:bottom w:val="nil"/>
              <w:right w:val="nil"/>
            </w:tcBorders>
            <w:shd w:val="clear" w:color="auto" w:fill="FFFFFF"/>
            <w:vAlign w:val="bottom"/>
          </w:tcPr>
          <w:p w14:paraId="1DAD3756" w14:textId="77777777" w:rsidR="002E375F" w:rsidRDefault="00EB2569" w:rsidP="00862FE1">
            <w:pPr>
              <w:pStyle w:val="Heading2"/>
              <w:jc w:val="right"/>
            </w:pPr>
            <w:r>
              <w:rPr>
                <w:rFonts w:ascii="Arial" w:hAnsi="Arial" w:cs="Arial"/>
                <w:b/>
                <w:bCs/>
                <w:sz w:val="18"/>
                <w:szCs w:val="18"/>
              </w:rPr>
              <w:t>Actual</w:t>
            </w:r>
            <w:r>
              <w:rPr>
                <w:rFonts w:ascii="Arial" w:hAnsi="Arial" w:cs="Arial"/>
                <w:sz w:val="18"/>
                <w:szCs w:val="18"/>
              </w:rPr>
              <w:br/>
              <w:t>2019</w:t>
            </w:r>
            <w:r>
              <w:rPr>
                <w:rFonts w:ascii="Arial" w:hAnsi="Arial" w:cs="Arial"/>
                <w:sz w:val="18"/>
                <w:szCs w:val="18"/>
              </w:rPr>
              <w:br/>
              <w:t>$'000</w:t>
            </w:r>
          </w:p>
        </w:tc>
      </w:tr>
      <w:tr w:rsidR="002E375F" w14:paraId="7E0158DB" w14:textId="77777777" w:rsidTr="00B55A2A">
        <w:tc>
          <w:tcPr>
            <w:tcW w:w="4155" w:type="dxa"/>
            <w:gridSpan w:val="2"/>
            <w:tcBorders>
              <w:top w:val="nil"/>
              <w:left w:val="nil"/>
              <w:bottom w:val="nil"/>
              <w:right w:val="nil"/>
            </w:tcBorders>
            <w:shd w:val="clear" w:color="auto" w:fill="FFFFFF"/>
            <w:vAlign w:val="bottom"/>
          </w:tcPr>
          <w:p w14:paraId="7921DCB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Income from Continuing Operations</w:t>
            </w:r>
          </w:p>
        </w:tc>
        <w:tc>
          <w:tcPr>
            <w:tcW w:w="1021" w:type="dxa"/>
            <w:tcBorders>
              <w:top w:val="nil"/>
              <w:left w:val="nil"/>
              <w:bottom w:val="nil"/>
              <w:right w:val="nil"/>
            </w:tcBorders>
            <w:shd w:val="clear" w:color="auto" w:fill="FFFFFF"/>
            <w:vAlign w:val="bottom"/>
          </w:tcPr>
          <w:p w14:paraId="231C66BE"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39E44FE"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9C9801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242E412"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5" w:type="dxa"/>
            <w:tcBorders>
              <w:top w:val="nil"/>
              <w:left w:val="nil"/>
              <w:bottom w:val="nil"/>
              <w:right w:val="nil"/>
            </w:tcBorders>
            <w:shd w:val="clear" w:color="auto" w:fill="FFFFFF"/>
            <w:vAlign w:val="bottom"/>
          </w:tcPr>
          <w:p w14:paraId="5B343C7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087CF299" w14:textId="77777777" w:rsidTr="00B55A2A">
        <w:tc>
          <w:tcPr>
            <w:tcW w:w="4155" w:type="dxa"/>
            <w:gridSpan w:val="2"/>
            <w:tcBorders>
              <w:top w:val="nil"/>
              <w:left w:val="nil"/>
              <w:bottom w:val="nil"/>
              <w:right w:val="nil"/>
            </w:tcBorders>
            <w:shd w:val="clear" w:color="auto" w:fill="FFFFFF"/>
            <w:vAlign w:val="bottom"/>
          </w:tcPr>
          <w:p w14:paraId="14BACB6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Appropriation revenue</w:t>
            </w:r>
          </w:p>
        </w:tc>
        <w:tc>
          <w:tcPr>
            <w:tcW w:w="1021" w:type="dxa"/>
            <w:tcBorders>
              <w:top w:val="nil"/>
              <w:left w:val="nil"/>
              <w:bottom w:val="nil"/>
              <w:right w:val="nil"/>
            </w:tcBorders>
            <w:shd w:val="clear" w:color="auto" w:fill="FFFFFF"/>
            <w:vAlign w:val="bottom"/>
          </w:tcPr>
          <w:p w14:paraId="5D1A4CBD"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B1-1</w:t>
            </w:r>
          </w:p>
        </w:tc>
        <w:tc>
          <w:tcPr>
            <w:tcW w:w="964" w:type="dxa"/>
            <w:tcBorders>
              <w:top w:val="nil"/>
              <w:left w:val="nil"/>
              <w:bottom w:val="nil"/>
              <w:right w:val="nil"/>
            </w:tcBorders>
            <w:shd w:val="clear" w:color="auto" w:fill="FFFFFF"/>
            <w:vAlign w:val="bottom"/>
          </w:tcPr>
          <w:p w14:paraId="54FEE77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358,744</w:t>
            </w:r>
          </w:p>
        </w:tc>
        <w:tc>
          <w:tcPr>
            <w:tcW w:w="964" w:type="dxa"/>
            <w:tcBorders>
              <w:top w:val="nil"/>
              <w:left w:val="nil"/>
              <w:bottom w:val="nil"/>
              <w:right w:val="nil"/>
            </w:tcBorders>
            <w:shd w:val="clear" w:color="auto" w:fill="FFFFFF"/>
            <w:vAlign w:val="bottom"/>
          </w:tcPr>
          <w:p w14:paraId="5201D2C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361,571</w:t>
            </w:r>
          </w:p>
        </w:tc>
        <w:tc>
          <w:tcPr>
            <w:tcW w:w="964" w:type="dxa"/>
            <w:tcBorders>
              <w:top w:val="nil"/>
              <w:left w:val="nil"/>
              <w:bottom w:val="nil"/>
              <w:right w:val="nil"/>
            </w:tcBorders>
            <w:shd w:val="clear" w:color="auto" w:fill="FFFFFF"/>
            <w:vAlign w:val="bottom"/>
          </w:tcPr>
          <w:p w14:paraId="2AFF4E3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(2,827)</w:t>
            </w:r>
          </w:p>
        </w:tc>
        <w:tc>
          <w:tcPr>
            <w:tcW w:w="965" w:type="dxa"/>
            <w:tcBorders>
              <w:top w:val="nil"/>
              <w:left w:val="nil"/>
              <w:bottom w:val="nil"/>
              <w:right w:val="nil"/>
            </w:tcBorders>
            <w:shd w:val="clear" w:color="auto" w:fill="FFFFFF"/>
            <w:vAlign w:val="bottom"/>
          </w:tcPr>
          <w:p w14:paraId="1F6889D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978,490</w:t>
            </w:r>
          </w:p>
        </w:tc>
      </w:tr>
      <w:tr w:rsidR="002E375F" w14:paraId="7F1ABDE1" w14:textId="77777777" w:rsidTr="00B55A2A">
        <w:tc>
          <w:tcPr>
            <w:tcW w:w="4155" w:type="dxa"/>
            <w:gridSpan w:val="2"/>
            <w:tcBorders>
              <w:top w:val="nil"/>
              <w:left w:val="nil"/>
              <w:bottom w:val="nil"/>
              <w:right w:val="nil"/>
            </w:tcBorders>
            <w:shd w:val="clear" w:color="auto" w:fill="FFFFFF"/>
            <w:vAlign w:val="bottom"/>
          </w:tcPr>
          <w:p w14:paraId="3C7383D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User charges and fees</w:t>
            </w:r>
          </w:p>
        </w:tc>
        <w:tc>
          <w:tcPr>
            <w:tcW w:w="1021" w:type="dxa"/>
            <w:tcBorders>
              <w:top w:val="nil"/>
              <w:left w:val="nil"/>
              <w:bottom w:val="nil"/>
              <w:right w:val="nil"/>
            </w:tcBorders>
            <w:shd w:val="clear" w:color="auto" w:fill="FFFFFF"/>
            <w:vAlign w:val="bottom"/>
          </w:tcPr>
          <w:p w14:paraId="36969C8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B00192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7,424</w:t>
            </w:r>
          </w:p>
        </w:tc>
        <w:tc>
          <w:tcPr>
            <w:tcW w:w="964" w:type="dxa"/>
            <w:tcBorders>
              <w:top w:val="nil"/>
              <w:left w:val="nil"/>
              <w:bottom w:val="nil"/>
              <w:right w:val="nil"/>
            </w:tcBorders>
            <w:shd w:val="clear" w:color="auto" w:fill="FFFFFF"/>
            <w:vAlign w:val="bottom"/>
          </w:tcPr>
          <w:p w14:paraId="5DD1976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6,957</w:t>
            </w:r>
          </w:p>
        </w:tc>
        <w:tc>
          <w:tcPr>
            <w:tcW w:w="964" w:type="dxa"/>
            <w:tcBorders>
              <w:top w:val="nil"/>
              <w:left w:val="nil"/>
              <w:bottom w:val="nil"/>
              <w:right w:val="nil"/>
            </w:tcBorders>
            <w:shd w:val="clear" w:color="auto" w:fill="FFFFFF"/>
            <w:vAlign w:val="bottom"/>
          </w:tcPr>
          <w:p w14:paraId="4CAB1B8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467</w:t>
            </w:r>
          </w:p>
        </w:tc>
        <w:tc>
          <w:tcPr>
            <w:tcW w:w="965" w:type="dxa"/>
            <w:tcBorders>
              <w:top w:val="nil"/>
              <w:left w:val="nil"/>
              <w:bottom w:val="nil"/>
              <w:right w:val="nil"/>
            </w:tcBorders>
            <w:shd w:val="clear" w:color="auto" w:fill="FFFFFF"/>
            <w:vAlign w:val="bottom"/>
          </w:tcPr>
          <w:p w14:paraId="5B4B9ED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8,259</w:t>
            </w:r>
          </w:p>
        </w:tc>
      </w:tr>
      <w:tr w:rsidR="002E375F" w14:paraId="4748F400" w14:textId="77777777" w:rsidTr="00B55A2A">
        <w:tc>
          <w:tcPr>
            <w:tcW w:w="4155" w:type="dxa"/>
            <w:gridSpan w:val="2"/>
            <w:tcBorders>
              <w:top w:val="nil"/>
              <w:left w:val="nil"/>
              <w:bottom w:val="nil"/>
              <w:right w:val="nil"/>
            </w:tcBorders>
            <w:shd w:val="clear" w:color="auto" w:fill="FFFFFF"/>
            <w:vAlign w:val="bottom"/>
          </w:tcPr>
          <w:p w14:paraId="3FF35E0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Grants and other contributions</w:t>
            </w:r>
          </w:p>
        </w:tc>
        <w:tc>
          <w:tcPr>
            <w:tcW w:w="1021" w:type="dxa"/>
            <w:tcBorders>
              <w:top w:val="nil"/>
              <w:left w:val="nil"/>
              <w:bottom w:val="nil"/>
              <w:right w:val="nil"/>
            </w:tcBorders>
            <w:shd w:val="clear" w:color="auto" w:fill="FFFFFF"/>
            <w:vAlign w:val="bottom"/>
          </w:tcPr>
          <w:p w14:paraId="766AB443"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B1-2</w:t>
            </w:r>
          </w:p>
        </w:tc>
        <w:tc>
          <w:tcPr>
            <w:tcW w:w="964" w:type="dxa"/>
            <w:tcBorders>
              <w:top w:val="nil"/>
              <w:left w:val="nil"/>
              <w:bottom w:val="nil"/>
              <w:right w:val="nil"/>
            </w:tcBorders>
            <w:shd w:val="clear" w:color="auto" w:fill="FFFFFF"/>
            <w:vAlign w:val="bottom"/>
          </w:tcPr>
          <w:p w14:paraId="7692755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14,920</w:t>
            </w:r>
          </w:p>
        </w:tc>
        <w:tc>
          <w:tcPr>
            <w:tcW w:w="964" w:type="dxa"/>
            <w:tcBorders>
              <w:top w:val="nil"/>
              <w:left w:val="nil"/>
              <w:bottom w:val="nil"/>
              <w:right w:val="nil"/>
            </w:tcBorders>
            <w:shd w:val="clear" w:color="auto" w:fill="FFFFFF"/>
            <w:vAlign w:val="bottom"/>
          </w:tcPr>
          <w:p w14:paraId="6BAD308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12,088</w:t>
            </w:r>
          </w:p>
        </w:tc>
        <w:tc>
          <w:tcPr>
            <w:tcW w:w="964" w:type="dxa"/>
            <w:tcBorders>
              <w:top w:val="nil"/>
              <w:left w:val="nil"/>
              <w:bottom w:val="nil"/>
              <w:right w:val="nil"/>
            </w:tcBorders>
            <w:shd w:val="clear" w:color="auto" w:fill="FFFFFF"/>
            <w:vAlign w:val="bottom"/>
          </w:tcPr>
          <w:p w14:paraId="6E2C5AE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2,832</w:t>
            </w:r>
          </w:p>
        </w:tc>
        <w:tc>
          <w:tcPr>
            <w:tcW w:w="965" w:type="dxa"/>
            <w:tcBorders>
              <w:top w:val="nil"/>
              <w:left w:val="nil"/>
              <w:bottom w:val="nil"/>
              <w:right w:val="nil"/>
            </w:tcBorders>
            <w:shd w:val="clear" w:color="auto" w:fill="FFFFFF"/>
            <w:vAlign w:val="bottom"/>
          </w:tcPr>
          <w:p w14:paraId="36A7327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30,377</w:t>
            </w:r>
          </w:p>
        </w:tc>
      </w:tr>
      <w:tr w:rsidR="002E375F" w14:paraId="71082785" w14:textId="77777777" w:rsidTr="00B55A2A">
        <w:tc>
          <w:tcPr>
            <w:tcW w:w="4155" w:type="dxa"/>
            <w:gridSpan w:val="2"/>
            <w:tcBorders>
              <w:top w:val="nil"/>
              <w:left w:val="nil"/>
              <w:bottom w:val="nil"/>
              <w:right w:val="nil"/>
            </w:tcBorders>
            <w:shd w:val="clear" w:color="auto" w:fill="FFFFFF"/>
            <w:vAlign w:val="bottom"/>
          </w:tcPr>
          <w:p w14:paraId="54C570E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Interest</w:t>
            </w:r>
          </w:p>
        </w:tc>
        <w:tc>
          <w:tcPr>
            <w:tcW w:w="1021" w:type="dxa"/>
            <w:tcBorders>
              <w:top w:val="nil"/>
              <w:left w:val="nil"/>
              <w:bottom w:val="nil"/>
              <w:right w:val="nil"/>
            </w:tcBorders>
            <w:shd w:val="clear" w:color="auto" w:fill="FFFFFF"/>
            <w:vAlign w:val="bottom"/>
          </w:tcPr>
          <w:p w14:paraId="35882927"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39F869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w:t>
            </w:r>
          </w:p>
        </w:tc>
        <w:tc>
          <w:tcPr>
            <w:tcW w:w="964" w:type="dxa"/>
            <w:tcBorders>
              <w:top w:val="nil"/>
              <w:left w:val="nil"/>
              <w:bottom w:val="nil"/>
              <w:right w:val="nil"/>
            </w:tcBorders>
            <w:shd w:val="clear" w:color="auto" w:fill="FFFFFF"/>
            <w:vAlign w:val="bottom"/>
          </w:tcPr>
          <w:p w14:paraId="59FB75B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60</w:t>
            </w:r>
          </w:p>
        </w:tc>
        <w:tc>
          <w:tcPr>
            <w:tcW w:w="964" w:type="dxa"/>
            <w:tcBorders>
              <w:top w:val="nil"/>
              <w:left w:val="nil"/>
              <w:bottom w:val="nil"/>
              <w:right w:val="nil"/>
            </w:tcBorders>
            <w:shd w:val="clear" w:color="auto" w:fill="FFFFFF"/>
            <w:vAlign w:val="bottom"/>
          </w:tcPr>
          <w:p w14:paraId="1EE0016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(45)</w:t>
            </w:r>
          </w:p>
        </w:tc>
        <w:tc>
          <w:tcPr>
            <w:tcW w:w="965" w:type="dxa"/>
            <w:tcBorders>
              <w:top w:val="nil"/>
              <w:left w:val="nil"/>
              <w:bottom w:val="nil"/>
              <w:right w:val="nil"/>
            </w:tcBorders>
            <w:shd w:val="clear" w:color="auto" w:fill="FFFFFF"/>
            <w:vAlign w:val="bottom"/>
          </w:tcPr>
          <w:p w14:paraId="12A2223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60</w:t>
            </w:r>
          </w:p>
        </w:tc>
      </w:tr>
      <w:tr w:rsidR="002E375F" w14:paraId="468F9F24" w14:textId="77777777" w:rsidTr="00B55A2A">
        <w:tc>
          <w:tcPr>
            <w:tcW w:w="4155" w:type="dxa"/>
            <w:gridSpan w:val="2"/>
            <w:tcBorders>
              <w:top w:val="nil"/>
              <w:left w:val="nil"/>
              <w:bottom w:val="nil"/>
              <w:right w:val="nil"/>
            </w:tcBorders>
            <w:shd w:val="clear" w:color="auto" w:fill="FFFFFF"/>
            <w:vAlign w:val="bottom"/>
          </w:tcPr>
          <w:p w14:paraId="60E0FD5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Reversal of revaluation decrement</w:t>
            </w:r>
          </w:p>
        </w:tc>
        <w:tc>
          <w:tcPr>
            <w:tcW w:w="1021" w:type="dxa"/>
            <w:tcBorders>
              <w:top w:val="nil"/>
              <w:left w:val="nil"/>
              <w:bottom w:val="nil"/>
              <w:right w:val="nil"/>
            </w:tcBorders>
            <w:shd w:val="clear" w:color="auto" w:fill="FFFFFF"/>
            <w:vAlign w:val="bottom"/>
          </w:tcPr>
          <w:p w14:paraId="326405B1"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C4-1</w:t>
            </w:r>
          </w:p>
        </w:tc>
        <w:tc>
          <w:tcPr>
            <w:tcW w:w="964" w:type="dxa"/>
            <w:tcBorders>
              <w:top w:val="nil"/>
              <w:left w:val="nil"/>
              <w:bottom w:val="nil"/>
              <w:right w:val="nil"/>
            </w:tcBorders>
            <w:shd w:val="clear" w:color="auto" w:fill="FFFFFF"/>
            <w:vAlign w:val="bottom"/>
          </w:tcPr>
          <w:p w14:paraId="423B204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6,410</w:t>
            </w:r>
          </w:p>
        </w:tc>
        <w:tc>
          <w:tcPr>
            <w:tcW w:w="964" w:type="dxa"/>
            <w:tcBorders>
              <w:top w:val="nil"/>
              <w:left w:val="nil"/>
              <w:bottom w:val="nil"/>
              <w:right w:val="nil"/>
            </w:tcBorders>
            <w:shd w:val="clear" w:color="auto" w:fill="FFFFFF"/>
            <w:vAlign w:val="bottom"/>
          </w:tcPr>
          <w:p w14:paraId="715240D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7B8EA4B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6,410</w:t>
            </w:r>
          </w:p>
        </w:tc>
        <w:tc>
          <w:tcPr>
            <w:tcW w:w="965" w:type="dxa"/>
            <w:tcBorders>
              <w:top w:val="nil"/>
              <w:left w:val="nil"/>
              <w:bottom w:val="nil"/>
              <w:right w:val="nil"/>
            </w:tcBorders>
            <w:shd w:val="clear" w:color="auto" w:fill="FFFFFF"/>
            <w:vAlign w:val="bottom"/>
          </w:tcPr>
          <w:p w14:paraId="2A52D3A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3,551</w:t>
            </w:r>
          </w:p>
        </w:tc>
      </w:tr>
      <w:tr w:rsidR="002E375F" w14:paraId="613DB7FB" w14:textId="77777777" w:rsidTr="00B55A2A">
        <w:tc>
          <w:tcPr>
            <w:tcW w:w="4155" w:type="dxa"/>
            <w:gridSpan w:val="2"/>
            <w:tcBorders>
              <w:top w:val="nil"/>
              <w:left w:val="nil"/>
              <w:bottom w:val="nil"/>
              <w:right w:val="nil"/>
            </w:tcBorders>
            <w:shd w:val="clear" w:color="auto" w:fill="FFFFFF"/>
            <w:vAlign w:val="bottom"/>
          </w:tcPr>
          <w:p w14:paraId="0ED8F54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 revenue</w:t>
            </w:r>
          </w:p>
        </w:tc>
        <w:tc>
          <w:tcPr>
            <w:tcW w:w="1021" w:type="dxa"/>
            <w:tcBorders>
              <w:top w:val="nil"/>
              <w:left w:val="nil"/>
              <w:bottom w:val="nil"/>
              <w:right w:val="nil"/>
            </w:tcBorders>
            <w:shd w:val="clear" w:color="auto" w:fill="FFFFFF"/>
            <w:vAlign w:val="bottom"/>
          </w:tcPr>
          <w:p w14:paraId="34459BE6"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B1-3</w:t>
            </w:r>
          </w:p>
        </w:tc>
        <w:tc>
          <w:tcPr>
            <w:tcW w:w="964" w:type="dxa"/>
            <w:tcBorders>
              <w:top w:val="nil"/>
              <w:left w:val="nil"/>
              <w:bottom w:val="nil"/>
              <w:right w:val="nil"/>
            </w:tcBorders>
            <w:shd w:val="clear" w:color="auto" w:fill="FFFFFF"/>
            <w:vAlign w:val="bottom"/>
          </w:tcPr>
          <w:p w14:paraId="6D7AA5D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18,474</w:t>
            </w:r>
          </w:p>
        </w:tc>
        <w:tc>
          <w:tcPr>
            <w:tcW w:w="964" w:type="dxa"/>
            <w:tcBorders>
              <w:top w:val="nil"/>
              <w:left w:val="nil"/>
              <w:bottom w:val="nil"/>
              <w:right w:val="nil"/>
            </w:tcBorders>
            <w:shd w:val="clear" w:color="auto" w:fill="FFFFFF"/>
            <w:vAlign w:val="bottom"/>
          </w:tcPr>
          <w:p w14:paraId="1539EAE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69F63F4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18,474</w:t>
            </w:r>
          </w:p>
        </w:tc>
        <w:tc>
          <w:tcPr>
            <w:tcW w:w="965" w:type="dxa"/>
            <w:tcBorders>
              <w:top w:val="nil"/>
              <w:left w:val="nil"/>
              <w:bottom w:val="nil"/>
              <w:right w:val="nil"/>
            </w:tcBorders>
            <w:shd w:val="clear" w:color="auto" w:fill="FFFFFF"/>
            <w:vAlign w:val="bottom"/>
          </w:tcPr>
          <w:p w14:paraId="26E6043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17,520</w:t>
            </w:r>
          </w:p>
        </w:tc>
      </w:tr>
      <w:tr w:rsidR="002E375F" w14:paraId="2BF20DFE" w14:textId="77777777" w:rsidTr="00B55A2A">
        <w:tc>
          <w:tcPr>
            <w:tcW w:w="4155" w:type="dxa"/>
            <w:gridSpan w:val="2"/>
            <w:tcBorders>
              <w:top w:val="nil"/>
              <w:left w:val="nil"/>
              <w:bottom w:val="nil"/>
              <w:right w:val="nil"/>
            </w:tcBorders>
            <w:shd w:val="clear" w:color="auto" w:fill="FFFFFF"/>
            <w:vAlign w:val="bottom"/>
          </w:tcPr>
          <w:p w14:paraId="17C802E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 gains/(losses) – net</w:t>
            </w:r>
          </w:p>
        </w:tc>
        <w:tc>
          <w:tcPr>
            <w:tcW w:w="1021" w:type="dxa"/>
            <w:tcBorders>
              <w:top w:val="nil"/>
              <w:left w:val="nil"/>
              <w:bottom w:val="nil"/>
              <w:right w:val="nil"/>
            </w:tcBorders>
            <w:shd w:val="clear" w:color="auto" w:fill="FFFFFF"/>
            <w:vAlign w:val="bottom"/>
          </w:tcPr>
          <w:p w14:paraId="6F2364C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3BDD12F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w:t>
            </w:r>
          </w:p>
        </w:tc>
        <w:tc>
          <w:tcPr>
            <w:tcW w:w="964" w:type="dxa"/>
            <w:tcBorders>
              <w:top w:val="nil"/>
              <w:left w:val="nil"/>
              <w:bottom w:val="single" w:sz="2" w:space="0" w:color="auto"/>
              <w:right w:val="nil"/>
            </w:tcBorders>
            <w:shd w:val="clear" w:color="auto" w:fill="FFFFFF"/>
            <w:vAlign w:val="bottom"/>
          </w:tcPr>
          <w:p w14:paraId="2B2E237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2414595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21</w:t>
            </w:r>
          </w:p>
        </w:tc>
        <w:tc>
          <w:tcPr>
            <w:tcW w:w="965" w:type="dxa"/>
            <w:tcBorders>
              <w:top w:val="nil"/>
              <w:left w:val="nil"/>
              <w:bottom w:val="single" w:sz="2" w:space="0" w:color="auto"/>
              <w:right w:val="nil"/>
            </w:tcBorders>
            <w:shd w:val="clear" w:color="auto" w:fill="FFFFFF"/>
            <w:vAlign w:val="bottom"/>
          </w:tcPr>
          <w:p w14:paraId="3BB50E4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6EE16BF8" w14:textId="77777777" w:rsidTr="00B55A2A">
        <w:tc>
          <w:tcPr>
            <w:tcW w:w="4155" w:type="dxa"/>
            <w:gridSpan w:val="2"/>
            <w:tcBorders>
              <w:top w:val="nil"/>
              <w:left w:val="nil"/>
              <w:bottom w:val="nil"/>
              <w:right w:val="nil"/>
            </w:tcBorders>
            <w:shd w:val="clear" w:color="auto" w:fill="FFFFFF"/>
            <w:vAlign w:val="bottom"/>
          </w:tcPr>
          <w:p w14:paraId="000F8C5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Income from Continuing Operations</w:t>
            </w:r>
          </w:p>
        </w:tc>
        <w:tc>
          <w:tcPr>
            <w:tcW w:w="1021" w:type="dxa"/>
            <w:tcBorders>
              <w:top w:val="nil"/>
              <w:left w:val="nil"/>
              <w:bottom w:val="nil"/>
              <w:right w:val="nil"/>
            </w:tcBorders>
            <w:shd w:val="clear" w:color="auto" w:fill="FFFFFF"/>
            <w:vAlign w:val="bottom"/>
          </w:tcPr>
          <w:p w14:paraId="6F87888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3D8D48E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406,008</w:t>
            </w:r>
          </w:p>
        </w:tc>
        <w:tc>
          <w:tcPr>
            <w:tcW w:w="964" w:type="dxa"/>
            <w:tcBorders>
              <w:top w:val="nil"/>
              <w:left w:val="nil"/>
              <w:bottom w:val="single" w:sz="2" w:space="0" w:color="auto"/>
              <w:right w:val="nil"/>
            </w:tcBorders>
            <w:shd w:val="clear" w:color="auto" w:fill="FFFFFF"/>
            <w:vAlign w:val="bottom"/>
          </w:tcPr>
          <w:p w14:paraId="7031E33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380,676</w:t>
            </w:r>
          </w:p>
        </w:tc>
        <w:tc>
          <w:tcPr>
            <w:tcW w:w="964" w:type="dxa"/>
            <w:tcBorders>
              <w:top w:val="nil"/>
              <w:left w:val="nil"/>
              <w:bottom w:val="single" w:sz="2" w:space="0" w:color="auto"/>
              <w:right w:val="nil"/>
            </w:tcBorders>
            <w:shd w:val="clear" w:color="auto" w:fill="FFFFFF"/>
            <w:vAlign w:val="bottom"/>
          </w:tcPr>
          <w:p w14:paraId="44E76C8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25,332</w:t>
            </w:r>
          </w:p>
        </w:tc>
        <w:tc>
          <w:tcPr>
            <w:tcW w:w="965" w:type="dxa"/>
            <w:tcBorders>
              <w:top w:val="nil"/>
              <w:left w:val="nil"/>
              <w:bottom w:val="single" w:sz="2" w:space="0" w:color="auto"/>
              <w:right w:val="nil"/>
            </w:tcBorders>
            <w:shd w:val="clear" w:color="auto" w:fill="FFFFFF"/>
            <w:vAlign w:val="bottom"/>
          </w:tcPr>
          <w:p w14:paraId="7D3B816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1,038,257</w:t>
            </w:r>
          </w:p>
        </w:tc>
      </w:tr>
      <w:tr w:rsidR="002E375F" w14:paraId="22DEC2C4" w14:textId="77777777" w:rsidTr="00B55A2A">
        <w:tc>
          <w:tcPr>
            <w:tcW w:w="4155" w:type="dxa"/>
            <w:gridSpan w:val="2"/>
            <w:tcBorders>
              <w:top w:val="nil"/>
              <w:left w:val="nil"/>
              <w:bottom w:val="nil"/>
              <w:right w:val="nil"/>
            </w:tcBorders>
            <w:shd w:val="clear" w:color="auto" w:fill="FFFFFF"/>
            <w:vAlign w:val="bottom"/>
          </w:tcPr>
          <w:p w14:paraId="58F7F19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Expenses from Continuing Operations</w:t>
            </w:r>
          </w:p>
        </w:tc>
        <w:tc>
          <w:tcPr>
            <w:tcW w:w="1021" w:type="dxa"/>
            <w:tcBorders>
              <w:top w:val="nil"/>
              <w:left w:val="nil"/>
              <w:bottom w:val="nil"/>
              <w:right w:val="nil"/>
            </w:tcBorders>
            <w:shd w:val="clear" w:color="auto" w:fill="FFFFFF"/>
            <w:vAlign w:val="bottom"/>
          </w:tcPr>
          <w:p w14:paraId="3AFD233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C3D1FF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00033E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2D3F15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5" w:type="dxa"/>
            <w:tcBorders>
              <w:top w:val="nil"/>
              <w:left w:val="nil"/>
              <w:bottom w:val="nil"/>
              <w:right w:val="nil"/>
            </w:tcBorders>
            <w:shd w:val="clear" w:color="auto" w:fill="FFFFFF"/>
            <w:vAlign w:val="bottom"/>
          </w:tcPr>
          <w:p w14:paraId="27DEA14D"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220AF04E" w14:textId="77777777" w:rsidTr="00B55A2A">
        <w:tc>
          <w:tcPr>
            <w:tcW w:w="4155" w:type="dxa"/>
            <w:gridSpan w:val="2"/>
            <w:tcBorders>
              <w:top w:val="nil"/>
              <w:left w:val="nil"/>
              <w:bottom w:val="nil"/>
              <w:right w:val="nil"/>
            </w:tcBorders>
            <w:shd w:val="clear" w:color="auto" w:fill="FFFFFF"/>
            <w:vAlign w:val="bottom"/>
          </w:tcPr>
          <w:p w14:paraId="56E2B11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Employee expenses</w:t>
            </w:r>
          </w:p>
        </w:tc>
        <w:tc>
          <w:tcPr>
            <w:tcW w:w="1021" w:type="dxa"/>
            <w:tcBorders>
              <w:top w:val="nil"/>
              <w:left w:val="nil"/>
              <w:bottom w:val="nil"/>
              <w:right w:val="nil"/>
            </w:tcBorders>
            <w:shd w:val="clear" w:color="auto" w:fill="FFFFFF"/>
            <w:vAlign w:val="bottom"/>
          </w:tcPr>
          <w:p w14:paraId="51B0C208"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B2-1</w:t>
            </w:r>
          </w:p>
        </w:tc>
        <w:tc>
          <w:tcPr>
            <w:tcW w:w="964" w:type="dxa"/>
            <w:tcBorders>
              <w:top w:val="nil"/>
              <w:left w:val="nil"/>
              <w:bottom w:val="nil"/>
              <w:right w:val="nil"/>
            </w:tcBorders>
            <w:shd w:val="clear" w:color="auto" w:fill="FFFFFF"/>
            <w:vAlign w:val="bottom"/>
          </w:tcPr>
          <w:p w14:paraId="05107E5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193,782</w:t>
            </w:r>
          </w:p>
        </w:tc>
        <w:tc>
          <w:tcPr>
            <w:tcW w:w="964" w:type="dxa"/>
            <w:tcBorders>
              <w:top w:val="nil"/>
              <w:left w:val="nil"/>
              <w:bottom w:val="nil"/>
              <w:right w:val="nil"/>
            </w:tcBorders>
            <w:shd w:val="clear" w:color="auto" w:fill="FFFFFF"/>
            <w:vAlign w:val="bottom"/>
          </w:tcPr>
          <w:p w14:paraId="64CC2D8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189,666</w:t>
            </w:r>
          </w:p>
        </w:tc>
        <w:tc>
          <w:tcPr>
            <w:tcW w:w="964" w:type="dxa"/>
            <w:tcBorders>
              <w:top w:val="nil"/>
              <w:left w:val="nil"/>
              <w:bottom w:val="nil"/>
              <w:right w:val="nil"/>
            </w:tcBorders>
            <w:shd w:val="clear" w:color="auto" w:fill="FFFFFF"/>
            <w:vAlign w:val="bottom"/>
          </w:tcPr>
          <w:p w14:paraId="07FC081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4,116</w:t>
            </w:r>
          </w:p>
        </w:tc>
        <w:tc>
          <w:tcPr>
            <w:tcW w:w="965" w:type="dxa"/>
            <w:tcBorders>
              <w:top w:val="nil"/>
              <w:left w:val="nil"/>
              <w:bottom w:val="nil"/>
              <w:right w:val="nil"/>
            </w:tcBorders>
            <w:shd w:val="clear" w:color="auto" w:fill="FFFFFF"/>
            <w:vAlign w:val="bottom"/>
          </w:tcPr>
          <w:p w14:paraId="6ACEFE9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256,987</w:t>
            </w:r>
          </w:p>
        </w:tc>
      </w:tr>
      <w:tr w:rsidR="002E375F" w14:paraId="02F870AD" w14:textId="77777777" w:rsidTr="00B55A2A">
        <w:tc>
          <w:tcPr>
            <w:tcW w:w="4155" w:type="dxa"/>
            <w:gridSpan w:val="2"/>
            <w:tcBorders>
              <w:top w:val="nil"/>
              <w:left w:val="nil"/>
              <w:bottom w:val="nil"/>
              <w:right w:val="nil"/>
            </w:tcBorders>
            <w:shd w:val="clear" w:color="auto" w:fill="FFFFFF"/>
            <w:vAlign w:val="bottom"/>
          </w:tcPr>
          <w:p w14:paraId="18B1B26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Supplies and services</w:t>
            </w:r>
          </w:p>
        </w:tc>
        <w:tc>
          <w:tcPr>
            <w:tcW w:w="1021" w:type="dxa"/>
            <w:tcBorders>
              <w:top w:val="nil"/>
              <w:left w:val="nil"/>
              <w:bottom w:val="nil"/>
              <w:right w:val="nil"/>
            </w:tcBorders>
            <w:shd w:val="clear" w:color="auto" w:fill="FFFFFF"/>
            <w:vAlign w:val="bottom"/>
          </w:tcPr>
          <w:p w14:paraId="74152F77"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B2-2</w:t>
            </w:r>
          </w:p>
        </w:tc>
        <w:tc>
          <w:tcPr>
            <w:tcW w:w="964" w:type="dxa"/>
            <w:tcBorders>
              <w:top w:val="nil"/>
              <w:left w:val="nil"/>
              <w:bottom w:val="nil"/>
              <w:right w:val="nil"/>
            </w:tcBorders>
            <w:shd w:val="clear" w:color="auto" w:fill="FFFFFF"/>
            <w:vAlign w:val="bottom"/>
          </w:tcPr>
          <w:p w14:paraId="6BCAEE9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163,852</w:t>
            </w:r>
          </w:p>
        </w:tc>
        <w:tc>
          <w:tcPr>
            <w:tcW w:w="964" w:type="dxa"/>
            <w:tcBorders>
              <w:top w:val="nil"/>
              <w:left w:val="nil"/>
              <w:bottom w:val="nil"/>
              <w:right w:val="nil"/>
            </w:tcBorders>
            <w:shd w:val="clear" w:color="auto" w:fill="FFFFFF"/>
            <w:vAlign w:val="bottom"/>
          </w:tcPr>
          <w:p w14:paraId="632F717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167,326</w:t>
            </w:r>
          </w:p>
        </w:tc>
        <w:tc>
          <w:tcPr>
            <w:tcW w:w="964" w:type="dxa"/>
            <w:tcBorders>
              <w:top w:val="nil"/>
              <w:left w:val="nil"/>
              <w:bottom w:val="nil"/>
              <w:right w:val="nil"/>
            </w:tcBorders>
            <w:shd w:val="clear" w:color="auto" w:fill="FFFFFF"/>
            <w:vAlign w:val="bottom"/>
          </w:tcPr>
          <w:p w14:paraId="2E20CA0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(3,474)</w:t>
            </w:r>
          </w:p>
        </w:tc>
        <w:tc>
          <w:tcPr>
            <w:tcW w:w="965" w:type="dxa"/>
            <w:tcBorders>
              <w:top w:val="nil"/>
              <w:left w:val="nil"/>
              <w:bottom w:val="nil"/>
              <w:right w:val="nil"/>
            </w:tcBorders>
            <w:shd w:val="clear" w:color="auto" w:fill="FFFFFF"/>
            <w:vAlign w:val="bottom"/>
          </w:tcPr>
          <w:p w14:paraId="3AF2782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700,574</w:t>
            </w:r>
          </w:p>
        </w:tc>
      </w:tr>
      <w:tr w:rsidR="002E375F" w14:paraId="67D99E53" w14:textId="77777777" w:rsidTr="00B55A2A">
        <w:tc>
          <w:tcPr>
            <w:tcW w:w="4155" w:type="dxa"/>
            <w:gridSpan w:val="2"/>
            <w:tcBorders>
              <w:top w:val="nil"/>
              <w:left w:val="nil"/>
              <w:bottom w:val="nil"/>
              <w:right w:val="nil"/>
            </w:tcBorders>
            <w:shd w:val="clear" w:color="auto" w:fill="FFFFFF"/>
            <w:vAlign w:val="bottom"/>
          </w:tcPr>
          <w:p w14:paraId="10073DA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Grants and subsidies</w:t>
            </w:r>
          </w:p>
        </w:tc>
        <w:tc>
          <w:tcPr>
            <w:tcW w:w="1021" w:type="dxa"/>
            <w:tcBorders>
              <w:top w:val="nil"/>
              <w:left w:val="nil"/>
              <w:bottom w:val="nil"/>
              <w:right w:val="nil"/>
            </w:tcBorders>
            <w:shd w:val="clear" w:color="auto" w:fill="FFFFFF"/>
            <w:vAlign w:val="bottom"/>
          </w:tcPr>
          <w:p w14:paraId="00D59208"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B2-3</w:t>
            </w:r>
          </w:p>
        </w:tc>
        <w:tc>
          <w:tcPr>
            <w:tcW w:w="964" w:type="dxa"/>
            <w:tcBorders>
              <w:top w:val="nil"/>
              <w:left w:val="nil"/>
              <w:bottom w:val="nil"/>
              <w:right w:val="nil"/>
            </w:tcBorders>
            <w:shd w:val="clear" w:color="auto" w:fill="FFFFFF"/>
            <w:vAlign w:val="bottom"/>
          </w:tcPr>
          <w:p w14:paraId="1C4FFD4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31,112</w:t>
            </w:r>
          </w:p>
        </w:tc>
        <w:tc>
          <w:tcPr>
            <w:tcW w:w="964" w:type="dxa"/>
            <w:tcBorders>
              <w:top w:val="nil"/>
              <w:left w:val="nil"/>
              <w:bottom w:val="nil"/>
              <w:right w:val="nil"/>
            </w:tcBorders>
            <w:shd w:val="clear" w:color="auto" w:fill="FFFFFF"/>
            <w:vAlign w:val="bottom"/>
          </w:tcPr>
          <w:p w14:paraId="43B41B0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13,258</w:t>
            </w:r>
          </w:p>
        </w:tc>
        <w:tc>
          <w:tcPr>
            <w:tcW w:w="964" w:type="dxa"/>
            <w:tcBorders>
              <w:top w:val="nil"/>
              <w:left w:val="nil"/>
              <w:bottom w:val="nil"/>
              <w:right w:val="nil"/>
            </w:tcBorders>
            <w:shd w:val="clear" w:color="auto" w:fill="FFFFFF"/>
            <w:vAlign w:val="bottom"/>
          </w:tcPr>
          <w:p w14:paraId="6F7DD48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17,854</w:t>
            </w:r>
          </w:p>
        </w:tc>
        <w:tc>
          <w:tcPr>
            <w:tcW w:w="965" w:type="dxa"/>
            <w:tcBorders>
              <w:top w:val="nil"/>
              <w:left w:val="nil"/>
              <w:bottom w:val="nil"/>
              <w:right w:val="nil"/>
            </w:tcBorders>
            <w:shd w:val="clear" w:color="auto" w:fill="FFFFFF"/>
            <w:vAlign w:val="bottom"/>
          </w:tcPr>
          <w:p w14:paraId="494E9C9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26,066</w:t>
            </w:r>
          </w:p>
        </w:tc>
      </w:tr>
      <w:tr w:rsidR="002E375F" w14:paraId="685AA7C6" w14:textId="77777777" w:rsidTr="00B55A2A">
        <w:tc>
          <w:tcPr>
            <w:tcW w:w="4155" w:type="dxa"/>
            <w:gridSpan w:val="2"/>
            <w:tcBorders>
              <w:top w:val="nil"/>
              <w:left w:val="nil"/>
              <w:bottom w:val="nil"/>
              <w:right w:val="nil"/>
            </w:tcBorders>
            <w:shd w:val="clear" w:color="auto" w:fill="FFFFFF"/>
            <w:vAlign w:val="bottom"/>
          </w:tcPr>
          <w:p w14:paraId="229BB7B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Depreciation and amortisation</w:t>
            </w:r>
          </w:p>
        </w:tc>
        <w:tc>
          <w:tcPr>
            <w:tcW w:w="1021" w:type="dxa"/>
            <w:tcBorders>
              <w:top w:val="nil"/>
              <w:left w:val="nil"/>
              <w:bottom w:val="nil"/>
              <w:right w:val="nil"/>
            </w:tcBorders>
            <w:shd w:val="clear" w:color="auto" w:fill="FFFFFF"/>
            <w:vAlign w:val="bottom"/>
          </w:tcPr>
          <w:p w14:paraId="4AE387A0"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B2-4</w:t>
            </w:r>
          </w:p>
        </w:tc>
        <w:tc>
          <w:tcPr>
            <w:tcW w:w="964" w:type="dxa"/>
            <w:tcBorders>
              <w:top w:val="nil"/>
              <w:left w:val="nil"/>
              <w:bottom w:val="nil"/>
              <w:right w:val="nil"/>
            </w:tcBorders>
            <w:shd w:val="clear" w:color="auto" w:fill="FFFFFF"/>
            <w:vAlign w:val="bottom"/>
          </w:tcPr>
          <w:p w14:paraId="15D6DC0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5,907</w:t>
            </w:r>
          </w:p>
        </w:tc>
        <w:tc>
          <w:tcPr>
            <w:tcW w:w="964" w:type="dxa"/>
            <w:tcBorders>
              <w:top w:val="nil"/>
              <w:left w:val="nil"/>
              <w:bottom w:val="nil"/>
              <w:right w:val="nil"/>
            </w:tcBorders>
            <w:shd w:val="clear" w:color="auto" w:fill="FFFFFF"/>
            <w:vAlign w:val="bottom"/>
          </w:tcPr>
          <w:p w14:paraId="6EC4607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9,766</w:t>
            </w:r>
          </w:p>
        </w:tc>
        <w:tc>
          <w:tcPr>
            <w:tcW w:w="964" w:type="dxa"/>
            <w:tcBorders>
              <w:top w:val="nil"/>
              <w:left w:val="nil"/>
              <w:bottom w:val="nil"/>
              <w:right w:val="nil"/>
            </w:tcBorders>
            <w:shd w:val="clear" w:color="auto" w:fill="FFFFFF"/>
            <w:vAlign w:val="bottom"/>
          </w:tcPr>
          <w:p w14:paraId="7EB4D61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(3,859)</w:t>
            </w:r>
          </w:p>
        </w:tc>
        <w:tc>
          <w:tcPr>
            <w:tcW w:w="965" w:type="dxa"/>
            <w:tcBorders>
              <w:top w:val="nil"/>
              <w:left w:val="nil"/>
              <w:bottom w:val="nil"/>
              <w:right w:val="nil"/>
            </w:tcBorders>
            <w:shd w:val="clear" w:color="auto" w:fill="FFFFFF"/>
            <w:vAlign w:val="bottom"/>
          </w:tcPr>
          <w:p w14:paraId="7A8556A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8,333</w:t>
            </w:r>
          </w:p>
        </w:tc>
      </w:tr>
      <w:tr w:rsidR="002E375F" w14:paraId="7C42B616" w14:textId="77777777" w:rsidTr="00B55A2A">
        <w:tc>
          <w:tcPr>
            <w:tcW w:w="4155" w:type="dxa"/>
            <w:gridSpan w:val="2"/>
            <w:tcBorders>
              <w:top w:val="nil"/>
              <w:left w:val="nil"/>
              <w:bottom w:val="nil"/>
              <w:right w:val="nil"/>
            </w:tcBorders>
            <w:shd w:val="clear" w:color="auto" w:fill="FFFFFF"/>
            <w:vAlign w:val="bottom"/>
          </w:tcPr>
          <w:p w14:paraId="78E3460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Impairment losses</w:t>
            </w:r>
          </w:p>
        </w:tc>
        <w:tc>
          <w:tcPr>
            <w:tcW w:w="1021" w:type="dxa"/>
            <w:tcBorders>
              <w:top w:val="nil"/>
              <w:left w:val="nil"/>
              <w:bottom w:val="nil"/>
              <w:right w:val="nil"/>
            </w:tcBorders>
            <w:shd w:val="clear" w:color="auto" w:fill="FFFFFF"/>
            <w:vAlign w:val="bottom"/>
          </w:tcPr>
          <w:p w14:paraId="42032283"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D4FC1A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1,498</w:t>
            </w:r>
          </w:p>
        </w:tc>
        <w:tc>
          <w:tcPr>
            <w:tcW w:w="964" w:type="dxa"/>
            <w:tcBorders>
              <w:top w:val="nil"/>
              <w:left w:val="nil"/>
              <w:bottom w:val="nil"/>
              <w:right w:val="nil"/>
            </w:tcBorders>
            <w:shd w:val="clear" w:color="auto" w:fill="FFFFFF"/>
            <w:vAlign w:val="bottom"/>
          </w:tcPr>
          <w:p w14:paraId="47C4D0C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648A231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1,498</w:t>
            </w:r>
          </w:p>
        </w:tc>
        <w:tc>
          <w:tcPr>
            <w:tcW w:w="965" w:type="dxa"/>
            <w:tcBorders>
              <w:top w:val="nil"/>
              <w:left w:val="nil"/>
              <w:bottom w:val="nil"/>
              <w:right w:val="nil"/>
            </w:tcBorders>
            <w:shd w:val="clear" w:color="auto" w:fill="FFFFFF"/>
            <w:vAlign w:val="bottom"/>
          </w:tcPr>
          <w:p w14:paraId="2271A13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312</w:t>
            </w:r>
          </w:p>
        </w:tc>
      </w:tr>
      <w:tr w:rsidR="002E375F" w14:paraId="6AA2ECCA" w14:textId="77777777" w:rsidTr="00B55A2A">
        <w:tc>
          <w:tcPr>
            <w:tcW w:w="4155" w:type="dxa"/>
            <w:gridSpan w:val="2"/>
            <w:tcBorders>
              <w:top w:val="nil"/>
              <w:left w:val="nil"/>
              <w:bottom w:val="nil"/>
              <w:right w:val="nil"/>
            </w:tcBorders>
            <w:shd w:val="clear" w:color="auto" w:fill="FFFFFF"/>
            <w:vAlign w:val="bottom"/>
          </w:tcPr>
          <w:p w14:paraId="2650548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 expenses</w:t>
            </w:r>
          </w:p>
        </w:tc>
        <w:tc>
          <w:tcPr>
            <w:tcW w:w="1021" w:type="dxa"/>
            <w:tcBorders>
              <w:top w:val="nil"/>
              <w:left w:val="nil"/>
              <w:bottom w:val="nil"/>
              <w:right w:val="nil"/>
            </w:tcBorders>
            <w:shd w:val="clear" w:color="auto" w:fill="FFFFFF"/>
            <w:vAlign w:val="bottom"/>
          </w:tcPr>
          <w:p w14:paraId="72C8175C"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B2-5</w:t>
            </w:r>
          </w:p>
        </w:tc>
        <w:tc>
          <w:tcPr>
            <w:tcW w:w="964" w:type="dxa"/>
            <w:tcBorders>
              <w:top w:val="nil"/>
              <w:left w:val="nil"/>
              <w:bottom w:val="nil"/>
              <w:right w:val="nil"/>
            </w:tcBorders>
            <w:shd w:val="clear" w:color="auto" w:fill="FFFFFF"/>
            <w:vAlign w:val="bottom"/>
          </w:tcPr>
          <w:p w14:paraId="01350D7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2,410</w:t>
            </w:r>
          </w:p>
        </w:tc>
        <w:tc>
          <w:tcPr>
            <w:tcW w:w="964" w:type="dxa"/>
            <w:tcBorders>
              <w:top w:val="nil"/>
              <w:left w:val="nil"/>
              <w:bottom w:val="nil"/>
              <w:right w:val="nil"/>
            </w:tcBorders>
            <w:shd w:val="clear" w:color="auto" w:fill="FFFFFF"/>
            <w:vAlign w:val="bottom"/>
          </w:tcPr>
          <w:p w14:paraId="6B52A7E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600</w:t>
            </w:r>
          </w:p>
        </w:tc>
        <w:tc>
          <w:tcPr>
            <w:tcW w:w="964" w:type="dxa"/>
            <w:tcBorders>
              <w:top w:val="nil"/>
              <w:left w:val="nil"/>
              <w:bottom w:val="nil"/>
              <w:right w:val="nil"/>
            </w:tcBorders>
            <w:shd w:val="clear" w:color="auto" w:fill="FFFFFF"/>
            <w:vAlign w:val="bottom"/>
          </w:tcPr>
          <w:p w14:paraId="5D005E0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1,810</w:t>
            </w:r>
          </w:p>
        </w:tc>
        <w:tc>
          <w:tcPr>
            <w:tcW w:w="965" w:type="dxa"/>
            <w:tcBorders>
              <w:top w:val="nil"/>
              <w:left w:val="nil"/>
              <w:bottom w:val="nil"/>
              <w:right w:val="nil"/>
            </w:tcBorders>
            <w:shd w:val="clear" w:color="auto" w:fill="FFFFFF"/>
            <w:vAlign w:val="bottom"/>
          </w:tcPr>
          <w:p w14:paraId="7224036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33,650</w:t>
            </w:r>
          </w:p>
        </w:tc>
      </w:tr>
      <w:tr w:rsidR="002E375F" w14:paraId="496BC0B8" w14:textId="77777777" w:rsidTr="00B55A2A">
        <w:tc>
          <w:tcPr>
            <w:tcW w:w="4155" w:type="dxa"/>
            <w:gridSpan w:val="2"/>
            <w:tcBorders>
              <w:top w:val="nil"/>
              <w:left w:val="nil"/>
              <w:bottom w:val="nil"/>
              <w:right w:val="nil"/>
            </w:tcBorders>
            <w:shd w:val="clear" w:color="auto" w:fill="FFFFFF"/>
            <w:vAlign w:val="bottom"/>
          </w:tcPr>
          <w:p w14:paraId="0762FD1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Losses on sale</w:t>
            </w:r>
          </w:p>
        </w:tc>
        <w:tc>
          <w:tcPr>
            <w:tcW w:w="1021" w:type="dxa"/>
            <w:tcBorders>
              <w:top w:val="nil"/>
              <w:left w:val="nil"/>
              <w:bottom w:val="nil"/>
              <w:right w:val="nil"/>
            </w:tcBorders>
            <w:shd w:val="clear" w:color="auto" w:fill="FFFFFF"/>
            <w:vAlign w:val="bottom"/>
          </w:tcPr>
          <w:p w14:paraId="7B9430E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F25B83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6518A77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500</w:t>
            </w:r>
          </w:p>
        </w:tc>
        <w:tc>
          <w:tcPr>
            <w:tcW w:w="964" w:type="dxa"/>
            <w:tcBorders>
              <w:top w:val="nil"/>
              <w:left w:val="nil"/>
              <w:bottom w:val="nil"/>
              <w:right w:val="nil"/>
            </w:tcBorders>
            <w:shd w:val="clear" w:color="auto" w:fill="FFFFFF"/>
            <w:vAlign w:val="bottom"/>
          </w:tcPr>
          <w:p w14:paraId="7DDC59F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(500)</w:t>
            </w:r>
          </w:p>
        </w:tc>
        <w:tc>
          <w:tcPr>
            <w:tcW w:w="965" w:type="dxa"/>
            <w:tcBorders>
              <w:top w:val="nil"/>
              <w:left w:val="nil"/>
              <w:bottom w:val="nil"/>
              <w:right w:val="nil"/>
            </w:tcBorders>
            <w:shd w:val="clear" w:color="auto" w:fill="FFFFFF"/>
            <w:vAlign w:val="bottom"/>
          </w:tcPr>
          <w:p w14:paraId="0974304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3A4BEE83" w14:textId="77777777" w:rsidTr="00B55A2A">
        <w:tc>
          <w:tcPr>
            <w:tcW w:w="4155" w:type="dxa"/>
            <w:gridSpan w:val="2"/>
            <w:tcBorders>
              <w:top w:val="nil"/>
              <w:left w:val="nil"/>
              <w:bottom w:val="nil"/>
              <w:right w:val="nil"/>
            </w:tcBorders>
            <w:shd w:val="clear" w:color="auto" w:fill="FFFFFF"/>
            <w:vAlign w:val="bottom"/>
          </w:tcPr>
          <w:p w14:paraId="45CD38E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Revaluation decrement</w:t>
            </w:r>
          </w:p>
        </w:tc>
        <w:tc>
          <w:tcPr>
            <w:tcW w:w="1021" w:type="dxa"/>
            <w:tcBorders>
              <w:top w:val="nil"/>
              <w:left w:val="nil"/>
              <w:bottom w:val="nil"/>
              <w:right w:val="nil"/>
            </w:tcBorders>
            <w:shd w:val="clear" w:color="auto" w:fill="FFFFFF"/>
            <w:vAlign w:val="bottom"/>
          </w:tcPr>
          <w:p w14:paraId="6D0C922A"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C4-1</w:t>
            </w:r>
          </w:p>
        </w:tc>
        <w:tc>
          <w:tcPr>
            <w:tcW w:w="964" w:type="dxa"/>
            <w:tcBorders>
              <w:top w:val="nil"/>
              <w:left w:val="nil"/>
              <w:bottom w:val="single" w:sz="2" w:space="0" w:color="auto"/>
              <w:right w:val="nil"/>
            </w:tcBorders>
            <w:shd w:val="clear" w:color="auto" w:fill="FFFFFF"/>
            <w:vAlign w:val="bottom"/>
          </w:tcPr>
          <w:p w14:paraId="1650417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1FEBE41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379953B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5" w:type="dxa"/>
            <w:tcBorders>
              <w:top w:val="nil"/>
              <w:left w:val="nil"/>
              <w:bottom w:val="single" w:sz="2" w:space="0" w:color="auto"/>
              <w:right w:val="nil"/>
            </w:tcBorders>
            <w:shd w:val="clear" w:color="auto" w:fill="FFFFFF"/>
            <w:vAlign w:val="bottom"/>
          </w:tcPr>
          <w:p w14:paraId="102D70C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1,035</w:t>
            </w:r>
          </w:p>
        </w:tc>
      </w:tr>
      <w:tr w:rsidR="002E375F" w14:paraId="3F0CFFB2" w14:textId="77777777" w:rsidTr="00B55A2A">
        <w:tc>
          <w:tcPr>
            <w:tcW w:w="4155" w:type="dxa"/>
            <w:gridSpan w:val="2"/>
            <w:tcBorders>
              <w:top w:val="nil"/>
              <w:left w:val="nil"/>
              <w:bottom w:val="nil"/>
              <w:right w:val="nil"/>
            </w:tcBorders>
            <w:shd w:val="clear" w:color="auto" w:fill="FFFFFF"/>
            <w:vAlign w:val="bottom"/>
          </w:tcPr>
          <w:p w14:paraId="0E09F33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Expenses from Continuing Operations</w:t>
            </w:r>
          </w:p>
        </w:tc>
        <w:tc>
          <w:tcPr>
            <w:tcW w:w="1021" w:type="dxa"/>
            <w:tcBorders>
              <w:top w:val="nil"/>
              <w:left w:val="nil"/>
              <w:bottom w:val="nil"/>
              <w:right w:val="nil"/>
            </w:tcBorders>
            <w:shd w:val="clear" w:color="auto" w:fill="FFFFFF"/>
            <w:vAlign w:val="bottom"/>
          </w:tcPr>
          <w:p w14:paraId="2EC4D78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508D3F9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398,561</w:t>
            </w:r>
          </w:p>
        </w:tc>
        <w:tc>
          <w:tcPr>
            <w:tcW w:w="964" w:type="dxa"/>
            <w:tcBorders>
              <w:top w:val="nil"/>
              <w:left w:val="nil"/>
              <w:bottom w:val="single" w:sz="2" w:space="0" w:color="auto"/>
              <w:right w:val="nil"/>
            </w:tcBorders>
            <w:shd w:val="clear" w:color="auto" w:fill="FFFFFF"/>
            <w:vAlign w:val="bottom"/>
          </w:tcPr>
          <w:p w14:paraId="55CE679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381,116</w:t>
            </w:r>
          </w:p>
        </w:tc>
        <w:tc>
          <w:tcPr>
            <w:tcW w:w="964" w:type="dxa"/>
            <w:tcBorders>
              <w:top w:val="nil"/>
              <w:left w:val="nil"/>
              <w:bottom w:val="single" w:sz="2" w:space="0" w:color="auto"/>
              <w:right w:val="nil"/>
            </w:tcBorders>
            <w:shd w:val="clear" w:color="auto" w:fill="FFFFFF"/>
            <w:vAlign w:val="bottom"/>
          </w:tcPr>
          <w:p w14:paraId="6A69DC5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17,445</w:t>
            </w:r>
          </w:p>
        </w:tc>
        <w:tc>
          <w:tcPr>
            <w:tcW w:w="965" w:type="dxa"/>
            <w:tcBorders>
              <w:top w:val="nil"/>
              <w:left w:val="nil"/>
              <w:bottom w:val="single" w:sz="2" w:space="0" w:color="auto"/>
              <w:right w:val="nil"/>
            </w:tcBorders>
            <w:shd w:val="clear" w:color="auto" w:fill="FFFFFF"/>
            <w:vAlign w:val="bottom"/>
          </w:tcPr>
          <w:p w14:paraId="7A37859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1,026,957</w:t>
            </w:r>
          </w:p>
        </w:tc>
      </w:tr>
      <w:tr w:rsidR="002E375F" w14:paraId="4B6C59CC" w14:textId="77777777" w:rsidTr="00B55A2A">
        <w:tc>
          <w:tcPr>
            <w:tcW w:w="4155" w:type="dxa"/>
            <w:gridSpan w:val="2"/>
            <w:tcBorders>
              <w:top w:val="nil"/>
              <w:left w:val="nil"/>
              <w:bottom w:val="nil"/>
              <w:right w:val="nil"/>
            </w:tcBorders>
            <w:shd w:val="clear" w:color="auto" w:fill="FFFFFF"/>
            <w:vAlign w:val="bottom"/>
          </w:tcPr>
          <w:p w14:paraId="70BA23A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Operating Result from Continuing Operations</w:t>
            </w:r>
          </w:p>
        </w:tc>
        <w:tc>
          <w:tcPr>
            <w:tcW w:w="1021" w:type="dxa"/>
            <w:tcBorders>
              <w:top w:val="nil"/>
              <w:left w:val="nil"/>
              <w:bottom w:val="nil"/>
              <w:right w:val="nil"/>
            </w:tcBorders>
            <w:shd w:val="clear" w:color="auto" w:fill="FFFFFF"/>
            <w:vAlign w:val="bottom"/>
          </w:tcPr>
          <w:p w14:paraId="2FF6D5A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2B6E1CB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7,447</w:t>
            </w:r>
          </w:p>
        </w:tc>
        <w:tc>
          <w:tcPr>
            <w:tcW w:w="964" w:type="dxa"/>
            <w:tcBorders>
              <w:top w:val="nil"/>
              <w:left w:val="nil"/>
              <w:bottom w:val="single" w:sz="2" w:space="0" w:color="auto"/>
              <w:right w:val="nil"/>
            </w:tcBorders>
            <w:shd w:val="clear" w:color="auto" w:fill="FFFFFF"/>
            <w:vAlign w:val="bottom"/>
          </w:tcPr>
          <w:p w14:paraId="3A4F634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(440)</w:t>
            </w:r>
          </w:p>
        </w:tc>
        <w:tc>
          <w:tcPr>
            <w:tcW w:w="964" w:type="dxa"/>
            <w:tcBorders>
              <w:top w:val="nil"/>
              <w:left w:val="nil"/>
              <w:bottom w:val="single" w:sz="2" w:space="0" w:color="auto"/>
              <w:right w:val="nil"/>
            </w:tcBorders>
            <w:shd w:val="clear" w:color="auto" w:fill="FFFFFF"/>
            <w:vAlign w:val="bottom"/>
          </w:tcPr>
          <w:p w14:paraId="12A1793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7,887</w:t>
            </w:r>
          </w:p>
        </w:tc>
        <w:tc>
          <w:tcPr>
            <w:tcW w:w="965" w:type="dxa"/>
            <w:tcBorders>
              <w:top w:val="nil"/>
              <w:left w:val="nil"/>
              <w:bottom w:val="single" w:sz="2" w:space="0" w:color="auto"/>
              <w:right w:val="nil"/>
            </w:tcBorders>
            <w:shd w:val="clear" w:color="auto" w:fill="FFFFFF"/>
            <w:vAlign w:val="bottom"/>
          </w:tcPr>
          <w:p w14:paraId="57B4BAB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11,300</w:t>
            </w:r>
          </w:p>
        </w:tc>
      </w:tr>
      <w:tr w:rsidR="002E375F" w14:paraId="349FDF4C" w14:textId="77777777" w:rsidTr="00B55A2A">
        <w:tc>
          <w:tcPr>
            <w:tcW w:w="4155" w:type="dxa"/>
            <w:gridSpan w:val="2"/>
            <w:tcBorders>
              <w:top w:val="nil"/>
              <w:left w:val="nil"/>
              <w:bottom w:val="nil"/>
              <w:right w:val="nil"/>
            </w:tcBorders>
            <w:shd w:val="clear" w:color="auto" w:fill="FFFFFF"/>
            <w:vAlign w:val="bottom"/>
          </w:tcPr>
          <w:p w14:paraId="16BDB3F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Operating Result for the Year</w:t>
            </w:r>
          </w:p>
        </w:tc>
        <w:tc>
          <w:tcPr>
            <w:tcW w:w="1021" w:type="dxa"/>
            <w:tcBorders>
              <w:top w:val="nil"/>
              <w:left w:val="nil"/>
              <w:bottom w:val="nil"/>
              <w:right w:val="nil"/>
            </w:tcBorders>
            <w:shd w:val="clear" w:color="auto" w:fill="FFFFFF"/>
            <w:vAlign w:val="bottom"/>
          </w:tcPr>
          <w:p w14:paraId="06AEB25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76FBE39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7,447</w:t>
            </w:r>
          </w:p>
        </w:tc>
        <w:tc>
          <w:tcPr>
            <w:tcW w:w="964" w:type="dxa"/>
            <w:tcBorders>
              <w:top w:val="nil"/>
              <w:left w:val="nil"/>
              <w:bottom w:val="single" w:sz="2" w:space="0" w:color="auto"/>
              <w:right w:val="nil"/>
            </w:tcBorders>
            <w:shd w:val="clear" w:color="auto" w:fill="FFFFFF"/>
            <w:vAlign w:val="bottom"/>
          </w:tcPr>
          <w:p w14:paraId="3856A54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(440)</w:t>
            </w:r>
          </w:p>
        </w:tc>
        <w:tc>
          <w:tcPr>
            <w:tcW w:w="964" w:type="dxa"/>
            <w:tcBorders>
              <w:top w:val="nil"/>
              <w:left w:val="nil"/>
              <w:bottom w:val="single" w:sz="2" w:space="0" w:color="auto"/>
              <w:right w:val="nil"/>
            </w:tcBorders>
            <w:shd w:val="clear" w:color="auto" w:fill="FFFFFF"/>
            <w:vAlign w:val="bottom"/>
          </w:tcPr>
          <w:p w14:paraId="6F0F0F5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7,887</w:t>
            </w:r>
          </w:p>
        </w:tc>
        <w:tc>
          <w:tcPr>
            <w:tcW w:w="965" w:type="dxa"/>
            <w:tcBorders>
              <w:top w:val="nil"/>
              <w:left w:val="nil"/>
              <w:bottom w:val="single" w:sz="2" w:space="0" w:color="auto"/>
              <w:right w:val="nil"/>
            </w:tcBorders>
            <w:shd w:val="clear" w:color="auto" w:fill="FFFFFF"/>
            <w:vAlign w:val="bottom"/>
          </w:tcPr>
          <w:p w14:paraId="2FCBB30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11,300</w:t>
            </w:r>
          </w:p>
        </w:tc>
      </w:tr>
      <w:tr w:rsidR="002E375F" w14:paraId="4F6DBE45" w14:textId="77777777" w:rsidTr="00B55A2A">
        <w:tc>
          <w:tcPr>
            <w:tcW w:w="4155" w:type="dxa"/>
            <w:gridSpan w:val="2"/>
            <w:tcBorders>
              <w:top w:val="nil"/>
              <w:left w:val="nil"/>
              <w:bottom w:val="nil"/>
              <w:right w:val="nil"/>
            </w:tcBorders>
            <w:shd w:val="clear" w:color="auto" w:fill="FFFFFF"/>
            <w:vAlign w:val="bottom"/>
          </w:tcPr>
          <w:p w14:paraId="7446329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Comprehensive Income</w:t>
            </w:r>
          </w:p>
        </w:tc>
        <w:tc>
          <w:tcPr>
            <w:tcW w:w="1021" w:type="dxa"/>
            <w:tcBorders>
              <w:top w:val="nil"/>
              <w:left w:val="nil"/>
              <w:bottom w:val="nil"/>
              <w:right w:val="nil"/>
            </w:tcBorders>
            <w:shd w:val="clear" w:color="auto" w:fill="FFFFFF"/>
            <w:vAlign w:val="bottom"/>
          </w:tcPr>
          <w:p w14:paraId="440F856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227C887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7,447</w:t>
            </w:r>
          </w:p>
        </w:tc>
        <w:tc>
          <w:tcPr>
            <w:tcW w:w="964" w:type="dxa"/>
            <w:tcBorders>
              <w:top w:val="nil"/>
              <w:left w:val="nil"/>
              <w:bottom w:val="single" w:sz="2" w:space="0" w:color="auto"/>
              <w:right w:val="nil"/>
            </w:tcBorders>
            <w:shd w:val="clear" w:color="auto" w:fill="FFFFFF"/>
            <w:vAlign w:val="bottom"/>
          </w:tcPr>
          <w:p w14:paraId="1E8C403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(440)</w:t>
            </w:r>
          </w:p>
        </w:tc>
        <w:tc>
          <w:tcPr>
            <w:tcW w:w="964" w:type="dxa"/>
            <w:tcBorders>
              <w:top w:val="nil"/>
              <w:left w:val="nil"/>
              <w:bottom w:val="single" w:sz="2" w:space="0" w:color="auto"/>
              <w:right w:val="nil"/>
            </w:tcBorders>
            <w:shd w:val="clear" w:color="auto" w:fill="FFFFFF"/>
            <w:vAlign w:val="bottom"/>
          </w:tcPr>
          <w:p w14:paraId="0587F83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7,887</w:t>
            </w:r>
          </w:p>
        </w:tc>
        <w:tc>
          <w:tcPr>
            <w:tcW w:w="965" w:type="dxa"/>
            <w:tcBorders>
              <w:top w:val="nil"/>
              <w:left w:val="nil"/>
              <w:bottom w:val="single" w:sz="2" w:space="0" w:color="auto"/>
              <w:right w:val="nil"/>
            </w:tcBorders>
            <w:shd w:val="clear" w:color="auto" w:fill="FFFFFF"/>
            <w:vAlign w:val="bottom"/>
          </w:tcPr>
          <w:p w14:paraId="4C4A09F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11,300</w:t>
            </w:r>
          </w:p>
        </w:tc>
      </w:tr>
      <w:tr w:rsidR="002E375F" w14:paraId="4A1745C1" w14:textId="77777777" w:rsidTr="00B55A2A">
        <w:tc>
          <w:tcPr>
            <w:tcW w:w="340" w:type="dxa"/>
            <w:tcBorders>
              <w:top w:val="nil"/>
              <w:left w:val="nil"/>
              <w:bottom w:val="nil"/>
              <w:right w:val="nil"/>
            </w:tcBorders>
            <w:shd w:val="clear" w:color="auto" w:fill="FFFFFF"/>
          </w:tcPr>
          <w:p w14:paraId="40293FF9" w14:textId="77777777" w:rsidR="002E375F" w:rsidRDefault="00EB2569" w:rsidP="005A3B27">
            <w:pPr>
              <w:autoSpaceDE w:val="0"/>
              <w:autoSpaceDN w:val="0"/>
              <w:adjustRightInd w:val="0"/>
              <w:spacing w:after="0" w:line="240" w:lineRule="auto"/>
              <w:ind w:right="255"/>
              <w:rPr>
                <w:rFonts w:ascii="Times New Roman" w:hAnsi="Times New Roman" w:cs="Times New Roman"/>
                <w:sz w:val="24"/>
                <w:szCs w:val="24"/>
              </w:rPr>
            </w:pPr>
            <w:r>
              <w:rPr>
                <w:rFonts w:ascii="Arial" w:hAnsi="Arial" w:cs="Arial"/>
                <w:sz w:val="18"/>
                <w:szCs w:val="18"/>
              </w:rPr>
              <w:t>*</w:t>
            </w:r>
            <w:r>
              <w:rPr>
                <w:rFonts w:ascii="Arial" w:hAnsi="Arial" w:cs="Arial"/>
                <w:sz w:val="18"/>
                <w:szCs w:val="18"/>
              </w:rPr>
              <w:br/>
              <w:t>^</w:t>
            </w:r>
          </w:p>
        </w:tc>
        <w:tc>
          <w:tcPr>
            <w:tcW w:w="8693" w:type="dxa"/>
            <w:gridSpan w:val="6"/>
            <w:tcBorders>
              <w:top w:val="nil"/>
              <w:left w:val="nil"/>
              <w:bottom w:val="nil"/>
              <w:right w:val="nil"/>
            </w:tcBorders>
            <w:shd w:val="clear" w:color="auto" w:fill="FFFFFF"/>
            <w:vAlign w:val="bottom"/>
          </w:tcPr>
          <w:p w14:paraId="0988044F" w14:textId="77777777" w:rsidR="00D96C86" w:rsidRDefault="00EB2569">
            <w:pPr>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An explanation of major variances is included at Note E1-1.</w:t>
            </w:r>
          </w:p>
          <w:p w14:paraId="4219FDCD" w14:textId="77777777" w:rsidR="002E375F" w:rsidRDefault="00EB2569">
            <w:pPr>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These figures represent budgeted figures as published in the latest Service Delivery Statement tabled in Parliament.</w:t>
            </w:r>
          </w:p>
          <w:p w14:paraId="7A2A76AA" w14:textId="77777777" w:rsidR="00AE1BB2" w:rsidRDefault="00AE1BB2" w:rsidP="00AE1BB2">
            <w:pPr>
              <w:autoSpaceDE w:val="0"/>
              <w:autoSpaceDN w:val="0"/>
              <w:adjustRightInd w:val="0"/>
              <w:spacing w:after="141" w:line="240" w:lineRule="auto"/>
              <w:jc w:val="both"/>
              <w:rPr>
                <w:rFonts w:ascii="Times New Roman" w:hAnsi="Times New Roman" w:cs="Times New Roman"/>
                <w:sz w:val="24"/>
                <w:szCs w:val="24"/>
              </w:rPr>
            </w:pPr>
            <w:r w:rsidRPr="00DD2CED">
              <w:rPr>
                <w:sz w:val="16"/>
                <w:szCs w:val="16"/>
              </w:rPr>
              <w:t>The accompanying notes form part of these financial statements</w:t>
            </w:r>
            <w:r>
              <w:rPr>
                <w:sz w:val="16"/>
                <w:szCs w:val="16"/>
              </w:rPr>
              <w:t>.</w:t>
            </w:r>
          </w:p>
        </w:tc>
      </w:tr>
    </w:tbl>
    <w:p w14:paraId="79DBC976" w14:textId="77777777" w:rsidR="002E375F" w:rsidRDefault="00EB2569">
      <w:pPr>
        <w:autoSpaceDE w:val="0"/>
        <w:autoSpaceDN w:val="0"/>
        <w:adjustRightInd w:val="0"/>
        <w:spacing w:after="141" w:line="240" w:lineRule="auto"/>
        <w:jc w:val="both"/>
        <w:rPr>
          <w:rFonts w:ascii="Times New Roman" w:hAnsi="Times New Roman" w:cs="Times New Roman"/>
          <w:sz w:val="24"/>
          <w:szCs w:val="24"/>
        </w:rPr>
      </w:pPr>
      <w:r>
        <w:rPr>
          <w:rFonts w:ascii="Arial" w:hAnsi="Arial" w:cs="Arial"/>
          <w:b/>
          <w:bCs/>
          <w:sz w:val="16"/>
          <w:szCs w:val="16"/>
        </w:rPr>
        <w:t>Additional Information</w:t>
      </w:r>
    </w:p>
    <w:p w14:paraId="7FCCB796" w14:textId="77777777" w:rsidR="00DD2CED" w:rsidRPr="00DD2CED" w:rsidRDefault="00EB2569" w:rsidP="00BD728B">
      <w:pPr>
        <w:autoSpaceDE w:val="0"/>
        <w:autoSpaceDN w:val="0"/>
        <w:adjustRightInd w:val="0"/>
        <w:spacing w:after="141" w:line="240" w:lineRule="auto"/>
        <w:rPr>
          <w:sz w:val="16"/>
          <w:szCs w:val="16"/>
        </w:rPr>
        <w:sectPr w:rsidR="00DD2CED" w:rsidRPr="00DD2CED" w:rsidSect="00D40BAA">
          <w:pgSz w:w="11909" w:h="16834"/>
          <w:pgMar w:top="1440" w:right="1440" w:bottom="1440" w:left="1440" w:header="720" w:footer="720" w:gutter="0"/>
          <w:cols w:space="720"/>
          <w:noEndnote/>
        </w:sectPr>
      </w:pPr>
      <w:r>
        <w:rPr>
          <w:rFonts w:ascii="Arial" w:hAnsi="Arial" w:cs="Arial"/>
          <w:sz w:val="16"/>
          <w:szCs w:val="16"/>
        </w:rPr>
        <w:t>Key contributors to the 2019-20 operating surplus of $7.447M include the recognition of a number of non-cash items including reversal of the revaluation decrement of $6.410M offset by a net loss on disposal of property, plant equipment of $1.328M. The surplus includes $1.190M in revenue received from the Commonwealth (Continuity of Support accommodation management grant) for the refurbishment of residential supported accommodation, recognised as capital expenditure. The department also received greater non-appropriated revenue of $1.175M.</w:t>
      </w:r>
    </w:p>
    <w:p w14:paraId="6BAC0248" w14:textId="77777777" w:rsidR="002E375F" w:rsidRDefault="00EB2569" w:rsidP="00F45CE1">
      <w:pPr>
        <w:pStyle w:val="Heading2"/>
        <w:spacing w:before="0"/>
        <w:rPr>
          <w:rFonts w:ascii="Times New Roman" w:hAnsi="Times New Roman" w:cs="Times New Roman"/>
        </w:rPr>
      </w:pPr>
      <w:r>
        <w:lastRenderedPageBreak/>
        <w:t>Department of Communities, Disability Services and Seniors</w:t>
      </w:r>
    </w:p>
    <w:p w14:paraId="40E069AF" w14:textId="77777777" w:rsidR="002E375F" w:rsidRDefault="00EB2569" w:rsidP="00F45CE1">
      <w:pPr>
        <w:pStyle w:val="Heading2"/>
        <w:spacing w:before="0"/>
        <w:rPr>
          <w:rFonts w:ascii="Times New Roman" w:hAnsi="Times New Roman" w:cs="Times New Roman"/>
        </w:rPr>
      </w:pPr>
      <w:r>
        <w:t>Income Statement by Major Departmental Services - Controlled</w:t>
      </w:r>
    </w:p>
    <w:p w14:paraId="7C433D35" w14:textId="77777777" w:rsidR="002E375F" w:rsidRDefault="00EB2569" w:rsidP="00F45CE1">
      <w:pPr>
        <w:pStyle w:val="Heading2"/>
        <w:spacing w:before="0"/>
        <w:rPr>
          <w:rFonts w:ascii="Times New Roman" w:hAnsi="Times New Roman" w:cs="Times New Roman"/>
        </w:rPr>
      </w:pPr>
      <w:r>
        <w:t>for the year ended 30 June 2020</w:t>
      </w:r>
    </w:p>
    <w:p w14:paraId="3A9003E7" w14:textId="77777777" w:rsidR="002E375F" w:rsidRDefault="002E375F">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835"/>
        <w:gridCol w:w="964"/>
        <w:gridCol w:w="964"/>
        <w:gridCol w:w="964"/>
        <w:gridCol w:w="964"/>
        <w:gridCol w:w="1134"/>
        <w:gridCol w:w="1135"/>
      </w:tblGrid>
      <w:tr w:rsidR="002E375F" w14:paraId="05BD6339" w14:textId="77777777">
        <w:tc>
          <w:tcPr>
            <w:tcW w:w="7835" w:type="dxa"/>
            <w:tcBorders>
              <w:top w:val="nil"/>
              <w:left w:val="nil"/>
              <w:bottom w:val="nil"/>
              <w:right w:val="nil"/>
            </w:tcBorders>
            <w:shd w:val="clear" w:color="auto" w:fill="FFFFFF"/>
            <w:vAlign w:val="bottom"/>
          </w:tcPr>
          <w:p w14:paraId="41F29341" w14:textId="77777777" w:rsidR="002E375F" w:rsidRDefault="002E375F" w:rsidP="001C442D">
            <w:pPr>
              <w:pStyle w:val="Heading2"/>
            </w:pPr>
          </w:p>
        </w:tc>
        <w:tc>
          <w:tcPr>
            <w:tcW w:w="1928" w:type="dxa"/>
            <w:gridSpan w:val="2"/>
            <w:tcBorders>
              <w:top w:val="nil"/>
              <w:left w:val="nil"/>
              <w:bottom w:val="nil"/>
              <w:right w:val="nil"/>
            </w:tcBorders>
            <w:shd w:val="clear" w:color="auto" w:fill="FFFFFF"/>
            <w:vAlign w:val="bottom"/>
          </w:tcPr>
          <w:p w14:paraId="1207F264" w14:textId="77777777" w:rsidR="002E375F" w:rsidRDefault="00EB2569" w:rsidP="00862FE1">
            <w:pPr>
              <w:pStyle w:val="Heading2"/>
              <w:jc w:val="center"/>
            </w:pPr>
            <w:r>
              <w:rPr>
                <w:rFonts w:ascii="Arial" w:hAnsi="Arial" w:cs="Arial"/>
                <w:b/>
                <w:bCs/>
                <w:sz w:val="18"/>
                <w:szCs w:val="18"/>
              </w:rPr>
              <w:t>Disability Services</w:t>
            </w:r>
          </w:p>
        </w:tc>
        <w:tc>
          <w:tcPr>
            <w:tcW w:w="1928" w:type="dxa"/>
            <w:gridSpan w:val="2"/>
            <w:tcBorders>
              <w:top w:val="nil"/>
              <w:left w:val="nil"/>
              <w:bottom w:val="nil"/>
              <w:right w:val="nil"/>
            </w:tcBorders>
            <w:shd w:val="clear" w:color="auto" w:fill="FFFFFF"/>
            <w:vAlign w:val="bottom"/>
          </w:tcPr>
          <w:p w14:paraId="55EAAEA2" w14:textId="77777777" w:rsidR="002E375F" w:rsidRDefault="00EB2569" w:rsidP="00862FE1">
            <w:pPr>
              <w:pStyle w:val="Heading2"/>
              <w:jc w:val="center"/>
            </w:pPr>
            <w:r>
              <w:rPr>
                <w:rFonts w:ascii="Arial" w:hAnsi="Arial" w:cs="Arial"/>
                <w:b/>
                <w:bCs/>
                <w:sz w:val="18"/>
                <w:szCs w:val="18"/>
              </w:rPr>
              <w:t>Community and Seniors Services</w:t>
            </w:r>
          </w:p>
        </w:tc>
        <w:tc>
          <w:tcPr>
            <w:tcW w:w="2269" w:type="dxa"/>
            <w:gridSpan w:val="2"/>
            <w:tcBorders>
              <w:top w:val="nil"/>
              <w:left w:val="nil"/>
              <w:bottom w:val="nil"/>
              <w:right w:val="nil"/>
            </w:tcBorders>
            <w:shd w:val="clear" w:color="auto" w:fill="FFFFFF"/>
            <w:vAlign w:val="bottom"/>
          </w:tcPr>
          <w:p w14:paraId="273A618F" w14:textId="77777777" w:rsidR="002E375F" w:rsidRDefault="00EB2569" w:rsidP="00862FE1">
            <w:pPr>
              <w:pStyle w:val="Heading2"/>
              <w:jc w:val="center"/>
            </w:pPr>
            <w:r>
              <w:rPr>
                <w:rFonts w:ascii="Arial" w:hAnsi="Arial" w:cs="Arial"/>
                <w:b/>
                <w:bCs/>
                <w:sz w:val="18"/>
                <w:szCs w:val="18"/>
              </w:rPr>
              <w:t>Total</w:t>
            </w:r>
          </w:p>
        </w:tc>
      </w:tr>
      <w:tr w:rsidR="002E375F" w14:paraId="6FED9209" w14:textId="77777777">
        <w:tc>
          <w:tcPr>
            <w:tcW w:w="7835" w:type="dxa"/>
            <w:tcBorders>
              <w:top w:val="nil"/>
              <w:left w:val="nil"/>
              <w:bottom w:val="nil"/>
              <w:right w:val="nil"/>
            </w:tcBorders>
            <w:shd w:val="clear" w:color="auto" w:fill="FFFFFF"/>
            <w:vAlign w:val="bottom"/>
          </w:tcPr>
          <w:p w14:paraId="4D9444FE"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4C27A275" w14:textId="77777777" w:rsidR="002E375F" w:rsidRDefault="00EB2569" w:rsidP="00862FE1">
            <w:pPr>
              <w:pStyle w:val="Heading2"/>
              <w:jc w:val="right"/>
            </w:pPr>
            <w:r>
              <w:rPr>
                <w:rFonts w:ascii="Arial" w:hAnsi="Arial" w:cs="Arial"/>
                <w:b/>
                <w:bCs/>
                <w:sz w:val="18"/>
                <w:szCs w:val="18"/>
              </w:rP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279048B5" w14:textId="77777777" w:rsidR="002E375F" w:rsidRDefault="00EB2569" w:rsidP="00862FE1">
            <w:pPr>
              <w:pStyle w:val="Heading2"/>
              <w:jc w:val="right"/>
            </w:pPr>
            <w:r>
              <w:rPr>
                <w:rFonts w:ascii="Arial" w:hAnsi="Arial" w:cs="Arial"/>
                <w:sz w:val="18"/>
                <w:szCs w:val="18"/>
              </w:rPr>
              <w:t>2019</w:t>
            </w:r>
            <w:r>
              <w:rPr>
                <w:rFonts w:ascii="Arial" w:hAnsi="Arial" w:cs="Arial"/>
                <w:sz w:val="18"/>
                <w:szCs w:val="18"/>
              </w:rPr>
              <w:br/>
              <w:t>$'000</w:t>
            </w:r>
          </w:p>
        </w:tc>
        <w:tc>
          <w:tcPr>
            <w:tcW w:w="964" w:type="dxa"/>
            <w:tcBorders>
              <w:top w:val="nil"/>
              <w:left w:val="nil"/>
              <w:bottom w:val="nil"/>
              <w:right w:val="nil"/>
            </w:tcBorders>
            <w:shd w:val="clear" w:color="auto" w:fill="FFFFFF"/>
            <w:vAlign w:val="bottom"/>
          </w:tcPr>
          <w:p w14:paraId="6542184D" w14:textId="77777777" w:rsidR="002E375F" w:rsidRDefault="00EB2569" w:rsidP="00862FE1">
            <w:pPr>
              <w:pStyle w:val="Heading2"/>
              <w:jc w:val="right"/>
            </w:pPr>
            <w:r>
              <w:rPr>
                <w:rFonts w:ascii="Arial" w:hAnsi="Arial" w:cs="Arial"/>
                <w:b/>
                <w:bCs/>
                <w:sz w:val="18"/>
                <w:szCs w:val="18"/>
              </w:rP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33AB25EE" w14:textId="77777777" w:rsidR="002E375F" w:rsidRDefault="00EB2569" w:rsidP="00862FE1">
            <w:pPr>
              <w:pStyle w:val="Heading2"/>
              <w:jc w:val="right"/>
            </w:pPr>
            <w:r>
              <w:rPr>
                <w:rFonts w:ascii="Arial" w:hAnsi="Arial" w:cs="Arial"/>
                <w:sz w:val="18"/>
                <w:szCs w:val="18"/>
              </w:rPr>
              <w:t>2019</w:t>
            </w:r>
            <w:r>
              <w:rPr>
                <w:rFonts w:ascii="Arial" w:hAnsi="Arial" w:cs="Arial"/>
                <w:sz w:val="18"/>
                <w:szCs w:val="18"/>
              </w:rPr>
              <w:br/>
              <w:t>$'000</w:t>
            </w:r>
          </w:p>
        </w:tc>
        <w:tc>
          <w:tcPr>
            <w:tcW w:w="1134" w:type="dxa"/>
            <w:tcBorders>
              <w:top w:val="nil"/>
              <w:left w:val="nil"/>
              <w:bottom w:val="nil"/>
              <w:right w:val="nil"/>
            </w:tcBorders>
            <w:shd w:val="clear" w:color="auto" w:fill="FFFFFF"/>
            <w:vAlign w:val="bottom"/>
          </w:tcPr>
          <w:p w14:paraId="47DADAC6" w14:textId="77777777" w:rsidR="002E375F" w:rsidRDefault="00EB2569" w:rsidP="00862FE1">
            <w:pPr>
              <w:pStyle w:val="Heading2"/>
              <w:jc w:val="right"/>
            </w:pPr>
            <w:r>
              <w:rPr>
                <w:rFonts w:ascii="Arial" w:hAnsi="Arial" w:cs="Arial"/>
                <w:b/>
                <w:bCs/>
                <w:sz w:val="18"/>
                <w:szCs w:val="18"/>
              </w:rPr>
              <w:t>2020</w:t>
            </w:r>
            <w:r>
              <w:rPr>
                <w:rFonts w:ascii="Arial" w:hAnsi="Arial" w:cs="Arial"/>
                <w:b/>
                <w:bCs/>
                <w:sz w:val="18"/>
                <w:szCs w:val="18"/>
              </w:rPr>
              <w:br/>
              <w:t>$'000</w:t>
            </w:r>
          </w:p>
        </w:tc>
        <w:tc>
          <w:tcPr>
            <w:tcW w:w="1134" w:type="dxa"/>
            <w:tcBorders>
              <w:top w:val="nil"/>
              <w:left w:val="nil"/>
              <w:bottom w:val="nil"/>
              <w:right w:val="nil"/>
            </w:tcBorders>
            <w:shd w:val="clear" w:color="auto" w:fill="FFFFFF"/>
            <w:vAlign w:val="bottom"/>
          </w:tcPr>
          <w:p w14:paraId="3207CA6D" w14:textId="77777777" w:rsidR="002E375F" w:rsidRDefault="00EB2569" w:rsidP="00862FE1">
            <w:pPr>
              <w:pStyle w:val="Heading2"/>
              <w:jc w:val="right"/>
            </w:pPr>
            <w:r>
              <w:rPr>
                <w:rFonts w:ascii="Arial" w:hAnsi="Arial" w:cs="Arial"/>
                <w:sz w:val="18"/>
                <w:szCs w:val="18"/>
              </w:rPr>
              <w:t>2019</w:t>
            </w:r>
            <w:r>
              <w:rPr>
                <w:rFonts w:ascii="Arial" w:hAnsi="Arial" w:cs="Arial"/>
                <w:sz w:val="18"/>
                <w:szCs w:val="18"/>
              </w:rPr>
              <w:br/>
              <w:t>$'000</w:t>
            </w:r>
          </w:p>
        </w:tc>
      </w:tr>
      <w:tr w:rsidR="002E375F" w14:paraId="1E2A6A8E" w14:textId="77777777">
        <w:tc>
          <w:tcPr>
            <w:tcW w:w="7835" w:type="dxa"/>
            <w:tcBorders>
              <w:top w:val="nil"/>
              <w:left w:val="nil"/>
              <w:bottom w:val="nil"/>
              <w:right w:val="nil"/>
            </w:tcBorders>
            <w:shd w:val="clear" w:color="auto" w:fill="FFFFFF"/>
            <w:vAlign w:val="bottom"/>
          </w:tcPr>
          <w:p w14:paraId="0808465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Income from Operations</w:t>
            </w:r>
          </w:p>
        </w:tc>
        <w:tc>
          <w:tcPr>
            <w:tcW w:w="964" w:type="dxa"/>
            <w:tcBorders>
              <w:top w:val="nil"/>
              <w:left w:val="nil"/>
              <w:bottom w:val="nil"/>
              <w:right w:val="nil"/>
            </w:tcBorders>
            <w:shd w:val="clear" w:color="auto" w:fill="FFFFFF"/>
            <w:vAlign w:val="bottom"/>
          </w:tcPr>
          <w:p w14:paraId="407EBD1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928D42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E5FA9D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704915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vAlign w:val="bottom"/>
          </w:tcPr>
          <w:p w14:paraId="5548EC2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vAlign w:val="bottom"/>
          </w:tcPr>
          <w:p w14:paraId="699898C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67B44F1C" w14:textId="77777777">
        <w:tc>
          <w:tcPr>
            <w:tcW w:w="7835" w:type="dxa"/>
            <w:tcBorders>
              <w:top w:val="nil"/>
              <w:left w:val="nil"/>
              <w:bottom w:val="nil"/>
              <w:right w:val="nil"/>
            </w:tcBorders>
            <w:shd w:val="clear" w:color="auto" w:fill="FFFFFF"/>
            <w:vAlign w:val="bottom"/>
          </w:tcPr>
          <w:p w14:paraId="5C46960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Appropriation revenue</w:t>
            </w:r>
          </w:p>
        </w:tc>
        <w:tc>
          <w:tcPr>
            <w:tcW w:w="964" w:type="dxa"/>
            <w:tcBorders>
              <w:top w:val="nil"/>
              <w:left w:val="nil"/>
              <w:bottom w:val="nil"/>
              <w:right w:val="nil"/>
            </w:tcBorders>
            <w:shd w:val="clear" w:color="auto" w:fill="FFFFFF"/>
            <w:vAlign w:val="bottom"/>
          </w:tcPr>
          <w:p w14:paraId="1AF5D56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183,298</w:t>
            </w:r>
          </w:p>
        </w:tc>
        <w:tc>
          <w:tcPr>
            <w:tcW w:w="964" w:type="dxa"/>
            <w:tcBorders>
              <w:top w:val="nil"/>
              <w:left w:val="nil"/>
              <w:bottom w:val="nil"/>
              <w:right w:val="nil"/>
            </w:tcBorders>
            <w:shd w:val="clear" w:color="auto" w:fill="FFFFFF"/>
            <w:vAlign w:val="bottom"/>
          </w:tcPr>
          <w:p w14:paraId="64094C0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846,759</w:t>
            </w:r>
          </w:p>
        </w:tc>
        <w:tc>
          <w:tcPr>
            <w:tcW w:w="964" w:type="dxa"/>
            <w:tcBorders>
              <w:top w:val="nil"/>
              <w:left w:val="nil"/>
              <w:bottom w:val="nil"/>
              <w:right w:val="nil"/>
            </w:tcBorders>
            <w:shd w:val="clear" w:color="auto" w:fill="FFFFFF"/>
            <w:vAlign w:val="bottom"/>
          </w:tcPr>
          <w:p w14:paraId="53B6806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175,446</w:t>
            </w:r>
          </w:p>
        </w:tc>
        <w:tc>
          <w:tcPr>
            <w:tcW w:w="964" w:type="dxa"/>
            <w:tcBorders>
              <w:top w:val="nil"/>
              <w:left w:val="nil"/>
              <w:bottom w:val="nil"/>
              <w:right w:val="nil"/>
            </w:tcBorders>
            <w:shd w:val="clear" w:color="auto" w:fill="FFFFFF"/>
            <w:vAlign w:val="bottom"/>
          </w:tcPr>
          <w:p w14:paraId="1B69FEA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131,731</w:t>
            </w:r>
          </w:p>
        </w:tc>
        <w:tc>
          <w:tcPr>
            <w:tcW w:w="1134" w:type="dxa"/>
            <w:tcBorders>
              <w:top w:val="nil"/>
              <w:left w:val="nil"/>
              <w:bottom w:val="nil"/>
              <w:right w:val="nil"/>
            </w:tcBorders>
            <w:shd w:val="clear" w:color="auto" w:fill="FFFFFF"/>
            <w:vAlign w:val="bottom"/>
          </w:tcPr>
          <w:p w14:paraId="4C5A84A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358,744</w:t>
            </w:r>
          </w:p>
        </w:tc>
        <w:tc>
          <w:tcPr>
            <w:tcW w:w="1134" w:type="dxa"/>
            <w:tcBorders>
              <w:top w:val="nil"/>
              <w:left w:val="nil"/>
              <w:bottom w:val="nil"/>
              <w:right w:val="nil"/>
            </w:tcBorders>
            <w:shd w:val="clear" w:color="auto" w:fill="FFFFFF"/>
            <w:vAlign w:val="bottom"/>
          </w:tcPr>
          <w:p w14:paraId="47A0323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978,490</w:t>
            </w:r>
          </w:p>
        </w:tc>
      </w:tr>
      <w:tr w:rsidR="002E375F" w14:paraId="4AC90D80" w14:textId="77777777">
        <w:tc>
          <w:tcPr>
            <w:tcW w:w="7835" w:type="dxa"/>
            <w:tcBorders>
              <w:top w:val="nil"/>
              <w:left w:val="nil"/>
              <w:bottom w:val="nil"/>
              <w:right w:val="nil"/>
            </w:tcBorders>
            <w:shd w:val="clear" w:color="auto" w:fill="FFFFFF"/>
            <w:vAlign w:val="bottom"/>
          </w:tcPr>
          <w:p w14:paraId="0B4BD62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User charges and fees</w:t>
            </w:r>
          </w:p>
        </w:tc>
        <w:tc>
          <w:tcPr>
            <w:tcW w:w="964" w:type="dxa"/>
            <w:tcBorders>
              <w:top w:val="nil"/>
              <w:left w:val="nil"/>
              <w:bottom w:val="nil"/>
              <w:right w:val="nil"/>
            </w:tcBorders>
            <w:shd w:val="clear" w:color="auto" w:fill="FFFFFF"/>
            <w:vAlign w:val="bottom"/>
          </w:tcPr>
          <w:p w14:paraId="7763DFC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2,363</w:t>
            </w:r>
          </w:p>
        </w:tc>
        <w:tc>
          <w:tcPr>
            <w:tcW w:w="964" w:type="dxa"/>
            <w:tcBorders>
              <w:top w:val="nil"/>
              <w:left w:val="nil"/>
              <w:bottom w:val="nil"/>
              <w:right w:val="nil"/>
            </w:tcBorders>
            <w:shd w:val="clear" w:color="auto" w:fill="FFFFFF"/>
            <w:vAlign w:val="bottom"/>
          </w:tcPr>
          <w:p w14:paraId="4D8D8D7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2,830</w:t>
            </w:r>
          </w:p>
        </w:tc>
        <w:tc>
          <w:tcPr>
            <w:tcW w:w="964" w:type="dxa"/>
            <w:tcBorders>
              <w:top w:val="nil"/>
              <w:left w:val="nil"/>
              <w:bottom w:val="nil"/>
              <w:right w:val="nil"/>
            </w:tcBorders>
            <w:shd w:val="clear" w:color="auto" w:fill="FFFFFF"/>
            <w:vAlign w:val="bottom"/>
          </w:tcPr>
          <w:p w14:paraId="4A781D7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5,061</w:t>
            </w:r>
          </w:p>
        </w:tc>
        <w:tc>
          <w:tcPr>
            <w:tcW w:w="964" w:type="dxa"/>
            <w:tcBorders>
              <w:top w:val="nil"/>
              <w:left w:val="nil"/>
              <w:bottom w:val="nil"/>
              <w:right w:val="nil"/>
            </w:tcBorders>
            <w:shd w:val="clear" w:color="auto" w:fill="FFFFFF"/>
            <w:vAlign w:val="bottom"/>
          </w:tcPr>
          <w:p w14:paraId="7D0F29E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5,429</w:t>
            </w:r>
          </w:p>
        </w:tc>
        <w:tc>
          <w:tcPr>
            <w:tcW w:w="1134" w:type="dxa"/>
            <w:tcBorders>
              <w:top w:val="nil"/>
              <w:left w:val="nil"/>
              <w:bottom w:val="nil"/>
              <w:right w:val="nil"/>
            </w:tcBorders>
            <w:shd w:val="clear" w:color="auto" w:fill="FFFFFF"/>
            <w:vAlign w:val="bottom"/>
          </w:tcPr>
          <w:p w14:paraId="49C794A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7,424</w:t>
            </w:r>
          </w:p>
        </w:tc>
        <w:tc>
          <w:tcPr>
            <w:tcW w:w="1134" w:type="dxa"/>
            <w:tcBorders>
              <w:top w:val="nil"/>
              <w:left w:val="nil"/>
              <w:bottom w:val="nil"/>
              <w:right w:val="nil"/>
            </w:tcBorders>
            <w:shd w:val="clear" w:color="auto" w:fill="FFFFFF"/>
            <w:vAlign w:val="bottom"/>
          </w:tcPr>
          <w:p w14:paraId="089EAFC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8,259</w:t>
            </w:r>
          </w:p>
        </w:tc>
      </w:tr>
      <w:tr w:rsidR="002E375F" w14:paraId="7D21A776" w14:textId="77777777">
        <w:tc>
          <w:tcPr>
            <w:tcW w:w="7835" w:type="dxa"/>
            <w:tcBorders>
              <w:top w:val="nil"/>
              <w:left w:val="nil"/>
              <w:bottom w:val="nil"/>
              <w:right w:val="nil"/>
            </w:tcBorders>
            <w:shd w:val="clear" w:color="auto" w:fill="FFFFFF"/>
            <w:vAlign w:val="bottom"/>
          </w:tcPr>
          <w:p w14:paraId="1E17BC8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Grants and other contributions</w:t>
            </w:r>
          </w:p>
        </w:tc>
        <w:tc>
          <w:tcPr>
            <w:tcW w:w="964" w:type="dxa"/>
            <w:tcBorders>
              <w:top w:val="nil"/>
              <w:left w:val="nil"/>
              <w:bottom w:val="nil"/>
              <w:right w:val="nil"/>
            </w:tcBorders>
            <w:shd w:val="clear" w:color="auto" w:fill="FFFFFF"/>
            <w:vAlign w:val="bottom"/>
          </w:tcPr>
          <w:p w14:paraId="0FA9008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12,780</w:t>
            </w:r>
          </w:p>
        </w:tc>
        <w:tc>
          <w:tcPr>
            <w:tcW w:w="964" w:type="dxa"/>
            <w:tcBorders>
              <w:top w:val="nil"/>
              <w:left w:val="nil"/>
              <w:bottom w:val="nil"/>
              <w:right w:val="nil"/>
            </w:tcBorders>
            <w:shd w:val="clear" w:color="auto" w:fill="FFFFFF"/>
            <w:vAlign w:val="bottom"/>
          </w:tcPr>
          <w:p w14:paraId="61871C2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24,949</w:t>
            </w:r>
          </w:p>
        </w:tc>
        <w:tc>
          <w:tcPr>
            <w:tcW w:w="964" w:type="dxa"/>
            <w:tcBorders>
              <w:top w:val="nil"/>
              <w:left w:val="nil"/>
              <w:bottom w:val="nil"/>
              <w:right w:val="nil"/>
            </w:tcBorders>
            <w:shd w:val="clear" w:color="auto" w:fill="FFFFFF"/>
            <w:vAlign w:val="bottom"/>
          </w:tcPr>
          <w:p w14:paraId="1750ED5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2,140</w:t>
            </w:r>
          </w:p>
        </w:tc>
        <w:tc>
          <w:tcPr>
            <w:tcW w:w="964" w:type="dxa"/>
            <w:tcBorders>
              <w:top w:val="nil"/>
              <w:left w:val="nil"/>
              <w:bottom w:val="nil"/>
              <w:right w:val="nil"/>
            </w:tcBorders>
            <w:shd w:val="clear" w:color="auto" w:fill="FFFFFF"/>
            <w:vAlign w:val="bottom"/>
          </w:tcPr>
          <w:p w14:paraId="16AD501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5,428</w:t>
            </w:r>
          </w:p>
        </w:tc>
        <w:tc>
          <w:tcPr>
            <w:tcW w:w="1134" w:type="dxa"/>
            <w:tcBorders>
              <w:top w:val="nil"/>
              <w:left w:val="nil"/>
              <w:bottom w:val="nil"/>
              <w:right w:val="nil"/>
            </w:tcBorders>
            <w:shd w:val="clear" w:color="auto" w:fill="FFFFFF"/>
            <w:vAlign w:val="bottom"/>
          </w:tcPr>
          <w:p w14:paraId="11E71C8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14,920</w:t>
            </w:r>
          </w:p>
        </w:tc>
        <w:tc>
          <w:tcPr>
            <w:tcW w:w="1134" w:type="dxa"/>
            <w:tcBorders>
              <w:top w:val="nil"/>
              <w:left w:val="nil"/>
              <w:bottom w:val="nil"/>
              <w:right w:val="nil"/>
            </w:tcBorders>
            <w:shd w:val="clear" w:color="auto" w:fill="FFFFFF"/>
            <w:vAlign w:val="bottom"/>
          </w:tcPr>
          <w:p w14:paraId="6A3E8FD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30,377</w:t>
            </w:r>
          </w:p>
        </w:tc>
      </w:tr>
      <w:tr w:rsidR="002E375F" w14:paraId="59DB8A5B" w14:textId="77777777">
        <w:tc>
          <w:tcPr>
            <w:tcW w:w="7835" w:type="dxa"/>
            <w:tcBorders>
              <w:top w:val="nil"/>
              <w:left w:val="nil"/>
              <w:bottom w:val="nil"/>
              <w:right w:val="nil"/>
            </w:tcBorders>
            <w:shd w:val="clear" w:color="auto" w:fill="FFFFFF"/>
            <w:vAlign w:val="bottom"/>
          </w:tcPr>
          <w:p w14:paraId="0F22511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Interest</w:t>
            </w:r>
          </w:p>
        </w:tc>
        <w:tc>
          <w:tcPr>
            <w:tcW w:w="964" w:type="dxa"/>
            <w:tcBorders>
              <w:top w:val="nil"/>
              <w:left w:val="nil"/>
              <w:bottom w:val="nil"/>
              <w:right w:val="nil"/>
            </w:tcBorders>
            <w:shd w:val="clear" w:color="auto" w:fill="FFFFFF"/>
            <w:vAlign w:val="bottom"/>
          </w:tcPr>
          <w:p w14:paraId="328D45C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w:t>
            </w:r>
          </w:p>
        </w:tc>
        <w:tc>
          <w:tcPr>
            <w:tcW w:w="964" w:type="dxa"/>
            <w:tcBorders>
              <w:top w:val="nil"/>
              <w:left w:val="nil"/>
              <w:bottom w:val="nil"/>
              <w:right w:val="nil"/>
            </w:tcBorders>
            <w:shd w:val="clear" w:color="auto" w:fill="FFFFFF"/>
            <w:vAlign w:val="bottom"/>
          </w:tcPr>
          <w:p w14:paraId="70BBCBF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60</w:t>
            </w:r>
          </w:p>
        </w:tc>
        <w:tc>
          <w:tcPr>
            <w:tcW w:w="964" w:type="dxa"/>
            <w:tcBorders>
              <w:top w:val="nil"/>
              <w:left w:val="nil"/>
              <w:bottom w:val="nil"/>
              <w:right w:val="nil"/>
            </w:tcBorders>
            <w:shd w:val="clear" w:color="auto" w:fill="FFFFFF"/>
            <w:vAlign w:val="bottom"/>
          </w:tcPr>
          <w:p w14:paraId="6F8DDF8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30C4716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1134" w:type="dxa"/>
            <w:tcBorders>
              <w:top w:val="nil"/>
              <w:left w:val="nil"/>
              <w:bottom w:val="nil"/>
              <w:right w:val="nil"/>
            </w:tcBorders>
            <w:shd w:val="clear" w:color="auto" w:fill="FFFFFF"/>
            <w:vAlign w:val="bottom"/>
          </w:tcPr>
          <w:p w14:paraId="7B3EEA3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w:t>
            </w:r>
          </w:p>
        </w:tc>
        <w:tc>
          <w:tcPr>
            <w:tcW w:w="1134" w:type="dxa"/>
            <w:tcBorders>
              <w:top w:val="nil"/>
              <w:left w:val="nil"/>
              <w:bottom w:val="nil"/>
              <w:right w:val="nil"/>
            </w:tcBorders>
            <w:shd w:val="clear" w:color="auto" w:fill="FFFFFF"/>
            <w:vAlign w:val="bottom"/>
          </w:tcPr>
          <w:p w14:paraId="37ABEE2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60</w:t>
            </w:r>
          </w:p>
        </w:tc>
      </w:tr>
      <w:tr w:rsidR="002E375F" w14:paraId="1E72F70E" w14:textId="77777777">
        <w:tc>
          <w:tcPr>
            <w:tcW w:w="7835" w:type="dxa"/>
            <w:tcBorders>
              <w:top w:val="nil"/>
              <w:left w:val="nil"/>
              <w:bottom w:val="nil"/>
              <w:right w:val="nil"/>
            </w:tcBorders>
            <w:shd w:val="clear" w:color="auto" w:fill="FFFFFF"/>
            <w:vAlign w:val="bottom"/>
          </w:tcPr>
          <w:p w14:paraId="5657B68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Reversal of revaluation decrement</w:t>
            </w:r>
          </w:p>
        </w:tc>
        <w:tc>
          <w:tcPr>
            <w:tcW w:w="964" w:type="dxa"/>
            <w:tcBorders>
              <w:top w:val="nil"/>
              <w:left w:val="nil"/>
              <w:bottom w:val="nil"/>
              <w:right w:val="nil"/>
            </w:tcBorders>
            <w:shd w:val="clear" w:color="auto" w:fill="FFFFFF"/>
            <w:vAlign w:val="bottom"/>
          </w:tcPr>
          <w:p w14:paraId="7E01267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4,842</w:t>
            </w:r>
          </w:p>
        </w:tc>
        <w:tc>
          <w:tcPr>
            <w:tcW w:w="964" w:type="dxa"/>
            <w:tcBorders>
              <w:top w:val="nil"/>
              <w:left w:val="nil"/>
              <w:bottom w:val="nil"/>
              <w:right w:val="nil"/>
            </w:tcBorders>
            <w:shd w:val="clear" w:color="auto" w:fill="FFFFFF"/>
            <w:vAlign w:val="bottom"/>
          </w:tcPr>
          <w:p w14:paraId="0D2E690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2,257</w:t>
            </w:r>
          </w:p>
        </w:tc>
        <w:tc>
          <w:tcPr>
            <w:tcW w:w="964" w:type="dxa"/>
            <w:tcBorders>
              <w:top w:val="nil"/>
              <w:left w:val="nil"/>
              <w:bottom w:val="nil"/>
              <w:right w:val="nil"/>
            </w:tcBorders>
            <w:shd w:val="clear" w:color="auto" w:fill="FFFFFF"/>
            <w:vAlign w:val="bottom"/>
          </w:tcPr>
          <w:p w14:paraId="487FB5F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1,568</w:t>
            </w:r>
          </w:p>
        </w:tc>
        <w:tc>
          <w:tcPr>
            <w:tcW w:w="964" w:type="dxa"/>
            <w:tcBorders>
              <w:top w:val="nil"/>
              <w:left w:val="nil"/>
              <w:bottom w:val="nil"/>
              <w:right w:val="nil"/>
            </w:tcBorders>
            <w:shd w:val="clear" w:color="auto" w:fill="FFFFFF"/>
            <w:vAlign w:val="bottom"/>
          </w:tcPr>
          <w:p w14:paraId="667493B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1,294</w:t>
            </w:r>
          </w:p>
        </w:tc>
        <w:tc>
          <w:tcPr>
            <w:tcW w:w="1134" w:type="dxa"/>
            <w:tcBorders>
              <w:top w:val="nil"/>
              <w:left w:val="nil"/>
              <w:bottom w:val="nil"/>
              <w:right w:val="nil"/>
            </w:tcBorders>
            <w:shd w:val="clear" w:color="auto" w:fill="FFFFFF"/>
            <w:vAlign w:val="bottom"/>
          </w:tcPr>
          <w:p w14:paraId="21534B7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6,410</w:t>
            </w:r>
          </w:p>
        </w:tc>
        <w:tc>
          <w:tcPr>
            <w:tcW w:w="1134" w:type="dxa"/>
            <w:tcBorders>
              <w:top w:val="nil"/>
              <w:left w:val="nil"/>
              <w:bottom w:val="nil"/>
              <w:right w:val="nil"/>
            </w:tcBorders>
            <w:shd w:val="clear" w:color="auto" w:fill="FFFFFF"/>
            <w:vAlign w:val="bottom"/>
          </w:tcPr>
          <w:p w14:paraId="1382DD5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3,551</w:t>
            </w:r>
          </w:p>
        </w:tc>
      </w:tr>
      <w:tr w:rsidR="002E375F" w14:paraId="038275A8" w14:textId="77777777">
        <w:tc>
          <w:tcPr>
            <w:tcW w:w="7835" w:type="dxa"/>
            <w:tcBorders>
              <w:top w:val="nil"/>
              <w:left w:val="nil"/>
              <w:bottom w:val="nil"/>
              <w:right w:val="nil"/>
            </w:tcBorders>
            <w:shd w:val="clear" w:color="auto" w:fill="FFFFFF"/>
            <w:vAlign w:val="bottom"/>
          </w:tcPr>
          <w:p w14:paraId="3B7C856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 revenue</w:t>
            </w:r>
          </w:p>
        </w:tc>
        <w:tc>
          <w:tcPr>
            <w:tcW w:w="964" w:type="dxa"/>
            <w:tcBorders>
              <w:top w:val="nil"/>
              <w:left w:val="nil"/>
              <w:bottom w:val="nil"/>
              <w:right w:val="nil"/>
            </w:tcBorders>
            <w:shd w:val="clear" w:color="auto" w:fill="FFFFFF"/>
            <w:vAlign w:val="bottom"/>
          </w:tcPr>
          <w:p w14:paraId="331614B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15,516</w:t>
            </w:r>
          </w:p>
        </w:tc>
        <w:tc>
          <w:tcPr>
            <w:tcW w:w="964" w:type="dxa"/>
            <w:tcBorders>
              <w:top w:val="nil"/>
              <w:left w:val="nil"/>
              <w:bottom w:val="nil"/>
              <w:right w:val="nil"/>
            </w:tcBorders>
            <w:shd w:val="clear" w:color="auto" w:fill="FFFFFF"/>
            <w:vAlign w:val="bottom"/>
          </w:tcPr>
          <w:p w14:paraId="71264E1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17,212</w:t>
            </w:r>
          </w:p>
        </w:tc>
        <w:tc>
          <w:tcPr>
            <w:tcW w:w="964" w:type="dxa"/>
            <w:tcBorders>
              <w:top w:val="nil"/>
              <w:left w:val="nil"/>
              <w:bottom w:val="nil"/>
              <w:right w:val="nil"/>
            </w:tcBorders>
            <w:shd w:val="clear" w:color="auto" w:fill="FFFFFF"/>
            <w:vAlign w:val="bottom"/>
          </w:tcPr>
          <w:p w14:paraId="658F4B8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2,958</w:t>
            </w:r>
          </w:p>
        </w:tc>
        <w:tc>
          <w:tcPr>
            <w:tcW w:w="964" w:type="dxa"/>
            <w:tcBorders>
              <w:top w:val="nil"/>
              <w:left w:val="nil"/>
              <w:bottom w:val="nil"/>
              <w:right w:val="nil"/>
            </w:tcBorders>
            <w:shd w:val="clear" w:color="auto" w:fill="FFFFFF"/>
            <w:vAlign w:val="bottom"/>
          </w:tcPr>
          <w:p w14:paraId="455185A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308</w:t>
            </w:r>
          </w:p>
        </w:tc>
        <w:tc>
          <w:tcPr>
            <w:tcW w:w="1134" w:type="dxa"/>
            <w:tcBorders>
              <w:top w:val="nil"/>
              <w:left w:val="nil"/>
              <w:bottom w:val="nil"/>
              <w:right w:val="nil"/>
            </w:tcBorders>
            <w:shd w:val="clear" w:color="auto" w:fill="FFFFFF"/>
            <w:vAlign w:val="bottom"/>
          </w:tcPr>
          <w:p w14:paraId="638080E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18,474</w:t>
            </w:r>
          </w:p>
        </w:tc>
        <w:tc>
          <w:tcPr>
            <w:tcW w:w="1134" w:type="dxa"/>
            <w:tcBorders>
              <w:top w:val="nil"/>
              <w:left w:val="nil"/>
              <w:bottom w:val="nil"/>
              <w:right w:val="nil"/>
            </w:tcBorders>
            <w:shd w:val="clear" w:color="auto" w:fill="FFFFFF"/>
            <w:vAlign w:val="bottom"/>
          </w:tcPr>
          <w:p w14:paraId="53DDEAB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17,520</w:t>
            </w:r>
          </w:p>
        </w:tc>
      </w:tr>
      <w:tr w:rsidR="002E375F" w14:paraId="2E401525" w14:textId="77777777">
        <w:tc>
          <w:tcPr>
            <w:tcW w:w="7835" w:type="dxa"/>
            <w:tcBorders>
              <w:top w:val="nil"/>
              <w:left w:val="nil"/>
              <w:bottom w:val="nil"/>
              <w:right w:val="nil"/>
            </w:tcBorders>
            <w:shd w:val="clear" w:color="auto" w:fill="FFFFFF"/>
            <w:vAlign w:val="bottom"/>
          </w:tcPr>
          <w:p w14:paraId="3EE8553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 gains/(losses) - net</w:t>
            </w:r>
          </w:p>
        </w:tc>
        <w:tc>
          <w:tcPr>
            <w:tcW w:w="964" w:type="dxa"/>
            <w:tcBorders>
              <w:top w:val="nil"/>
              <w:left w:val="nil"/>
              <w:bottom w:val="single" w:sz="2" w:space="0" w:color="auto"/>
              <w:right w:val="nil"/>
            </w:tcBorders>
            <w:shd w:val="clear" w:color="auto" w:fill="FFFFFF"/>
            <w:vAlign w:val="bottom"/>
          </w:tcPr>
          <w:p w14:paraId="721A1F1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w:t>
            </w:r>
          </w:p>
        </w:tc>
        <w:tc>
          <w:tcPr>
            <w:tcW w:w="964" w:type="dxa"/>
            <w:tcBorders>
              <w:top w:val="nil"/>
              <w:left w:val="nil"/>
              <w:bottom w:val="single" w:sz="2" w:space="0" w:color="auto"/>
              <w:right w:val="nil"/>
            </w:tcBorders>
            <w:shd w:val="clear" w:color="auto" w:fill="FFFFFF"/>
            <w:vAlign w:val="bottom"/>
          </w:tcPr>
          <w:p w14:paraId="6F283FD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762751F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5D801F4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1134" w:type="dxa"/>
            <w:tcBorders>
              <w:top w:val="nil"/>
              <w:left w:val="nil"/>
              <w:bottom w:val="single" w:sz="2" w:space="0" w:color="auto"/>
              <w:right w:val="nil"/>
            </w:tcBorders>
            <w:shd w:val="clear" w:color="auto" w:fill="FFFFFF"/>
            <w:vAlign w:val="bottom"/>
          </w:tcPr>
          <w:p w14:paraId="173C1F8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w:t>
            </w:r>
          </w:p>
        </w:tc>
        <w:tc>
          <w:tcPr>
            <w:tcW w:w="1134" w:type="dxa"/>
            <w:tcBorders>
              <w:top w:val="nil"/>
              <w:left w:val="nil"/>
              <w:bottom w:val="single" w:sz="2" w:space="0" w:color="auto"/>
              <w:right w:val="nil"/>
            </w:tcBorders>
            <w:shd w:val="clear" w:color="auto" w:fill="FFFFFF"/>
            <w:vAlign w:val="bottom"/>
          </w:tcPr>
          <w:p w14:paraId="7892AE9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6A23EA62" w14:textId="77777777">
        <w:tc>
          <w:tcPr>
            <w:tcW w:w="7835" w:type="dxa"/>
            <w:tcBorders>
              <w:top w:val="nil"/>
              <w:left w:val="nil"/>
              <w:bottom w:val="nil"/>
              <w:right w:val="nil"/>
            </w:tcBorders>
            <w:shd w:val="clear" w:color="auto" w:fill="FFFFFF"/>
            <w:vAlign w:val="bottom"/>
          </w:tcPr>
          <w:p w14:paraId="6B77FAE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Income from Operations</w:t>
            </w:r>
          </w:p>
        </w:tc>
        <w:tc>
          <w:tcPr>
            <w:tcW w:w="964" w:type="dxa"/>
            <w:tcBorders>
              <w:top w:val="nil"/>
              <w:left w:val="nil"/>
              <w:bottom w:val="single" w:sz="2" w:space="0" w:color="auto"/>
              <w:right w:val="nil"/>
            </w:tcBorders>
            <w:shd w:val="clear" w:color="auto" w:fill="FFFFFF"/>
            <w:vAlign w:val="bottom"/>
          </w:tcPr>
          <w:p w14:paraId="74E0DD7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218,835</w:t>
            </w:r>
          </w:p>
        </w:tc>
        <w:tc>
          <w:tcPr>
            <w:tcW w:w="964" w:type="dxa"/>
            <w:tcBorders>
              <w:top w:val="nil"/>
              <w:left w:val="nil"/>
              <w:bottom w:val="single" w:sz="2" w:space="0" w:color="auto"/>
              <w:right w:val="nil"/>
            </w:tcBorders>
            <w:shd w:val="clear" w:color="auto" w:fill="FFFFFF"/>
            <w:vAlign w:val="bottom"/>
          </w:tcPr>
          <w:p w14:paraId="719DC42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894,067</w:t>
            </w:r>
          </w:p>
        </w:tc>
        <w:tc>
          <w:tcPr>
            <w:tcW w:w="964" w:type="dxa"/>
            <w:tcBorders>
              <w:top w:val="nil"/>
              <w:left w:val="nil"/>
              <w:bottom w:val="single" w:sz="2" w:space="0" w:color="auto"/>
              <w:right w:val="nil"/>
            </w:tcBorders>
            <w:shd w:val="clear" w:color="auto" w:fill="FFFFFF"/>
            <w:vAlign w:val="bottom"/>
          </w:tcPr>
          <w:p w14:paraId="4C7BBC0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187,173</w:t>
            </w:r>
          </w:p>
        </w:tc>
        <w:tc>
          <w:tcPr>
            <w:tcW w:w="964" w:type="dxa"/>
            <w:tcBorders>
              <w:top w:val="nil"/>
              <w:left w:val="nil"/>
              <w:bottom w:val="single" w:sz="2" w:space="0" w:color="auto"/>
              <w:right w:val="nil"/>
            </w:tcBorders>
            <w:shd w:val="clear" w:color="auto" w:fill="FFFFFF"/>
            <w:vAlign w:val="bottom"/>
          </w:tcPr>
          <w:p w14:paraId="41E83B1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144,190</w:t>
            </w:r>
          </w:p>
        </w:tc>
        <w:tc>
          <w:tcPr>
            <w:tcW w:w="1134" w:type="dxa"/>
            <w:tcBorders>
              <w:top w:val="nil"/>
              <w:left w:val="nil"/>
              <w:bottom w:val="single" w:sz="2" w:space="0" w:color="auto"/>
              <w:right w:val="nil"/>
            </w:tcBorders>
            <w:shd w:val="clear" w:color="auto" w:fill="FFFFFF"/>
            <w:vAlign w:val="bottom"/>
          </w:tcPr>
          <w:p w14:paraId="0530D60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406,008</w:t>
            </w:r>
          </w:p>
        </w:tc>
        <w:tc>
          <w:tcPr>
            <w:tcW w:w="1134" w:type="dxa"/>
            <w:tcBorders>
              <w:top w:val="nil"/>
              <w:left w:val="nil"/>
              <w:bottom w:val="single" w:sz="2" w:space="0" w:color="auto"/>
              <w:right w:val="nil"/>
            </w:tcBorders>
            <w:shd w:val="clear" w:color="auto" w:fill="FFFFFF"/>
            <w:vAlign w:val="bottom"/>
          </w:tcPr>
          <w:p w14:paraId="3D9076A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1,038,257</w:t>
            </w:r>
          </w:p>
        </w:tc>
      </w:tr>
      <w:tr w:rsidR="002E375F" w14:paraId="553263B6" w14:textId="77777777">
        <w:tc>
          <w:tcPr>
            <w:tcW w:w="7835" w:type="dxa"/>
            <w:tcBorders>
              <w:top w:val="nil"/>
              <w:left w:val="nil"/>
              <w:bottom w:val="nil"/>
              <w:right w:val="nil"/>
            </w:tcBorders>
            <w:shd w:val="clear" w:color="auto" w:fill="FFFFFF"/>
            <w:vAlign w:val="bottom"/>
          </w:tcPr>
          <w:p w14:paraId="7EE3A10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Expenses from Operations</w:t>
            </w:r>
          </w:p>
        </w:tc>
        <w:tc>
          <w:tcPr>
            <w:tcW w:w="964" w:type="dxa"/>
            <w:tcBorders>
              <w:top w:val="nil"/>
              <w:left w:val="nil"/>
              <w:bottom w:val="nil"/>
              <w:right w:val="nil"/>
            </w:tcBorders>
            <w:shd w:val="clear" w:color="auto" w:fill="FFFFFF"/>
            <w:vAlign w:val="bottom"/>
          </w:tcPr>
          <w:p w14:paraId="7DA51A7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1F59642"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592370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5559AE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vAlign w:val="bottom"/>
          </w:tcPr>
          <w:p w14:paraId="502357F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vAlign w:val="bottom"/>
          </w:tcPr>
          <w:p w14:paraId="76F2A1B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094D11E4" w14:textId="77777777">
        <w:tc>
          <w:tcPr>
            <w:tcW w:w="7835" w:type="dxa"/>
            <w:tcBorders>
              <w:top w:val="nil"/>
              <w:left w:val="nil"/>
              <w:bottom w:val="nil"/>
              <w:right w:val="nil"/>
            </w:tcBorders>
            <w:shd w:val="clear" w:color="auto" w:fill="FFFFFF"/>
            <w:vAlign w:val="bottom"/>
          </w:tcPr>
          <w:p w14:paraId="0928178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Employee expenses</w:t>
            </w:r>
          </w:p>
        </w:tc>
        <w:tc>
          <w:tcPr>
            <w:tcW w:w="964" w:type="dxa"/>
            <w:tcBorders>
              <w:top w:val="nil"/>
              <w:left w:val="nil"/>
              <w:bottom w:val="nil"/>
              <w:right w:val="nil"/>
            </w:tcBorders>
            <w:shd w:val="clear" w:color="auto" w:fill="FFFFFF"/>
            <w:vAlign w:val="bottom"/>
          </w:tcPr>
          <w:p w14:paraId="621C85A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163,942</w:t>
            </w:r>
          </w:p>
        </w:tc>
        <w:tc>
          <w:tcPr>
            <w:tcW w:w="964" w:type="dxa"/>
            <w:tcBorders>
              <w:top w:val="nil"/>
              <w:left w:val="nil"/>
              <w:bottom w:val="nil"/>
              <w:right w:val="nil"/>
            </w:tcBorders>
            <w:shd w:val="clear" w:color="auto" w:fill="FFFFFF"/>
            <w:vAlign w:val="bottom"/>
          </w:tcPr>
          <w:p w14:paraId="7B3FC35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228,114</w:t>
            </w:r>
          </w:p>
        </w:tc>
        <w:tc>
          <w:tcPr>
            <w:tcW w:w="964" w:type="dxa"/>
            <w:tcBorders>
              <w:top w:val="nil"/>
              <w:left w:val="nil"/>
              <w:bottom w:val="nil"/>
              <w:right w:val="nil"/>
            </w:tcBorders>
            <w:shd w:val="clear" w:color="auto" w:fill="FFFFFF"/>
            <w:vAlign w:val="bottom"/>
          </w:tcPr>
          <w:p w14:paraId="5836980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29,840</w:t>
            </w:r>
          </w:p>
        </w:tc>
        <w:tc>
          <w:tcPr>
            <w:tcW w:w="964" w:type="dxa"/>
            <w:tcBorders>
              <w:top w:val="nil"/>
              <w:left w:val="nil"/>
              <w:bottom w:val="nil"/>
              <w:right w:val="nil"/>
            </w:tcBorders>
            <w:shd w:val="clear" w:color="auto" w:fill="FFFFFF"/>
            <w:vAlign w:val="bottom"/>
          </w:tcPr>
          <w:p w14:paraId="41725AA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28,873</w:t>
            </w:r>
          </w:p>
        </w:tc>
        <w:tc>
          <w:tcPr>
            <w:tcW w:w="1134" w:type="dxa"/>
            <w:tcBorders>
              <w:top w:val="nil"/>
              <w:left w:val="nil"/>
              <w:bottom w:val="nil"/>
              <w:right w:val="nil"/>
            </w:tcBorders>
            <w:shd w:val="clear" w:color="auto" w:fill="FFFFFF"/>
            <w:vAlign w:val="bottom"/>
          </w:tcPr>
          <w:p w14:paraId="5B0D391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193,782</w:t>
            </w:r>
          </w:p>
        </w:tc>
        <w:tc>
          <w:tcPr>
            <w:tcW w:w="1134" w:type="dxa"/>
            <w:tcBorders>
              <w:top w:val="nil"/>
              <w:left w:val="nil"/>
              <w:bottom w:val="nil"/>
              <w:right w:val="nil"/>
            </w:tcBorders>
            <w:shd w:val="clear" w:color="auto" w:fill="FFFFFF"/>
            <w:vAlign w:val="bottom"/>
          </w:tcPr>
          <w:p w14:paraId="2553576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256,987</w:t>
            </w:r>
          </w:p>
        </w:tc>
      </w:tr>
      <w:tr w:rsidR="002E375F" w14:paraId="06BB32A0" w14:textId="77777777">
        <w:tc>
          <w:tcPr>
            <w:tcW w:w="7835" w:type="dxa"/>
            <w:tcBorders>
              <w:top w:val="nil"/>
              <w:left w:val="nil"/>
              <w:bottom w:val="nil"/>
              <w:right w:val="nil"/>
            </w:tcBorders>
            <w:shd w:val="clear" w:color="auto" w:fill="FFFFFF"/>
            <w:vAlign w:val="bottom"/>
          </w:tcPr>
          <w:p w14:paraId="6CB41AE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Supplies and services</w:t>
            </w:r>
          </w:p>
        </w:tc>
        <w:tc>
          <w:tcPr>
            <w:tcW w:w="964" w:type="dxa"/>
            <w:tcBorders>
              <w:top w:val="nil"/>
              <w:left w:val="nil"/>
              <w:bottom w:val="nil"/>
              <w:right w:val="nil"/>
            </w:tcBorders>
            <w:shd w:val="clear" w:color="auto" w:fill="FFFFFF"/>
            <w:vAlign w:val="bottom"/>
          </w:tcPr>
          <w:p w14:paraId="5478661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34,064</w:t>
            </w:r>
          </w:p>
        </w:tc>
        <w:tc>
          <w:tcPr>
            <w:tcW w:w="964" w:type="dxa"/>
            <w:tcBorders>
              <w:top w:val="nil"/>
              <w:left w:val="nil"/>
              <w:bottom w:val="nil"/>
              <w:right w:val="nil"/>
            </w:tcBorders>
            <w:shd w:val="clear" w:color="auto" w:fill="FFFFFF"/>
            <w:vAlign w:val="bottom"/>
          </w:tcPr>
          <w:p w14:paraId="29F20C8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613,067</w:t>
            </w:r>
          </w:p>
        </w:tc>
        <w:tc>
          <w:tcPr>
            <w:tcW w:w="964" w:type="dxa"/>
            <w:tcBorders>
              <w:top w:val="nil"/>
              <w:left w:val="nil"/>
              <w:bottom w:val="nil"/>
              <w:right w:val="nil"/>
            </w:tcBorders>
            <w:shd w:val="clear" w:color="auto" w:fill="FFFFFF"/>
            <w:vAlign w:val="bottom"/>
          </w:tcPr>
          <w:p w14:paraId="45D74E0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129,788</w:t>
            </w:r>
          </w:p>
        </w:tc>
        <w:tc>
          <w:tcPr>
            <w:tcW w:w="964" w:type="dxa"/>
            <w:tcBorders>
              <w:top w:val="nil"/>
              <w:left w:val="nil"/>
              <w:bottom w:val="nil"/>
              <w:right w:val="nil"/>
            </w:tcBorders>
            <w:shd w:val="clear" w:color="auto" w:fill="FFFFFF"/>
            <w:vAlign w:val="bottom"/>
          </w:tcPr>
          <w:p w14:paraId="6FD9BBE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87,507</w:t>
            </w:r>
          </w:p>
        </w:tc>
        <w:tc>
          <w:tcPr>
            <w:tcW w:w="1134" w:type="dxa"/>
            <w:tcBorders>
              <w:top w:val="nil"/>
              <w:left w:val="nil"/>
              <w:bottom w:val="nil"/>
              <w:right w:val="nil"/>
            </w:tcBorders>
            <w:shd w:val="clear" w:color="auto" w:fill="FFFFFF"/>
            <w:vAlign w:val="bottom"/>
          </w:tcPr>
          <w:p w14:paraId="0F0AB12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163,852</w:t>
            </w:r>
          </w:p>
        </w:tc>
        <w:tc>
          <w:tcPr>
            <w:tcW w:w="1134" w:type="dxa"/>
            <w:tcBorders>
              <w:top w:val="nil"/>
              <w:left w:val="nil"/>
              <w:bottom w:val="nil"/>
              <w:right w:val="nil"/>
            </w:tcBorders>
            <w:shd w:val="clear" w:color="auto" w:fill="FFFFFF"/>
            <w:vAlign w:val="bottom"/>
          </w:tcPr>
          <w:p w14:paraId="283B51B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700,574</w:t>
            </w:r>
          </w:p>
        </w:tc>
      </w:tr>
      <w:tr w:rsidR="002E375F" w14:paraId="15143F66" w14:textId="77777777">
        <w:tc>
          <w:tcPr>
            <w:tcW w:w="7835" w:type="dxa"/>
            <w:tcBorders>
              <w:top w:val="nil"/>
              <w:left w:val="nil"/>
              <w:bottom w:val="nil"/>
              <w:right w:val="nil"/>
            </w:tcBorders>
            <w:shd w:val="clear" w:color="auto" w:fill="FFFFFF"/>
            <w:vAlign w:val="bottom"/>
          </w:tcPr>
          <w:p w14:paraId="5691E6B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Grants and subsidies</w:t>
            </w:r>
          </w:p>
        </w:tc>
        <w:tc>
          <w:tcPr>
            <w:tcW w:w="964" w:type="dxa"/>
            <w:tcBorders>
              <w:top w:val="nil"/>
              <w:left w:val="nil"/>
              <w:bottom w:val="nil"/>
              <w:right w:val="nil"/>
            </w:tcBorders>
            <w:shd w:val="clear" w:color="auto" w:fill="FFFFFF"/>
            <w:vAlign w:val="bottom"/>
          </w:tcPr>
          <w:p w14:paraId="364DA67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13,707</w:t>
            </w:r>
          </w:p>
        </w:tc>
        <w:tc>
          <w:tcPr>
            <w:tcW w:w="964" w:type="dxa"/>
            <w:tcBorders>
              <w:top w:val="nil"/>
              <w:left w:val="nil"/>
              <w:bottom w:val="nil"/>
              <w:right w:val="nil"/>
            </w:tcBorders>
            <w:shd w:val="clear" w:color="auto" w:fill="FFFFFF"/>
            <w:vAlign w:val="bottom"/>
          </w:tcPr>
          <w:p w14:paraId="5BF914B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18,773</w:t>
            </w:r>
          </w:p>
        </w:tc>
        <w:tc>
          <w:tcPr>
            <w:tcW w:w="964" w:type="dxa"/>
            <w:tcBorders>
              <w:top w:val="nil"/>
              <w:left w:val="nil"/>
              <w:bottom w:val="nil"/>
              <w:right w:val="nil"/>
            </w:tcBorders>
            <w:shd w:val="clear" w:color="auto" w:fill="FFFFFF"/>
            <w:vAlign w:val="bottom"/>
          </w:tcPr>
          <w:p w14:paraId="7D9C0A9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17,405</w:t>
            </w:r>
          </w:p>
        </w:tc>
        <w:tc>
          <w:tcPr>
            <w:tcW w:w="964" w:type="dxa"/>
            <w:tcBorders>
              <w:top w:val="nil"/>
              <w:left w:val="nil"/>
              <w:bottom w:val="nil"/>
              <w:right w:val="nil"/>
            </w:tcBorders>
            <w:shd w:val="clear" w:color="auto" w:fill="FFFFFF"/>
            <w:vAlign w:val="bottom"/>
          </w:tcPr>
          <w:p w14:paraId="664E39F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7,293</w:t>
            </w:r>
          </w:p>
        </w:tc>
        <w:tc>
          <w:tcPr>
            <w:tcW w:w="1134" w:type="dxa"/>
            <w:tcBorders>
              <w:top w:val="nil"/>
              <w:left w:val="nil"/>
              <w:bottom w:val="nil"/>
              <w:right w:val="nil"/>
            </w:tcBorders>
            <w:shd w:val="clear" w:color="auto" w:fill="FFFFFF"/>
            <w:vAlign w:val="bottom"/>
          </w:tcPr>
          <w:p w14:paraId="621271C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31,112</w:t>
            </w:r>
          </w:p>
        </w:tc>
        <w:tc>
          <w:tcPr>
            <w:tcW w:w="1134" w:type="dxa"/>
            <w:tcBorders>
              <w:top w:val="nil"/>
              <w:left w:val="nil"/>
              <w:bottom w:val="nil"/>
              <w:right w:val="nil"/>
            </w:tcBorders>
            <w:shd w:val="clear" w:color="auto" w:fill="FFFFFF"/>
            <w:vAlign w:val="bottom"/>
          </w:tcPr>
          <w:p w14:paraId="78A2B55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26,066</w:t>
            </w:r>
          </w:p>
        </w:tc>
      </w:tr>
      <w:tr w:rsidR="002E375F" w14:paraId="554762F4" w14:textId="77777777">
        <w:tc>
          <w:tcPr>
            <w:tcW w:w="7835" w:type="dxa"/>
            <w:tcBorders>
              <w:top w:val="nil"/>
              <w:left w:val="nil"/>
              <w:bottom w:val="nil"/>
              <w:right w:val="nil"/>
            </w:tcBorders>
            <w:shd w:val="clear" w:color="auto" w:fill="FFFFFF"/>
            <w:vAlign w:val="bottom"/>
          </w:tcPr>
          <w:p w14:paraId="44D0EFB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Depreciation and amortisation</w:t>
            </w:r>
          </w:p>
        </w:tc>
        <w:tc>
          <w:tcPr>
            <w:tcW w:w="964" w:type="dxa"/>
            <w:tcBorders>
              <w:top w:val="nil"/>
              <w:left w:val="nil"/>
              <w:bottom w:val="nil"/>
              <w:right w:val="nil"/>
            </w:tcBorders>
            <w:shd w:val="clear" w:color="auto" w:fill="FFFFFF"/>
            <w:vAlign w:val="bottom"/>
          </w:tcPr>
          <w:p w14:paraId="1E891A2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3,282</w:t>
            </w:r>
          </w:p>
        </w:tc>
        <w:tc>
          <w:tcPr>
            <w:tcW w:w="964" w:type="dxa"/>
            <w:tcBorders>
              <w:top w:val="nil"/>
              <w:left w:val="nil"/>
              <w:bottom w:val="nil"/>
              <w:right w:val="nil"/>
            </w:tcBorders>
            <w:shd w:val="clear" w:color="auto" w:fill="FFFFFF"/>
            <w:vAlign w:val="bottom"/>
          </w:tcPr>
          <w:p w14:paraId="0CBCCF0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6,549</w:t>
            </w:r>
          </w:p>
        </w:tc>
        <w:tc>
          <w:tcPr>
            <w:tcW w:w="964" w:type="dxa"/>
            <w:tcBorders>
              <w:top w:val="nil"/>
              <w:left w:val="nil"/>
              <w:bottom w:val="nil"/>
              <w:right w:val="nil"/>
            </w:tcBorders>
            <w:shd w:val="clear" w:color="auto" w:fill="FFFFFF"/>
            <w:vAlign w:val="bottom"/>
          </w:tcPr>
          <w:p w14:paraId="425F850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2,625</w:t>
            </w:r>
          </w:p>
        </w:tc>
        <w:tc>
          <w:tcPr>
            <w:tcW w:w="964" w:type="dxa"/>
            <w:tcBorders>
              <w:top w:val="nil"/>
              <w:left w:val="nil"/>
              <w:bottom w:val="nil"/>
              <w:right w:val="nil"/>
            </w:tcBorders>
            <w:shd w:val="clear" w:color="auto" w:fill="FFFFFF"/>
            <w:vAlign w:val="bottom"/>
          </w:tcPr>
          <w:p w14:paraId="65803C6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1,784</w:t>
            </w:r>
          </w:p>
        </w:tc>
        <w:tc>
          <w:tcPr>
            <w:tcW w:w="1134" w:type="dxa"/>
            <w:tcBorders>
              <w:top w:val="nil"/>
              <w:left w:val="nil"/>
              <w:bottom w:val="nil"/>
              <w:right w:val="nil"/>
            </w:tcBorders>
            <w:shd w:val="clear" w:color="auto" w:fill="FFFFFF"/>
            <w:vAlign w:val="bottom"/>
          </w:tcPr>
          <w:p w14:paraId="039B39B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5,907</w:t>
            </w:r>
          </w:p>
        </w:tc>
        <w:tc>
          <w:tcPr>
            <w:tcW w:w="1134" w:type="dxa"/>
            <w:tcBorders>
              <w:top w:val="nil"/>
              <w:left w:val="nil"/>
              <w:bottom w:val="nil"/>
              <w:right w:val="nil"/>
            </w:tcBorders>
            <w:shd w:val="clear" w:color="auto" w:fill="FFFFFF"/>
            <w:vAlign w:val="bottom"/>
          </w:tcPr>
          <w:p w14:paraId="75017DE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8,333</w:t>
            </w:r>
          </w:p>
        </w:tc>
      </w:tr>
      <w:tr w:rsidR="002E375F" w14:paraId="0E0DA7E2" w14:textId="77777777">
        <w:tc>
          <w:tcPr>
            <w:tcW w:w="7835" w:type="dxa"/>
            <w:tcBorders>
              <w:top w:val="nil"/>
              <w:left w:val="nil"/>
              <w:bottom w:val="nil"/>
              <w:right w:val="nil"/>
            </w:tcBorders>
            <w:shd w:val="clear" w:color="auto" w:fill="FFFFFF"/>
            <w:vAlign w:val="bottom"/>
          </w:tcPr>
          <w:p w14:paraId="2EABFD4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Impairment losses</w:t>
            </w:r>
          </w:p>
        </w:tc>
        <w:tc>
          <w:tcPr>
            <w:tcW w:w="964" w:type="dxa"/>
            <w:tcBorders>
              <w:top w:val="nil"/>
              <w:left w:val="nil"/>
              <w:bottom w:val="nil"/>
              <w:right w:val="nil"/>
            </w:tcBorders>
            <w:shd w:val="clear" w:color="auto" w:fill="FFFFFF"/>
            <w:vAlign w:val="bottom"/>
          </w:tcPr>
          <w:p w14:paraId="1720C0C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1,491</w:t>
            </w:r>
          </w:p>
        </w:tc>
        <w:tc>
          <w:tcPr>
            <w:tcW w:w="964" w:type="dxa"/>
            <w:tcBorders>
              <w:top w:val="nil"/>
              <w:left w:val="nil"/>
              <w:bottom w:val="nil"/>
              <w:right w:val="nil"/>
            </w:tcBorders>
            <w:shd w:val="clear" w:color="auto" w:fill="FFFFFF"/>
            <w:vAlign w:val="bottom"/>
          </w:tcPr>
          <w:p w14:paraId="5E902AF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310</w:t>
            </w:r>
          </w:p>
        </w:tc>
        <w:tc>
          <w:tcPr>
            <w:tcW w:w="964" w:type="dxa"/>
            <w:tcBorders>
              <w:top w:val="nil"/>
              <w:left w:val="nil"/>
              <w:bottom w:val="nil"/>
              <w:right w:val="nil"/>
            </w:tcBorders>
            <w:shd w:val="clear" w:color="auto" w:fill="FFFFFF"/>
            <w:vAlign w:val="bottom"/>
          </w:tcPr>
          <w:p w14:paraId="5BCC568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w:t>
            </w:r>
          </w:p>
        </w:tc>
        <w:tc>
          <w:tcPr>
            <w:tcW w:w="964" w:type="dxa"/>
            <w:tcBorders>
              <w:top w:val="nil"/>
              <w:left w:val="nil"/>
              <w:bottom w:val="nil"/>
              <w:right w:val="nil"/>
            </w:tcBorders>
            <w:shd w:val="clear" w:color="auto" w:fill="FFFFFF"/>
            <w:vAlign w:val="bottom"/>
          </w:tcPr>
          <w:p w14:paraId="4920B0B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w:t>
            </w:r>
          </w:p>
        </w:tc>
        <w:tc>
          <w:tcPr>
            <w:tcW w:w="1134" w:type="dxa"/>
            <w:tcBorders>
              <w:top w:val="nil"/>
              <w:left w:val="nil"/>
              <w:bottom w:val="nil"/>
              <w:right w:val="nil"/>
            </w:tcBorders>
            <w:shd w:val="clear" w:color="auto" w:fill="FFFFFF"/>
            <w:vAlign w:val="bottom"/>
          </w:tcPr>
          <w:p w14:paraId="062757D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1,498</w:t>
            </w:r>
          </w:p>
        </w:tc>
        <w:tc>
          <w:tcPr>
            <w:tcW w:w="1134" w:type="dxa"/>
            <w:tcBorders>
              <w:top w:val="nil"/>
              <w:left w:val="nil"/>
              <w:bottom w:val="nil"/>
              <w:right w:val="nil"/>
            </w:tcBorders>
            <w:shd w:val="clear" w:color="auto" w:fill="FFFFFF"/>
            <w:vAlign w:val="bottom"/>
          </w:tcPr>
          <w:p w14:paraId="2E62596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312</w:t>
            </w:r>
          </w:p>
        </w:tc>
      </w:tr>
      <w:tr w:rsidR="002E375F" w14:paraId="4ADE254F" w14:textId="77777777">
        <w:tc>
          <w:tcPr>
            <w:tcW w:w="7835" w:type="dxa"/>
            <w:tcBorders>
              <w:top w:val="nil"/>
              <w:left w:val="nil"/>
              <w:bottom w:val="nil"/>
              <w:right w:val="nil"/>
            </w:tcBorders>
            <w:shd w:val="clear" w:color="auto" w:fill="FFFFFF"/>
            <w:vAlign w:val="bottom"/>
          </w:tcPr>
          <w:p w14:paraId="3CEE313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 expenses</w:t>
            </w:r>
          </w:p>
        </w:tc>
        <w:tc>
          <w:tcPr>
            <w:tcW w:w="964" w:type="dxa"/>
            <w:tcBorders>
              <w:top w:val="nil"/>
              <w:left w:val="nil"/>
              <w:bottom w:val="nil"/>
              <w:right w:val="nil"/>
            </w:tcBorders>
            <w:shd w:val="clear" w:color="auto" w:fill="FFFFFF"/>
            <w:vAlign w:val="bottom"/>
          </w:tcPr>
          <w:p w14:paraId="18E1DF1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316</w:t>
            </w:r>
          </w:p>
        </w:tc>
        <w:tc>
          <w:tcPr>
            <w:tcW w:w="964" w:type="dxa"/>
            <w:tcBorders>
              <w:top w:val="nil"/>
              <w:left w:val="nil"/>
              <w:bottom w:val="nil"/>
              <w:right w:val="nil"/>
            </w:tcBorders>
            <w:shd w:val="clear" w:color="auto" w:fill="FFFFFF"/>
            <w:vAlign w:val="bottom"/>
          </w:tcPr>
          <w:p w14:paraId="2C3881B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19,642</w:t>
            </w:r>
          </w:p>
        </w:tc>
        <w:tc>
          <w:tcPr>
            <w:tcW w:w="964" w:type="dxa"/>
            <w:tcBorders>
              <w:top w:val="nil"/>
              <w:left w:val="nil"/>
              <w:bottom w:val="nil"/>
              <w:right w:val="nil"/>
            </w:tcBorders>
            <w:shd w:val="clear" w:color="auto" w:fill="FFFFFF"/>
            <w:vAlign w:val="bottom"/>
          </w:tcPr>
          <w:p w14:paraId="0ED46BA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2,094</w:t>
            </w:r>
          </w:p>
        </w:tc>
        <w:tc>
          <w:tcPr>
            <w:tcW w:w="964" w:type="dxa"/>
            <w:tcBorders>
              <w:top w:val="nil"/>
              <w:left w:val="nil"/>
              <w:bottom w:val="nil"/>
              <w:right w:val="nil"/>
            </w:tcBorders>
            <w:shd w:val="clear" w:color="auto" w:fill="FFFFFF"/>
            <w:vAlign w:val="bottom"/>
          </w:tcPr>
          <w:p w14:paraId="06336F7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14,008</w:t>
            </w:r>
          </w:p>
        </w:tc>
        <w:tc>
          <w:tcPr>
            <w:tcW w:w="1134" w:type="dxa"/>
            <w:tcBorders>
              <w:top w:val="nil"/>
              <w:left w:val="nil"/>
              <w:bottom w:val="nil"/>
              <w:right w:val="nil"/>
            </w:tcBorders>
            <w:shd w:val="clear" w:color="auto" w:fill="FFFFFF"/>
            <w:vAlign w:val="bottom"/>
          </w:tcPr>
          <w:p w14:paraId="7E47003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2,410</w:t>
            </w:r>
          </w:p>
        </w:tc>
        <w:tc>
          <w:tcPr>
            <w:tcW w:w="1134" w:type="dxa"/>
            <w:tcBorders>
              <w:top w:val="nil"/>
              <w:left w:val="nil"/>
              <w:bottom w:val="nil"/>
              <w:right w:val="nil"/>
            </w:tcBorders>
            <w:shd w:val="clear" w:color="auto" w:fill="FFFFFF"/>
            <w:vAlign w:val="bottom"/>
          </w:tcPr>
          <w:p w14:paraId="04E11B3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33,650</w:t>
            </w:r>
          </w:p>
        </w:tc>
      </w:tr>
      <w:tr w:rsidR="002E375F" w14:paraId="4D4D1216" w14:textId="77777777">
        <w:tc>
          <w:tcPr>
            <w:tcW w:w="7835" w:type="dxa"/>
            <w:tcBorders>
              <w:top w:val="nil"/>
              <w:left w:val="nil"/>
              <w:bottom w:val="nil"/>
              <w:right w:val="nil"/>
            </w:tcBorders>
            <w:shd w:val="clear" w:color="auto" w:fill="FFFFFF"/>
            <w:vAlign w:val="bottom"/>
          </w:tcPr>
          <w:p w14:paraId="474A2C1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Revaluation decrement</w:t>
            </w:r>
          </w:p>
        </w:tc>
        <w:tc>
          <w:tcPr>
            <w:tcW w:w="964" w:type="dxa"/>
            <w:tcBorders>
              <w:top w:val="nil"/>
              <w:left w:val="nil"/>
              <w:bottom w:val="single" w:sz="2" w:space="0" w:color="auto"/>
              <w:right w:val="nil"/>
            </w:tcBorders>
            <w:shd w:val="clear" w:color="auto" w:fill="FFFFFF"/>
            <w:vAlign w:val="bottom"/>
          </w:tcPr>
          <w:p w14:paraId="038ACA9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7E8A16C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1,035</w:t>
            </w:r>
          </w:p>
        </w:tc>
        <w:tc>
          <w:tcPr>
            <w:tcW w:w="964" w:type="dxa"/>
            <w:tcBorders>
              <w:top w:val="nil"/>
              <w:left w:val="nil"/>
              <w:bottom w:val="single" w:sz="2" w:space="0" w:color="auto"/>
              <w:right w:val="nil"/>
            </w:tcBorders>
            <w:shd w:val="clear" w:color="auto" w:fill="FFFFFF"/>
            <w:vAlign w:val="bottom"/>
          </w:tcPr>
          <w:p w14:paraId="1299DFE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342ED57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1134" w:type="dxa"/>
            <w:tcBorders>
              <w:top w:val="nil"/>
              <w:left w:val="nil"/>
              <w:bottom w:val="single" w:sz="2" w:space="0" w:color="auto"/>
              <w:right w:val="nil"/>
            </w:tcBorders>
            <w:shd w:val="clear" w:color="auto" w:fill="FFFFFF"/>
            <w:vAlign w:val="bottom"/>
          </w:tcPr>
          <w:p w14:paraId="03C0137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1134" w:type="dxa"/>
            <w:tcBorders>
              <w:top w:val="nil"/>
              <w:left w:val="nil"/>
              <w:bottom w:val="single" w:sz="2" w:space="0" w:color="auto"/>
              <w:right w:val="nil"/>
            </w:tcBorders>
            <w:shd w:val="clear" w:color="auto" w:fill="FFFFFF"/>
            <w:vAlign w:val="bottom"/>
          </w:tcPr>
          <w:p w14:paraId="7AB6AE6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1,035</w:t>
            </w:r>
          </w:p>
        </w:tc>
      </w:tr>
      <w:tr w:rsidR="002E375F" w14:paraId="06C76163" w14:textId="77777777">
        <w:tc>
          <w:tcPr>
            <w:tcW w:w="7835" w:type="dxa"/>
            <w:tcBorders>
              <w:top w:val="nil"/>
              <w:left w:val="nil"/>
              <w:bottom w:val="nil"/>
              <w:right w:val="nil"/>
            </w:tcBorders>
            <w:shd w:val="clear" w:color="auto" w:fill="FFFFFF"/>
            <w:vAlign w:val="bottom"/>
          </w:tcPr>
          <w:p w14:paraId="20BBB53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Expenses from Operations</w:t>
            </w:r>
          </w:p>
        </w:tc>
        <w:tc>
          <w:tcPr>
            <w:tcW w:w="964" w:type="dxa"/>
            <w:tcBorders>
              <w:top w:val="nil"/>
              <w:left w:val="nil"/>
              <w:bottom w:val="single" w:sz="2" w:space="0" w:color="auto"/>
              <w:right w:val="nil"/>
            </w:tcBorders>
            <w:shd w:val="clear" w:color="auto" w:fill="FFFFFF"/>
            <w:vAlign w:val="bottom"/>
          </w:tcPr>
          <w:p w14:paraId="5C2446B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216,802</w:t>
            </w:r>
          </w:p>
        </w:tc>
        <w:tc>
          <w:tcPr>
            <w:tcW w:w="964" w:type="dxa"/>
            <w:tcBorders>
              <w:top w:val="nil"/>
              <w:left w:val="nil"/>
              <w:bottom w:val="single" w:sz="2" w:space="0" w:color="auto"/>
              <w:right w:val="nil"/>
            </w:tcBorders>
            <w:shd w:val="clear" w:color="auto" w:fill="FFFFFF"/>
            <w:vAlign w:val="bottom"/>
          </w:tcPr>
          <w:p w14:paraId="76BAA43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887,490</w:t>
            </w:r>
          </w:p>
        </w:tc>
        <w:tc>
          <w:tcPr>
            <w:tcW w:w="964" w:type="dxa"/>
            <w:tcBorders>
              <w:top w:val="nil"/>
              <w:left w:val="nil"/>
              <w:bottom w:val="single" w:sz="2" w:space="0" w:color="auto"/>
              <w:right w:val="nil"/>
            </w:tcBorders>
            <w:shd w:val="clear" w:color="auto" w:fill="FFFFFF"/>
            <w:vAlign w:val="bottom"/>
          </w:tcPr>
          <w:p w14:paraId="713BA15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181,759</w:t>
            </w:r>
          </w:p>
        </w:tc>
        <w:tc>
          <w:tcPr>
            <w:tcW w:w="964" w:type="dxa"/>
            <w:tcBorders>
              <w:top w:val="nil"/>
              <w:left w:val="nil"/>
              <w:bottom w:val="single" w:sz="2" w:space="0" w:color="auto"/>
              <w:right w:val="nil"/>
            </w:tcBorders>
            <w:shd w:val="clear" w:color="auto" w:fill="FFFFFF"/>
            <w:vAlign w:val="bottom"/>
          </w:tcPr>
          <w:p w14:paraId="17AA212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139,467</w:t>
            </w:r>
          </w:p>
        </w:tc>
        <w:tc>
          <w:tcPr>
            <w:tcW w:w="1134" w:type="dxa"/>
            <w:tcBorders>
              <w:top w:val="nil"/>
              <w:left w:val="nil"/>
              <w:bottom w:val="single" w:sz="2" w:space="0" w:color="auto"/>
              <w:right w:val="nil"/>
            </w:tcBorders>
            <w:shd w:val="clear" w:color="auto" w:fill="FFFFFF"/>
            <w:vAlign w:val="bottom"/>
          </w:tcPr>
          <w:p w14:paraId="74C6FA8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398,561</w:t>
            </w:r>
          </w:p>
        </w:tc>
        <w:tc>
          <w:tcPr>
            <w:tcW w:w="1134" w:type="dxa"/>
            <w:tcBorders>
              <w:top w:val="nil"/>
              <w:left w:val="nil"/>
              <w:bottom w:val="single" w:sz="2" w:space="0" w:color="auto"/>
              <w:right w:val="nil"/>
            </w:tcBorders>
            <w:shd w:val="clear" w:color="auto" w:fill="FFFFFF"/>
            <w:vAlign w:val="bottom"/>
          </w:tcPr>
          <w:p w14:paraId="10862F0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1,026,957</w:t>
            </w:r>
          </w:p>
        </w:tc>
      </w:tr>
      <w:tr w:rsidR="002E375F" w14:paraId="3FA48AB9" w14:textId="77777777">
        <w:tc>
          <w:tcPr>
            <w:tcW w:w="7835" w:type="dxa"/>
            <w:tcBorders>
              <w:top w:val="nil"/>
              <w:left w:val="nil"/>
              <w:bottom w:val="nil"/>
              <w:right w:val="nil"/>
            </w:tcBorders>
            <w:shd w:val="clear" w:color="auto" w:fill="FFFFFF"/>
            <w:vAlign w:val="bottom"/>
          </w:tcPr>
          <w:p w14:paraId="29EFC2C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Operating Result from Operations</w:t>
            </w:r>
          </w:p>
        </w:tc>
        <w:tc>
          <w:tcPr>
            <w:tcW w:w="964" w:type="dxa"/>
            <w:tcBorders>
              <w:top w:val="nil"/>
              <w:left w:val="nil"/>
              <w:bottom w:val="single" w:sz="2" w:space="0" w:color="auto"/>
              <w:right w:val="nil"/>
            </w:tcBorders>
            <w:shd w:val="clear" w:color="auto" w:fill="FFFFFF"/>
            <w:vAlign w:val="bottom"/>
          </w:tcPr>
          <w:p w14:paraId="6E0FD50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2,033</w:t>
            </w:r>
          </w:p>
        </w:tc>
        <w:tc>
          <w:tcPr>
            <w:tcW w:w="964" w:type="dxa"/>
            <w:tcBorders>
              <w:top w:val="nil"/>
              <w:left w:val="nil"/>
              <w:bottom w:val="single" w:sz="2" w:space="0" w:color="auto"/>
              <w:right w:val="nil"/>
            </w:tcBorders>
            <w:shd w:val="clear" w:color="auto" w:fill="FFFFFF"/>
            <w:vAlign w:val="bottom"/>
          </w:tcPr>
          <w:p w14:paraId="706D83F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6,577</w:t>
            </w:r>
          </w:p>
        </w:tc>
        <w:tc>
          <w:tcPr>
            <w:tcW w:w="964" w:type="dxa"/>
            <w:tcBorders>
              <w:top w:val="nil"/>
              <w:left w:val="nil"/>
              <w:bottom w:val="single" w:sz="2" w:space="0" w:color="auto"/>
              <w:right w:val="nil"/>
            </w:tcBorders>
            <w:shd w:val="clear" w:color="auto" w:fill="FFFFFF"/>
            <w:vAlign w:val="bottom"/>
          </w:tcPr>
          <w:p w14:paraId="346C09D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5,414</w:t>
            </w:r>
          </w:p>
        </w:tc>
        <w:tc>
          <w:tcPr>
            <w:tcW w:w="964" w:type="dxa"/>
            <w:tcBorders>
              <w:top w:val="nil"/>
              <w:left w:val="nil"/>
              <w:bottom w:val="single" w:sz="2" w:space="0" w:color="auto"/>
              <w:right w:val="nil"/>
            </w:tcBorders>
            <w:shd w:val="clear" w:color="auto" w:fill="FFFFFF"/>
            <w:vAlign w:val="bottom"/>
          </w:tcPr>
          <w:p w14:paraId="2FC38EF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4,723</w:t>
            </w:r>
          </w:p>
        </w:tc>
        <w:tc>
          <w:tcPr>
            <w:tcW w:w="1134" w:type="dxa"/>
            <w:tcBorders>
              <w:top w:val="nil"/>
              <w:left w:val="nil"/>
              <w:bottom w:val="single" w:sz="2" w:space="0" w:color="auto"/>
              <w:right w:val="nil"/>
            </w:tcBorders>
            <w:shd w:val="clear" w:color="auto" w:fill="FFFFFF"/>
            <w:vAlign w:val="bottom"/>
          </w:tcPr>
          <w:p w14:paraId="7C4FB91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7,447</w:t>
            </w:r>
          </w:p>
        </w:tc>
        <w:tc>
          <w:tcPr>
            <w:tcW w:w="1134" w:type="dxa"/>
            <w:tcBorders>
              <w:top w:val="nil"/>
              <w:left w:val="nil"/>
              <w:bottom w:val="single" w:sz="2" w:space="0" w:color="auto"/>
              <w:right w:val="nil"/>
            </w:tcBorders>
            <w:shd w:val="clear" w:color="auto" w:fill="FFFFFF"/>
            <w:vAlign w:val="bottom"/>
          </w:tcPr>
          <w:p w14:paraId="197BDB9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11,300</w:t>
            </w:r>
          </w:p>
        </w:tc>
      </w:tr>
      <w:tr w:rsidR="002E375F" w14:paraId="2A26CD62" w14:textId="77777777">
        <w:tc>
          <w:tcPr>
            <w:tcW w:w="7835" w:type="dxa"/>
            <w:tcBorders>
              <w:top w:val="nil"/>
              <w:left w:val="nil"/>
              <w:bottom w:val="nil"/>
              <w:right w:val="nil"/>
            </w:tcBorders>
            <w:shd w:val="clear" w:color="auto" w:fill="FFFFFF"/>
            <w:vAlign w:val="bottom"/>
          </w:tcPr>
          <w:p w14:paraId="266AA4A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Operating Result for the Year</w:t>
            </w:r>
          </w:p>
        </w:tc>
        <w:tc>
          <w:tcPr>
            <w:tcW w:w="964" w:type="dxa"/>
            <w:tcBorders>
              <w:top w:val="nil"/>
              <w:left w:val="nil"/>
              <w:bottom w:val="single" w:sz="2" w:space="0" w:color="auto"/>
              <w:right w:val="nil"/>
            </w:tcBorders>
            <w:shd w:val="clear" w:color="auto" w:fill="FFFFFF"/>
            <w:vAlign w:val="bottom"/>
          </w:tcPr>
          <w:p w14:paraId="643ADB5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2,033</w:t>
            </w:r>
          </w:p>
        </w:tc>
        <w:tc>
          <w:tcPr>
            <w:tcW w:w="964" w:type="dxa"/>
            <w:tcBorders>
              <w:top w:val="nil"/>
              <w:left w:val="nil"/>
              <w:bottom w:val="single" w:sz="2" w:space="0" w:color="auto"/>
              <w:right w:val="nil"/>
            </w:tcBorders>
            <w:shd w:val="clear" w:color="auto" w:fill="FFFFFF"/>
            <w:vAlign w:val="bottom"/>
          </w:tcPr>
          <w:p w14:paraId="40FDF93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6,577</w:t>
            </w:r>
          </w:p>
        </w:tc>
        <w:tc>
          <w:tcPr>
            <w:tcW w:w="964" w:type="dxa"/>
            <w:tcBorders>
              <w:top w:val="nil"/>
              <w:left w:val="nil"/>
              <w:bottom w:val="single" w:sz="2" w:space="0" w:color="auto"/>
              <w:right w:val="nil"/>
            </w:tcBorders>
            <w:shd w:val="clear" w:color="auto" w:fill="FFFFFF"/>
            <w:vAlign w:val="bottom"/>
          </w:tcPr>
          <w:p w14:paraId="6A4F886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5,414</w:t>
            </w:r>
          </w:p>
        </w:tc>
        <w:tc>
          <w:tcPr>
            <w:tcW w:w="964" w:type="dxa"/>
            <w:tcBorders>
              <w:top w:val="nil"/>
              <w:left w:val="nil"/>
              <w:bottom w:val="single" w:sz="2" w:space="0" w:color="auto"/>
              <w:right w:val="nil"/>
            </w:tcBorders>
            <w:shd w:val="clear" w:color="auto" w:fill="FFFFFF"/>
            <w:vAlign w:val="bottom"/>
          </w:tcPr>
          <w:p w14:paraId="0831B3B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4,723</w:t>
            </w:r>
          </w:p>
        </w:tc>
        <w:tc>
          <w:tcPr>
            <w:tcW w:w="1134" w:type="dxa"/>
            <w:tcBorders>
              <w:top w:val="nil"/>
              <w:left w:val="nil"/>
              <w:bottom w:val="single" w:sz="2" w:space="0" w:color="auto"/>
              <w:right w:val="nil"/>
            </w:tcBorders>
            <w:shd w:val="clear" w:color="auto" w:fill="FFFFFF"/>
            <w:vAlign w:val="bottom"/>
          </w:tcPr>
          <w:p w14:paraId="75C7249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7,447</w:t>
            </w:r>
          </w:p>
        </w:tc>
        <w:tc>
          <w:tcPr>
            <w:tcW w:w="1134" w:type="dxa"/>
            <w:tcBorders>
              <w:top w:val="nil"/>
              <w:left w:val="nil"/>
              <w:bottom w:val="single" w:sz="2" w:space="0" w:color="auto"/>
              <w:right w:val="nil"/>
            </w:tcBorders>
            <w:shd w:val="clear" w:color="auto" w:fill="FFFFFF"/>
            <w:vAlign w:val="bottom"/>
          </w:tcPr>
          <w:p w14:paraId="73D4149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11,300</w:t>
            </w:r>
          </w:p>
        </w:tc>
      </w:tr>
      <w:tr w:rsidR="002E375F" w14:paraId="6D607FAA" w14:textId="77777777">
        <w:tc>
          <w:tcPr>
            <w:tcW w:w="7835" w:type="dxa"/>
            <w:tcBorders>
              <w:top w:val="nil"/>
              <w:left w:val="nil"/>
              <w:bottom w:val="nil"/>
              <w:right w:val="nil"/>
            </w:tcBorders>
            <w:shd w:val="clear" w:color="auto" w:fill="FFFFFF"/>
            <w:vAlign w:val="bottom"/>
          </w:tcPr>
          <w:p w14:paraId="2DA1EB1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Comprehensive Income</w:t>
            </w:r>
          </w:p>
        </w:tc>
        <w:tc>
          <w:tcPr>
            <w:tcW w:w="964" w:type="dxa"/>
            <w:tcBorders>
              <w:top w:val="nil"/>
              <w:left w:val="nil"/>
              <w:bottom w:val="single" w:sz="2" w:space="0" w:color="auto"/>
              <w:right w:val="nil"/>
            </w:tcBorders>
            <w:shd w:val="clear" w:color="auto" w:fill="FFFFFF"/>
            <w:vAlign w:val="bottom"/>
          </w:tcPr>
          <w:p w14:paraId="37C3A31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2,033</w:t>
            </w:r>
          </w:p>
        </w:tc>
        <w:tc>
          <w:tcPr>
            <w:tcW w:w="964" w:type="dxa"/>
            <w:tcBorders>
              <w:top w:val="nil"/>
              <w:left w:val="nil"/>
              <w:bottom w:val="single" w:sz="2" w:space="0" w:color="auto"/>
              <w:right w:val="nil"/>
            </w:tcBorders>
            <w:shd w:val="clear" w:color="auto" w:fill="FFFFFF"/>
            <w:vAlign w:val="bottom"/>
          </w:tcPr>
          <w:p w14:paraId="6753D6B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6,577</w:t>
            </w:r>
          </w:p>
        </w:tc>
        <w:tc>
          <w:tcPr>
            <w:tcW w:w="964" w:type="dxa"/>
            <w:tcBorders>
              <w:top w:val="nil"/>
              <w:left w:val="nil"/>
              <w:bottom w:val="single" w:sz="2" w:space="0" w:color="auto"/>
              <w:right w:val="nil"/>
            </w:tcBorders>
            <w:shd w:val="clear" w:color="auto" w:fill="FFFFFF"/>
            <w:vAlign w:val="bottom"/>
          </w:tcPr>
          <w:p w14:paraId="1660D08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5,414</w:t>
            </w:r>
          </w:p>
        </w:tc>
        <w:tc>
          <w:tcPr>
            <w:tcW w:w="964" w:type="dxa"/>
            <w:tcBorders>
              <w:top w:val="nil"/>
              <w:left w:val="nil"/>
              <w:bottom w:val="single" w:sz="2" w:space="0" w:color="auto"/>
              <w:right w:val="nil"/>
            </w:tcBorders>
            <w:shd w:val="clear" w:color="auto" w:fill="FFFFFF"/>
            <w:vAlign w:val="bottom"/>
          </w:tcPr>
          <w:p w14:paraId="1B2D48D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4,723</w:t>
            </w:r>
          </w:p>
        </w:tc>
        <w:tc>
          <w:tcPr>
            <w:tcW w:w="1134" w:type="dxa"/>
            <w:tcBorders>
              <w:top w:val="nil"/>
              <w:left w:val="nil"/>
              <w:bottom w:val="single" w:sz="2" w:space="0" w:color="auto"/>
              <w:right w:val="nil"/>
            </w:tcBorders>
            <w:shd w:val="clear" w:color="auto" w:fill="FFFFFF"/>
            <w:vAlign w:val="bottom"/>
          </w:tcPr>
          <w:p w14:paraId="334FA8C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7,447</w:t>
            </w:r>
          </w:p>
        </w:tc>
        <w:tc>
          <w:tcPr>
            <w:tcW w:w="1134" w:type="dxa"/>
            <w:tcBorders>
              <w:top w:val="nil"/>
              <w:left w:val="nil"/>
              <w:bottom w:val="single" w:sz="2" w:space="0" w:color="auto"/>
              <w:right w:val="nil"/>
            </w:tcBorders>
            <w:shd w:val="clear" w:color="auto" w:fill="FFFFFF"/>
            <w:vAlign w:val="bottom"/>
          </w:tcPr>
          <w:p w14:paraId="120BE51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11,300</w:t>
            </w:r>
          </w:p>
        </w:tc>
      </w:tr>
    </w:tbl>
    <w:p w14:paraId="2A0E9492"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6834" w:h="11909" w:orient="landscape"/>
          <w:pgMar w:top="1440" w:right="1440" w:bottom="1440" w:left="1440" w:header="720" w:footer="720" w:gutter="0"/>
          <w:cols w:space="720"/>
          <w:noEndnote/>
        </w:sectPr>
      </w:pPr>
    </w:p>
    <w:p w14:paraId="0C66699A" w14:textId="77777777" w:rsidR="002E375F" w:rsidRPr="00215788" w:rsidRDefault="00EB2569" w:rsidP="00F45CE1">
      <w:pPr>
        <w:pStyle w:val="Heading2"/>
        <w:spacing w:before="0"/>
      </w:pPr>
      <w:r w:rsidRPr="00215788">
        <w:lastRenderedPageBreak/>
        <w:t>Department of Communities, Disability Services and Seniors</w:t>
      </w:r>
    </w:p>
    <w:p w14:paraId="4FEDF423" w14:textId="77777777" w:rsidR="002E375F" w:rsidRPr="00215788" w:rsidRDefault="00EB2569" w:rsidP="00F45CE1">
      <w:pPr>
        <w:pStyle w:val="Heading2"/>
        <w:spacing w:before="0"/>
      </w:pPr>
      <w:r w:rsidRPr="00215788">
        <w:t>Balance Sheet - Controlled</w:t>
      </w:r>
    </w:p>
    <w:p w14:paraId="76BBCF95" w14:textId="77777777" w:rsidR="002E375F" w:rsidRPr="00215788" w:rsidRDefault="00EB2569" w:rsidP="00F45CE1">
      <w:pPr>
        <w:pStyle w:val="Heading2"/>
        <w:spacing w:before="0"/>
      </w:pPr>
      <w:r w:rsidRPr="00215788">
        <w:t>as at 30 June 2020</w:t>
      </w:r>
    </w:p>
    <w:p w14:paraId="1E178469" w14:textId="77777777" w:rsidR="002E375F" w:rsidRDefault="002E375F">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40"/>
        <w:gridCol w:w="4269"/>
        <w:gridCol w:w="567"/>
        <w:gridCol w:w="964"/>
        <w:gridCol w:w="964"/>
        <w:gridCol w:w="964"/>
        <w:gridCol w:w="965"/>
      </w:tblGrid>
      <w:tr w:rsidR="002E375F" w14:paraId="6CBE2A60" w14:textId="77777777">
        <w:tc>
          <w:tcPr>
            <w:tcW w:w="4609" w:type="dxa"/>
            <w:gridSpan w:val="2"/>
            <w:tcBorders>
              <w:top w:val="nil"/>
              <w:left w:val="nil"/>
              <w:bottom w:val="nil"/>
              <w:right w:val="nil"/>
            </w:tcBorders>
            <w:shd w:val="clear" w:color="auto" w:fill="FFFFFF"/>
            <w:vAlign w:val="bottom"/>
          </w:tcPr>
          <w:p w14:paraId="073F7E99" w14:textId="77777777" w:rsidR="002E375F" w:rsidRDefault="002E375F" w:rsidP="001C442D">
            <w:pPr>
              <w:pStyle w:val="Heading2"/>
            </w:pPr>
          </w:p>
        </w:tc>
        <w:tc>
          <w:tcPr>
            <w:tcW w:w="567" w:type="dxa"/>
            <w:tcBorders>
              <w:top w:val="nil"/>
              <w:left w:val="nil"/>
              <w:bottom w:val="nil"/>
              <w:right w:val="nil"/>
            </w:tcBorders>
            <w:shd w:val="clear" w:color="auto" w:fill="FFFFFF"/>
            <w:vAlign w:val="bottom"/>
          </w:tcPr>
          <w:p w14:paraId="29E86DE1" w14:textId="77777777" w:rsidR="002E375F" w:rsidRDefault="00EB2569" w:rsidP="001C442D">
            <w:pPr>
              <w:pStyle w:val="Heading2"/>
            </w:pPr>
            <w:r>
              <w:rPr>
                <w:rFonts w:ascii="Arial" w:hAnsi="Arial" w:cs="Arial"/>
                <w:b/>
                <w:bCs/>
                <w:sz w:val="18"/>
                <w:szCs w:val="18"/>
              </w:rPr>
              <w:t>Note</w:t>
            </w:r>
          </w:p>
        </w:tc>
        <w:tc>
          <w:tcPr>
            <w:tcW w:w="964" w:type="dxa"/>
            <w:tcBorders>
              <w:top w:val="nil"/>
              <w:left w:val="nil"/>
              <w:bottom w:val="nil"/>
              <w:right w:val="nil"/>
            </w:tcBorders>
            <w:shd w:val="clear" w:color="auto" w:fill="FFFFFF"/>
            <w:vAlign w:val="bottom"/>
          </w:tcPr>
          <w:p w14:paraId="54CC105A" w14:textId="77777777" w:rsidR="002E375F" w:rsidRDefault="00EB2569" w:rsidP="00862FE1">
            <w:pPr>
              <w:pStyle w:val="Heading2"/>
              <w:jc w:val="right"/>
            </w:pPr>
            <w:r>
              <w:rPr>
                <w:rFonts w:ascii="Arial" w:hAnsi="Arial" w:cs="Arial"/>
                <w:b/>
                <w:bCs/>
                <w:sz w:val="18"/>
                <w:szCs w:val="18"/>
              </w:rPr>
              <w:t>Actual</w:t>
            </w:r>
            <w:r>
              <w:rPr>
                <w:rFonts w:ascii="Arial" w:hAnsi="Arial" w:cs="Arial"/>
                <w:b/>
                <w:bCs/>
                <w:sz w:val="18"/>
                <w:szCs w:val="18"/>
              </w:rPr>
              <w:b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339C2EB4" w14:textId="77777777" w:rsidR="002E375F" w:rsidRDefault="00EB2569" w:rsidP="00862FE1">
            <w:pPr>
              <w:pStyle w:val="Heading2"/>
              <w:jc w:val="right"/>
            </w:pPr>
            <w:r>
              <w:rPr>
                <w:rFonts w:ascii="Arial" w:hAnsi="Arial" w:cs="Arial"/>
                <w:b/>
                <w:bCs/>
                <w:sz w:val="18"/>
                <w:szCs w:val="18"/>
              </w:rPr>
              <w:t>Original Budget^</w:t>
            </w:r>
            <w:r>
              <w:rPr>
                <w:rFonts w:ascii="Arial" w:hAnsi="Arial" w:cs="Arial"/>
                <w:sz w:val="18"/>
                <w:szCs w:val="18"/>
              </w:rPr>
              <w:br/>
              <w:t>2020</w:t>
            </w:r>
            <w:r>
              <w:rPr>
                <w:rFonts w:ascii="Arial" w:hAnsi="Arial" w:cs="Arial"/>
                <w:sz w:val="18"/>
                <w:szCs w:val="18"/>
              </w:rPr>
              <w:br/>
              <w:t>$'000</w:t>
            </w:r>
          </w:p>
        </w:tc>
        <w:tc>
          <w:tcPr>
            <w:tcW w:w="964" w:type="dxa"/>
            <w:tcBorders>
              <w:top w:val="nil"/>
              <w:left w:val="nil"/>
              <w:bottom w:val="nil"/>
              <w:right w:val="nil"/>
            </w:tcBorders>
            <w:shd w:val="clear" w:color="auto" w:fill="FFFFFF"/>
            <w:vAlign w:val="bottom"/>
          </w:tcPr>
          <w:p w14:paraId="09B87959" w14:textId="77777777" w:rsidR="002E375F" w:rsidRDefault="00EB2569" w:rsidP="00862FE1">
            <w:pPr>
              <w:pStyle w:val="Heading2"/>
              <w:jc w:val="right"/>
            </w:pPr>
            <w:r>
              <w:rPr>
                <w:rFonts w:ascii="Arial" w:hAnsi="Arial" w:cs="Arial"/>
                <w:b/>
                <w:bCs/>
                <w:sz w:val="18"/>
                <w:szCs w:val="18"/>
              </w:rPr>
              <w:t>Budget Variance*</w:t>
            </w:r>
            <w:r>
              <w:rPr>
                <w:rFonts w:ascii="Arial" w:hAnsi="Arial" w:cs="Arial"/>
                <w:sz w:val="18"/>
                <w:szCs w:val="18"/>
              </w:rPr>
              <w:br/>
              <w:t>2020</w:t>
            </w:r>
            <w:r>
              <w:rPr>
                <w:rFonts w:ascii="Arial" w:hAnsi="Arial" w:cs="Arial"/>
                <w:sz w:val="18"/>
                <w:szCs w:val="18"/>
              </w:rPr>
              <w:br/>
              <w:t>$'000</w:t>
            </w:r>
          </w:p>
        </w:tc>
        <w:tc>
          <w:tcPr>
            <w:tcW w:w="964" w:type="dxa"/>
            <w:tcBorders>
              <w:top w:val="nil"/>
              <w:left w:val="nil"/>
              <w:bottom w:val="nil"/>
              <w:right w:val="nil"/>
            </w:tcBorders>
            <w:shd w:val="clear" w:color="auto" w:fill="FFFFFF"/>
            <w:vAlign w:val="bottom"/>
          </w:tcPr>
          <w:p w14:paraId="05140987" w14:textId="77777777" w:rsidR="002E375F" w:rsidRDefault="00EB2569" w:rsidP="00862FE1">
            <w:pPr>
              <w:pStyle w:val="Heading2"/>
              <w:jc w:val="right"/>
            </w:pPr>
            <w:r>
              <w:rPr>
                <w:rFonts w:ascii="Arial" w:hAnsi="Arial" w:cs="Arial"/>
                <w:b/>
                <w:bCs/>
                <w:sz w:val="18"/>
                <w:szCs w:val="18"/>
              </w:rPr>
              <w:t>Actual</w:t>
            </w:r>
            <w:r>
              <w:rPr>
                <w:rFonts w:ascii="Arial" w:hAnsi="Arial" w:cs="Arial"/>
                <w:sz w:val="18"/>
                <w:szCs w:val="18"/>
              </w:rPr>
              <w:br/>
              <w:t>2019</w:t>
            </w:r>
            <w:r>
              <w:rPr>
                <w:rFonts w:ascii="Arial" w:hAnsi="Arial" w:cs="Arial"/>
                <w:sz w:val="18"/>
                <w:szCs w:val="18"/>
              </w:rPr>
              <w:br/>
              <w:t>$'000</w:t>
            </w:r>
          </w:p>
        </w:tc>
      </w:tr>
      <w:tr w:rsidR="002E375F" w14:paraId="417809C6" w14:textId="77777777">
        <w:tc>
          <w:tcPr>
            <w:tcW w:w="4609" w:type="dxa"/>
            <w:gridSpan w:val="2"/>
            <w:tcBorders>
              <w:top w:val="nil"/>
              <w:left w:val="nil"/>
              <w:bottom w:val="nil"/>
              <w:right w:val="nil"/>
            </w:tcBorders>
            <w:shd w:val="clear" w:color="auto" w:fill="FFFFFF"/>
            <w:vAlign w:val="bottom"/>
          </w:tcPr>
          <w:p w14:paraId="566C96C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Current Assets</w:t>
            </w:r>
          </w:p>
        </w:tc>
        <w:tc>
          <w:tcPr>
            <w:tcW w:w="567" w:type="dxa"/>
            <w:tcBorders>
              <w:top w:val="nil"/>
              <w:left w:val="nil"/>
              <w:bottom w:val="nil"/>
              <w:right w:val="nil"/>
            </w:tcBorders>
            <w:shd w:val="clear" w:color="auto" w:fill="FFFFFF"/>
            <w:vAlign w:val="bottom"/>
          </w:tcPr>
          <w:p w14:paraId="1EE0BAA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E64EC7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0D03E42"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FF1708B"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C778D63"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1CA3CEA0" w14:textId="77777777">
        <w:tc>
          <w:tcPr>
            <w:tcW w:w="4609" w:type="dxa"/>
            <w:gridSpan w:val="2"/>
            <w:tcBorders>
              <w:top w:val="nil"/>
              <w:left w:val="nil"/>
              <w:bottom w:val="nil"/>
              <w:right w:val="nil"/>
            </w:tcBorders>
            <w:shd w:val="clear" w:color="auto" w:fill="FFFFFF"/>
            <w:vAlign w:val="bottom"/>
          </w:tcPr>
          <w:p w14:paraId="351BBFA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Cash and cash equivalents</w:t>
            </w:r>
          </w:p>
        </w:tc>
        <w:tc>
          <w:tcPr>
            <w:tcW w:w="567" w:type="dxa"/>
            <w:tcBorders>
              <w:top w:val="nil"/>
              <w:left w:val="nil"/>
              <w:bottom w:val="nil"/>
              <w:right w:val="nil"/>
            </w:tcBorders>
            <w:shd w:val="clear" w:color="auto" w:fill="FFFFFF"/>
            <w:vAlign w:val="bottom"/>
          </w:tcPr>
          <w:p w14:paraId="04954C62"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C1</w:t>
            </w:r>
          </w:p>
        </w:tc>
        <w:tc>
          <w:tcPr>
            <w:tcW w:w="964" w:type="dxa"/>
            <w:tcBorders>
              <w:top w:val="nil"/>
              <w:left w:val="nil"/>
              <w:bottom w:val="nil"/>
              <w:right w:val="nil"/>
            </w:tcBorders>
            <w:shd w:val="clear" w:color="auto" w:fill="FFFFFF"/>
            <w:vAlign w:val="bottom"/>
          </w:tcPr>
          <w:p w14:paraId="6E9FFAB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72,041</w:t>
            </w:r>
          </w:p>
        </w:tc>
        <w:tc>
          <w:tcPr>
            <w:tcW w:w="964" w:type="dxa"/>
            <w:tcBorders>
              <w:top w:val="nil"/>
              <w:left w:val="nil"/>
              <w:bottom w:val="nil"/>
              <w:right w:val="nil"/>
            </w:tcBorders>
            <w:shd w:val="clear" w:color="auto" w:fill="FFFFFF"/>
            <w:vAlign w:val="bottom"/>
          </w:tcPr>
          <w:p w14:paraId="0A62BB7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22,047</w:t>
            </w:r>
          </w:p>
        </w:tc>
        <w:tc>
          <w:tcPr>
            <w:tcW w:w="964" w:type="dxa"/>
            <w:tcBorders>
              <w:top w:val="nil"/>
              <w:left w:val="nil"/>
              <w:bottom w:val="nil"/>
              <w:right w:val="nil"/>
            </w:tcBorders>
            <w:shd w:val="clear" w:color="auto" w:fill="FFFFFF"/>
            <w:vAlign w:val="bottom"/>
          </w:tcPr>
          <w:p w14:paraId="08BD99E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49,994</w:t>
            </w:r>
          </w:p>
        </w:tc>
        <w:tc>
          <w:tcPr>
            <w:tcW w:w="964" w:type="dxa"/>
            <w:tcBorders>
              <w:top w:val="nil"/>
              <w:left w:val="nil"/>
              <w:bottom w:val="nil"/>
              <w:right w:val="nil"/>
            </w:tcBorders>
            <w:shd w:val="clear" w:color="auto" w:fill="FFFFFF"/>
            <w:vAlign w:val="bottom"/>
          </w:tcPr>
          <w:p w14:paraId="6CC6AB3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83,208</w:t>
            </w:r>
          </w:p>
        </w:tc>
      </w:tr>
      <w:tr w:rsidR="002E375F" w14:paraId="7DEE94C6" w14:textId="77777777">
        <w:tc>
          <w:tcPr>
            <w:tcW w:w="4609" w:type="dxa"/>
            <w:gridSpan w:val="2"/>
            <w:tcBorders>
              <w:top w:val="nil"/>
              <w:left w:val="nil"/>
              <w:bottom w:val="nil"/>
              <w:right w:val="nil"/>
            </w:tcBorders>
            <w:shd w:val="clear" w:color="auto" w:fill="FFFFFF"/>
            <w:vAlign w:val="bottom"/>
          </w:tcPr>
          <w:p w14:paraId="533AA20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Receivables</w:t>
            </w:r>
          </w:p>
        </w:tc>
        <w:tc>
          <w:tcPr>
            <w:tcW w:w="567" w:type="dxa"/>
            <w:tcBorders>
              <w:top w:val="nil"/>
              <w:left w:val="nil"/>
              <w:bottom w:val="nil"/>
              <w:right w:val="nil"/>
            </w:tcBorders>
            <w:shd w:val="clear" w:color="auto" w:fill="FFFFFF"/>
            <w:vAlign w:val="bottom"/>
          </w:tcPr>
          <w:p w14:paraId="0B66881D"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C2</w:t>
            </w:r>
          </w:p>
        </w:tc>
        <w:tc>
          <w:tcPr>
            <w:tcW w:w="964" w:type="dxa"/>
            <w:tcBorders>
              <w:top w:val="nil"/>
              <w:left w:val="nil"/>
              <w:bottom w:val="nil"/>
              <w:right w:val="nil"/>
            </w:tcBorders>
            <w:shd w:val="clear" w:color="auto" w:fill="FFFFFF"/>
            <w:vAlign w:val="bottom"/>
          </w:tcPr>
          <w:p w14:paraId="7780826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4,841</w:t>
            </w:r>
          </w:p>
        </w:tc>
        <w:tc>
          <w:tcPr>
            <w:tcW w:w="964" w:type="dxa"/>
            <w:tcBorders>
              <w:top w:val="nil"/>
              <w:left w:val="nil"/>
              <w:bottom w:val="nil"/>
              <w:right w:val="nil"/>
            </w:tcBorders>
            <w:shd w:val="clear" w:color="auto" w:fill="FFFFFF"/>
            <w:vAlign w:val="bottom"/>
          </w:tcPr>
          <w:p w14:paraId="18174FE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17,293</w:t>
            </w:r>
          </w:p>
        </w:tc>
        <w:tc>
          <w:tcPr>
            <w:tcW w:w="964" w:type="dxa"/>
            <w:tcBorders>
              <w:top w:val="nil"/>
              <w:left w:val="nil"/>
              <w:bottom w:val="nil"/>
              <w:right w:val="nil"/>
            </w:tcBorders>
            <w:shd w:val="clear" w:color="auto" w:fill="FFFFFF"/>
            <w:vAlign w:val="bottom"/>
          </w:tcPr>
          <w:p w14:paraId="5162456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(12,452)</w:t>
            </w:r>
          </w:p>
        </w:tc>
        <w:tc>
          <w:tcPr>
            <w:tcW w:w="964" w:type="dxa"/>
            <w:tcBorders>
              <w:top w:val="nil"/>
              <w:left w:val="nil"/>
              <w:bottom w:val="nil"/>
              <w:right w:val="nil"/>
            </w:tcBorders>
            <w:shd w:val="clear" w:color="auto" w:fill="FFFFFF"/>
            <w:vAlign w:val="bottom"/>
          </w:tcPr>
          <w:p w14:paraId="420CBE5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23,852</w:t>
            </w:r>
          </w:p>
        </w:tc>
      </w:tr>
      <w:tr w:rsidR="002E375F" w14:paraId="106236BB" w14:textId="77777777">
        <w:tc>
          <w:tcPr>
            <w:tcW w:w="4609" w:type="dxa"/>
            <w:gridSpan w:val="2"/>
            <w:tcBorders>
              <w:top w:val="nil"/>
              <w:left w:val="nil"/>
              <w:bottom w:val="nil"/>
              <w:right w:val="nil"/>
            </w:tcBorders>
            <w:shd w:val="clear" w:color="auto" w:fill="FFFFFF"/>
            <w:vAlign w:val="bottom"/>
          </w:tcPr>
          <w:p w14:paraId="44CE5E3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 current assets</w:t>
            </w:r>
          </w:p>
        </w:tc>
        <w:tc>
          <w:tcPr>
            <w:tcW w:w="567" w:type="dxa"/>
            <w:tcBorders>
              <w:top w:val="nil"/>
              <w:left w:val="nil"/>
              <w:bottom w:val="nil"/>
              <w:right w:val="nil"/>
            </w:tcBorders>
            <w:shd w:val="clear" w:color="auto" w:fill="FFFFFF"/>
            <w:vAlign w:val="bottom"/>
          </w:tcPr>
          <w:p w14:paraId="3C0198E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2454D5B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2,377</w:t>
            </w:r>
          </w:p>
        </w:tc>
        <w:tc>
          <w:tcPr>
            <w:tcW w:w="964" w:type="dxa"/>
            <w:tcBorders>
              <w:top w:val="nil"/>
              <w:left w:val="nil"/>
              <w:bottom w:val="single" w:sz="2" w:space="0" w:color="auto"/>
              <w:right w:val="nil"/>
            </w:tcBorders>
            <w:shd w:val="clear" w:color="auto" w:fill="FFFFFF"/>
            <w:vAlign w:val="bottom"/>
          </w:tcPr>
          <w:p w14:paraId="65971BC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7112774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2,377</w:t>
            </w:r>
          </w:p>
        </w:tc>
        <w:tc>
          <w:tcPr>
            <w:tcW w:w="964" w:type="dxa"/>
            <w:tcBorders>
              <w:top w:val="nil"/>
              <w:left w:val="nil"/>
              <w:bottom w:val="single" w:sz="2" w:space="0" w:color="auto"/>
              <w:right w:val="nil"/>
            </w:tcBorders>
            <w:shd w:val="clear" w:color="auto" w:fill="FFFFFF"/>
            <w:vAlign w:val="bottom"/>
          </w:tcPr>
          <w:p w14:paraId="6C7645D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w:t>
            </w:r>
          </w:p>
        </w:tc>
      </w:tr>
      <w:tr w:rsidR="002E375F" w14:paraId="1904CD44" w14:textId="77777777">
        <w:tc>
          <w:tcPr>
            <w:tcW w:w="4609" w:type="dxa"/>
            <w:gridSpan w:val="2"/>
            <w:tcBorders>
              <w:top w:val="nil"/>
              <w:left w:val="nil"/>
              <w:bottom w:val="nil"/>
              <w:right w:val="nil"/>
            </w:tcBorders>
            <w:shd w:val="clear" w:color="auto" w:fill="FFFFFF"/>
            <w:vAlign w:val="bottom"/>
          </w:tcPr>
          <w:p w14:paraId="22DA4D8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vAlign w:val="bottom"/>
          </w:tcPr>
          <w:p w14:paraId="2BDCB9E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DD419B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79,259</w:t>
            </w:r>
          </w:p>
        </w:tc>
        <w:tc>
          <w:tcPr>
            <w:tcW w:w="964" w:type="dxa"/>
            <w:tcBorders>
              <w:top w:val="nil"/>
              <w:left w:val="nil"/>
              <w:bottom w:val="nil"/>
              <w:right w:val="nil"/>
            </w:tcBorders>
            <w:shd w:val="clear" w:color="auto" w:fill="FFFFFF"/>
            <w:vAlign w:val="bottom"/>
          </w:tcPr>
          <w:p w14:paraId="5CEC9DE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39,340</w:t>
            </w:r>
          </w:p>
        </w:tc>
        <w:tc>
          <w:tcPr>
            <w:tcW w:w="964" w:type="dxa"/>
            <w:tcBorders>
              <w:top w:val="nil"/>
              <w:left w:val="nil"/>
              <w:bottom w:val="nil"/>
              <w:right w:val="nil"/>
            </w:tcBorders>
            <w:shd w:val="clear" w:color="auto" w:fill="FFFFFF"/>
            <w:vAlign w:val="bottom"/>
          </w:tcPr>
          <w:p w14:paraId="7C71DDB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39,919</w:t>
            </w:r>
          </w:p>
        </w:tc>
        <w:tc>
          <w:tcPr>
            <w:tcW w:w="964" w:type="dxa"/>
            <w:tcBorders>
              <w:top w:val="nil"/>
              <w:left w:val="nil"/>
              <w:bottom w:val="nil"/>
              <w:right w:val="nil"/>
            </w:tcBorders>
            <w:shd w:val="clear" w:color="auto" w:fill="FFFFFF"/>
            <w:vAlign w:val="bottom"/>
          </w:tcPr>
          <w:p w14:paraId="37537D9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107,073</w:t>
            </w:r>
          </w:p>
        </w:tc>
      </w:tr>
      <w:tr w:rsidR="002E375F" w14:paraId="0425B2C2" w14:textId="77777777">
        <w:tc>
          <w:tcPr>
            <w:tcW w:w="4609" w:type="dxa"/>
            <w:gridSpan w:val="2"/>
            <w:tcBorders>
              <w:top w:val="nil"/>
              <w:left w:val="nil"/>
              <w:bottom w:val="nil"/>
              <w:right w:val="nil"/>
            </w:tcBorders>
            <w:shd w:val="clear" w:color="auto" w:fill="FFFFFF"/>
            <w:vAlign w:val="bottom"/>
          </w:tcPr>
          <w:p w14:paraId="684355E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Non-current assets classified as held for sale</w:t>
            </w:r>
          </w:p>
        </w:tc>
        <w:tc>
          <w:tcPr>
            <w:tcW w:w="567" w:type="dxa"/>
            <w:tcBorders>
              <w:top w:val="nil"/>
              <w:left w:val="nil"/>
              <w:bottom w:val="nil"/>
              <w:right w:val="nil"/>
            </w:tcBorders>
            <w:shd w:val="clear" w:color="auto" w:fill="FFFFFF"/>
            <w:vAlign w:val="bottom"/>
          </w:tcPr>
          <w:p w14:paraId="7A43ABED"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C3</w:t>
            </w:r>
          </w:p>
        </w:tc>
        <w:tc>
          <w:tcPr>
            <w:tcW w:w="964" w:type="dxa"/>
            <w:tcBorders>
              <w:top w:val="nil"/>
              <w:left w:val="nil"/>
              <w:bottom w:val="single" w:sz="2" w:space="0" w:color="auto"/>
              <w:right w:val="nil"/>
            </w:tcBorders>
            <w:shd w:val="clear" w:color="auto" w:fill="FFFFFF"/>
            <w:vAlign w:val="bottom"/>
          </w:tcPr>
          <w:p w14:paraId="11278C9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354999D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639F487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70ABA6A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368</w:t>
            </w:r>
          </w:p>
        </w:tc>
      </w:tr>
      <w:tr w:rsidR="002E375F" w14:paraId="406D3538" w14:textId="77777777">
        <w:tc>
          <w:tcPr>
            <w:tcW w:w="4609" w:type="dxa"/>
            <w:gridSpan w:val="2"/>
            <w:tcBorders>
              <w:top w:val="nil"/>
              <w:left w:val="nil"/>
              <w:bottom w:val="nil"/>
              <w:right w:val="nil"/>
            </w:tcBorders>
            <w:shd w:val="clear" w:color="auto" w:fill="FFFFFF"/>
            <w:vAlign w:val="bottom"/>
          </w:tcPr>
          <w:p w14:paraId="35477EA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Current Assets</w:t>
            </w:r>
          </w:p>
        </w:tc>
        <w:tc>
          <w:tcPr>
            <w:tcW w:w="567" w:type="dxa"/>
            <w:tcBorders>
              <w:top w:val="nil"/>
              <w:left w:val="nil"/>
              <w:bottom w:val="nil"/>
              <w:right w:val="nil"/>
            </w:tcBorders>
            <w:shd w:val="clear" w:color="auto" w:fill="FFFFFF"/>
            <w:vAlign w:val="bottom"/>
          </w:tcPr>
          <w:p w14:paraId="12D21BF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2187AA0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79,259</w:t>
            </w:r>
          </w:p>
        </w:tc>
        <w:tc>
          <w:tcPr>
            <w:tcW w:w="964" w:type="dxa"/>
            <w:tcBorders>
              <w:top w:val="nil"/>
              <w:left w:val="nil"/>
              <w:bottom w:val="single" w:sz="2" w:space="0" w:color="auto"/>
              <w:right w:val="nil"/>
            </w:tcBorders>
            <w:shd w:val="clear" w:color="auto" w:fill="FFFFFF"/>
            <w:vAlign w:val="bottom"/>
          </w:tcPr>
          <w:p w14:paraId="6C92731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39,340</w:t>
            </w:r>
          </w:p>
        </w:tc>
        <w:tc>
          <w:tcPr>
            <w:tcW w:w="964" w:type="dxa"/>
            <w:tcBorders>
              <w:top w:val="nil"/>
              <w:left w:val="nil"/>
              <w:bottom w:val="single" w:sz="2" w:space="0" w:color="auto"/>
              <w:right w:val="nil"/>
            </w:tcBorders>
            <w:shd w:val="clear" w:color="auto" w:fill="FFFFFF"/>
            <w:vAlign w:val="bottom"/>
          </w:tcPr>
          <w:p w14:paraId="4956C53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39,919</w:t>
            </w:r>
          </w:p>
        </w:tc>
        <w:tc>
          <w:tcPr>
            <w:tcW w:w="964" w:type="dxa"/>
            <w:tcBorders>
              <w:top w:val="nil"/>
              <w:left w:val="nil"/>
              <w:bottom w:val="single" w:sz="2" w:space="0" w:color="auto"/>
              <w:right w:val="nil"/>
            </w:tcBorders>
            <w:shd w:val="clear" w:color="auto" w:fill="FFFFFF"/>
            <w:vAlign w:val="bottom"/>
          </w:tcPr>
          <w:p w14:paraId="20D903A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107,441</w:t>
            </w:r>
          </w:p>
        </w:tc>
      </w:tr>
      <w:tr w:rsidR="002E375F" w14:paraId="5B901376" w14:textId="77777777">
        <w:tc>
          <w:tcPr>
            <w:tcW w:w="4609" w:type="dxa"/>
            <w:gridSpan w:val="2"/>
            <w:tcBorders>
              <w:top w:val="nil"/>
              <w:left w:val="nil"/>
              <w:bottom w:val="nil"/>
              <w:right w:val="nil"/>
            </w:tcBorders>
            <w:shd w:val="clear" w:color="auto" w:fill="FFFFFF"/>
            <w:vAlign w:val="bottom"/>
          </w:tcPr>
          <w:p w14:paraId="389F773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Non-Current Assets</w:t>
            </w:r>
          </w:p>
        </w:tc>
        <w:tc>
          <w:tcPr>
            <w:tcW w:w="567" w:type="dxa"/>
            <w:tcBorders>
              <w:top w:val="nil"/>
              <w:left w:val="nil"/>
              <w:bottom w:val="nil"/>
              <w:right w:val="nil"/>
            </w:tcBorders>
            <w:shd w:val="clear" w:color="auto" w:fill="FFFFFF"/>
            <w:vAlign w:val="bottom"/>
          </w:tcPr>
          <w:p w14:paraId="58AE4D7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1DE435E"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6CB3A07"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D7DDFF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105836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3C30D36F" w14:textId="77777777">
        <w:tc>
          <w:tcPr>
            <w:tcW w:w="4609" w:type="dxa"/>
            <w:gridSpan w:val="2"/>
            <w:tcBorders>
              <w:top w:val="nil"/>
              <w:left w:val="nil"/>
              <w:bottom w:val="nil"/>
              <w:right w:val="nil"/>
            </w:tcBorders>
            <w:shd w:val="clear" w:color="auto" w:fill="FFFFFF"/>
            <w:vAlign w:val="bottom"/>
          </w:tcPr>
          <w:p w14:paraId="4147836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Receivables</w:t>
            </w:r>
          </w:p>
        </w:tc>
        <w:tc>
          <w:tcPr>
            <w:tcW w:w="567" w:type="dxa"/>
            <w:tcBorders>
              <w:top w:val="nil"/>
              <w:left w:val="nil"/>
              <w:bottom w:val="nil"/>
              <w:right w:val="nil"/>
            </w:tcBorders>
            <w:shd w:val="clear" w:color="auto" w:fill="FFFFFF"/>
            <w:vAlign w:val="bottom"/>
          </w:tcPr>
          <w:p w14:paraId="6F894269"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C2</w:t>
            </w:r>
          </w:p>
        </w:tc>
        <w:tc>
          <w:tcPr>
            <w:tcW w:w="964" w:type="dxa"/>
            <w:tcBorders>
              <w:top w:val="nil"/>
              <w:left w:val="nil"/>
              <w:bottom w:val="nil"/>
              <w:right w:val="nil"/>
            </w:tcBorders>
            <w:shd w:val="clear" w:color="auto" w:fill="FFFFFF"/>
            <w:vAlign w:val="bottom"/>
          </w:tcPr>
          <w:p w14:paraId="7FC5AC3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5D6D377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41F5969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059EE7D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4,202</w:t>
            </w:r>
          </w:p>
        </w:tc>
      </w:tr>
      <w:tr w:rsidR="002E375F" w14:paraId="215DCDC0" w14:textId="77777777">
        <w:tc>
          <w:tcPr>
            <w:tcW w:w="4609" w:type="dxa"/>
            <w:gridSpan w:val="2"/>
            <w:tcBorders>
              <w:top w:val="nil"/>
              <w:left w:val="nil"/>
              <w:bottom w:val="nil"/>
              <w:right w:val="nil"/>
            </w:tcBorders>
            <w:shd w:val="clear" w:color="auto" w:fill="FFFFFF"/>
            <w:vAlign w:val="bottom"/>
          </w:tcPr>
          <w:p w14:paraId="382C293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Property, plant and equipment</w:t>
            </w:r>
          </w:p>
        </w:tc>
        <w:tc>
          <w:tcPr>
            <w:tcW w:w="567" w:type="dxa"/>
            <w:tcBorders>
              <w:top w:val="nil"/>
              <w:left w:val="nil"/>
              <w:bottom w:val="nil"/>
              <w:right w:val="nil"/>
            </w:tcBorders>
            <w:shd w:val="clear" w:color="auto" w:fill="FFFFFF"/>
            <w:vAlign w:val="bottom"/>
          </w:tcPr>
          <w:p w14:paraId="1136A975"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C4</w:t>
            </w:r>
          </w:p>
        </w:tc>
        <w:tc>
          <w:tcPr>
            <w:tcW w:w="964" w:type="dxa"/>
            <w:tcBorders>
              <w:top w:val="nil"/>
              <w:left w:val="nil"/>
              <w:bottom w:val="nil"/>
              <w:right w:val="nil"/>
            </w:tcBorders>
            <w:shd w:val="clear" w:color="auto" w:fill="FFFFFF"/>
            <w:vAlign w:val="bottom"/>
          </w:tcPr>
          <w:p w14:paraId="790FABF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283,925</w:t>
            </w:r>
          </w:p>
        </w:tc>
        <w:tc>
          <w:tcPr>
            <w:tcW w:w="964" w:type="dxa"/>
            <w:tcBorders>
              <w:top w:val="nil"/>
              <w:left w:val="nil"/>
              <w:bottom w:val="nil"/>
              <w:right w:val="nil"/>
            </w:tcBorders>
            <w:shd w:val="clear" w:color="auto" w:fill="FFFFFF"/>
            <w:vAlign w:val="bottom"/>
          </w:tcPr>
          <w:p w14:paraId="69461BD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277,375</w:t>
            </w:r>
          </w:p>
        </w:tc>
        <w:tc>
          <w:tcPr>
            <w:tcW w:w="964" w:type="dxa"/>
            <w:tcBorders>
              <w:top w:val="nil"/>
              <w:left w:val="nil"/>
              <w:bottom w:val="nil"/>
              <w:right w:val="nil"/>
            </w:tcBorders>
            <w:shd w:val="clear" w:color="auto" w:fill="FFFFFF"/>
            <w:vAlign w:val="bottom"/>
          </w:tcPr>
          <w:p w14:paraId="41A70EF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6,550</w:t>
            </w:r>
          </w:p>
        </w:tc>
        <w:tc>
          <w:tcPr>
            <w:tcW w:w="964" w:type="dxa"/>
            <w:tcBorders>
              <w:top w:val="nil"/>
              <w:left w:val="nil"/>
              <w:bottom w:val="nil"/>
              <w:right w:val="nil"/>
            </w:tcBorders>
            <w:shd w:val="clear" w:color="auto" w:fill="FFFFFF"/>
            <w:vAlign w:val="bottom"/>
          </w:tcPr>
          <w:p w14:paraId="40F5662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276,445</w:t>
            </w:r>
          </w:p>
        </w:tc>
      </w:tr>
      <w:tr w:rsidR="002E375F" w14:paraId="153C46D2" w14:textId="77777777">
        <w:tc>
          <w:tcPr>
            <w:tcW w:w="4609" w:type="dxa"/>
            <w:gridSpan w:val="2"/>
            <w:tcBorders>
              <w:top w:val="nil"/>
              <w:left w:val="nil"/>
              <w:bottom w:val="nil"/>
              <w:right w:val="nil"/>
            </w:tcBorders>
            <w:shd w:val="clear" w:color="auto" w:fill="FFFFFF"/>
            <w:vAlign w:val="bottom"/>
          </w:tcPr>
          <w:p w14:paraId="26AB0CD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Intangibles</w:t>
            </w:r>
          </w:p>
        </w:tc>
        <w:tc>
          <w:tcPr>
            <w:tcW w:w="567" w:type="dxa"/>
            <w:tcBorders>
              <w:top w:val="nil"/>
              <w:left w:val="nil"/>
              <w:bottom w:val="nil"/>
              <w:right w:val="nil"/>
            </w:tcBorders>
            <w:shd w:val="clear" w:color="auto" w:fill="FFFFFF"/>
            <w:vAlign w:val="bottom"/>
          </w:tcPr>
          <w:p w14:paraId="0B17DED6"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C5</w:t>
            </w:r>
          </w:p>
        </w:tc>
        <w:tc>
          <w:tcPr>
            <w:tcW w:w="964" w:type="dxa"/>
            <w:tcBorders>
              <w:top w:val="nil"/>
              <w:left w:val="nil"/>
              <w:bottom w:val="nil"/>
              <w:right w:val="nil"/>
            </w:tcBorders>
            <w:shd w:val="clear" w:color="auto" w:fill="FFFFFF"/>
            <w:vAlign w:val="bottom"/>
          </w:tcPr>
          <w:p w14:paraId="2DCC659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3,226</w:t>
            </w:r>
          </w:p>
        </w:tc>
        <w:tc>
          <w:tcPr>
            <w:tcW w:w="964" w:type="dxa"/>
            <w:tcBorders>
              <w:top w:val="nil"/>
              <w:left w:val="nil"/>
              <w:bottom w:val="nil"/>
              <w:right w:val="nil"/>
            </w:tcBorders>
            <w:shd w:val="clear" w:color="auto" w:fill="FFFFFF"/>
            <w:vAlign w:val="bottom"/>
          </w:tcPr>
          <w:p w14:paraId="15627EB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4,287</w:t>
            </w:r>
          </w:p>
        </w:tc>
        <w:tc>
          <w:tcPr>
            <w:tcW w:w="964" w:type="dxa"/>
            <w:tcBorders>
              <w:top w:val="nil"/>
              <w:left w:val="nil"/>
              <w:bottom w:val="nil"/>
              <w:right w:val="nil"/>
            </w:tcBorders>
            <w:shd w:val="clear" w:color="auto" w:fill="FFFFFF"/>
            <w:vAlign w:val="bottom"/>
          </w:tcPr>
          <w:p w14:paraId="7EA40E0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(1,061)</w:t>
            </w:r>
          </w:p>
        </w:tc>
        <w:tc>
          <w:tcPr>
            <w:tcW w:w="964" w:type="dxa"/>
            <w:tcBorders>
              <w:top w:val="nil"/>
              <w:left w:val="nil"/>
              <w:bottom w:val="nil"/>
              <w:right w:val="nil"/>
            </w:tcBorders>
            <w:shd w:val="clear" w:color="auto" w:fill="FFFFFF"/>
            <w:vAlign w:val="bottom"/>
          </w:tcPr>
          <w:p w14:paraId="76BB947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2,556</w:t>
            </w:r>
          </w:p>
        </w:tc>
      </w:tr>
      <w:tr w:rsidR="002E375F" w14:paraId="74BF24ED" w14:textId="77777777">
        <w:tc>
          <w:tcPr>
            <w:tcW w:w="4609" w:type="dxa"/>
            <w:gridSpan w:val="2"/>
            <w:tcBorders>
              <w:top w:val="nil"/>
              <w:left w:val="nil"/>
              <w:bottom w:val="nil"/>
              <w:right w:val="nil"/>
            </w:tcBorders>
            <w:shd w:val="clear" w:color="auto" w:fill="FFFFFF"/>
            <w:vAlign w:val="bottom"/>
          </w:tcPr>
          <w:p w14:paraId="44759DD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Right-of-use assets</w:t>
            </w:r>
          </w:p>
        </w:tc>
        <w:tc>
          <w:tcPr>
            <w:tcW w:w="567" w:type="dxa"/>
            <w:tcBorders>
              <w:top w:val="nil"/>
              <w:left w:val="nil"/>
              <w:bottom w:val="nil"/>
              <w:right w:val="nil"/>
            </w:tcBorders>
            <w:shd w:val="clear" w:color="auto" w:fill="FFFFFF"/>
            <w:vAlign w:val="bottom"/>
          </w:tcPr>
          <w:p w14:paraId="6F33FEE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38C651D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51</w:t>
            </w:r>
          </w:p>
        </w:tc>
        <w:tc>
          <w:tcPr>
            <w:tcW w:w="964" w:type="dxa"/>
            <w:tcBorders>
              <w:top w:val="nil"/>
              <w:left w:val="nil"/>
              <w:bottom w:val="single" w:sz="2" w:space="0" w:color="auto"/>
              <w:right w:val="nil"/>
            </w:tcBorders>
            <w:shd w:val="clear" w:color="auto" w:fill="FFFFFF"/>
            <w:vAlign w:val="bottom"/>
          </w:tcPr>
          <w:p w14:paraId="2B3F477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35A5018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51</w:t>
            </w:r>
          </w:p>
        </w:tc>
        <w:tc>
          <w:tcPr>
            <w:tcW w:w="964" w:type="dxa"/>
            <w:tcBorders>
              <w:top w:val="nil"/>
              <w:left w:val="nil"/>
              <w:bottom w:val="single" w:sz="2" w:space="0" w:color="auto"/>
              <w:right w:val="nil"/>
            </w:tcBorders>
            <w:shd w:val="clear" w:color="auto" w:fill="FFFFFF"/>
            <w:vAlign w:val="bottom"/>
          </w:tcPr>
          <w:p w14:paraId="1637C64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5699B982" w14:textId="77777777">
        <w:tc>
          <w:tcPr>
            <w:tcW w:w="4609" w:type="dxa"/>
            <w:gridSpan w:val="2"/>
            <w:tcBorders>
              <w:top w:val="nil"/>
              <w:left w:val="nil"/>
              <w:bottom w:val="nil"/>
              <w:right w:val="nil"/>
            </w:tcBorders>
            <w:shd w:val="clear" w:color="auto" w:fill="FFFFFF"/>
            <w:vAlign w:val="bottom"/>
          </w:tcPr>
          <w:p w14:paraId="63F897B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Non-Current Assets</w:t>
            </w:r>
          </w:p>
        </w:tc>
        <w:tc>
          <w:tcPr>
            <w:tcW w:w="567" w:type="dxa"/>
            <w:tcBorders>
              <w:top w:val="nil"/>
              <w:left w:val="nil"/>
              <w:bottom w:val="nil"/>
              <w:right w:val="nil"/>
            </w:tcBorders>
            <w:shd w:val="clear" w:color="auto" w:fill="FFFFFF"/>
            <w:vAlign w:val="bottom"/>
          </w:tcPr>
          <w:p w14:paraId="52E094C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0CB78B1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287,202</w:t>
            </w:r>
          </w:p>
        </w:tc>
        <w:tc>
          <w:tcPr>
            <w:tcW w:w="964" w:type="dxa"/>
            <w:tcBorders>
              <w:top w:val="nil"/>
              <w:left w:val="nil"/>
              <w:bottom w:val="single" w:sz="2" w:space="0" w:color="auto"/>
              <w:right w:val="nil"/>
            </w:tcBorders>
            <w:shd w:val="clear" w:color="auto" w:fill="FFFFFF"/>
            <w:vAlign w:val="bottom"/>
          </w:tcPr>
          <w:p w14:paraId="785F455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281,662</w:t>
            </w:r>
          </w:p>
        </w:tc>
        <w:tc>
          <w:tcPr>
            <w:tcW w:w="964" w:type="dxa"/>
            <w:tcBorders>
              <w:top w:val="nil"/>
              <w:left w:val="nil"/>
              <w:bottom w:val="single" w:sz="2" w:space="0" w:color="auto"/>
              <w:right w:val="nil"/>
            </w:tcBorders>
            <w:shd w:val="clear" w:color="auto" w:fill="FFFFFF"/>
            <w:vAlign w:val="bottom"/>
          </w:tcPr>
          <w:p w14:paraId="79F535C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5,540</w:t>
            </w:r>
          </w:p>
        </w:tc>
        <w:tc>
          <w:tcPr>
            <w:tcW w:w="964" w:type="dxa"/>
            <w:tcBorders>
              <w:top w:val="nil"/>
              <w:left w:val="nil"/>
              <w:bottom w:val="single" w:sz="2" w:space="0" w:color="auto"/>
              <w:right w:val="nil"/>
            </w:tcBorders>
            <w:shd w:val="clear" w:color="auto" w:fill="FFFFFF"/>
            <w:vAlign w:val="bottom"/>
          </w:tcPr>
          <w:p w14:paraId="4F1E406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283,203</w:t>
            </w:r>
          </w:p>
        </w:tc>
      </w:tr>
      <w:tr w:rsidR="002E375F" w14:paraId="4A993A57" w14:textId="77777777">
        <w:tc>
          <w:tcPr>
            <w:tcW w:w="4609" w:type="dxa"/>
            <w:gridSpan w:val="2"/>
            <w:tcBorders>
              <w:top w:val="nil"/>
              <w:left w:val="nil"/>
              <w:bottom w:val="nil"/>
              <w:right w:val="nil"/>
            </w:tcBorders>
            <w:shd w:val="clear" w:color="auto" w:fill="FFFFFF"/>
            <w:vAlign w:val="bottom"/>
          </w:tcPr>
          <w:p w14:paraId="626EA75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Assets</w:t>
            </w:r>
          </w:p>
        </w:tc>
        <w:tc>
          <w:tcPr>
            <w:tcW w:w="567" w:type="dxa"/>
            <w:tcBorders>
              <w:top w:val="nil"/>
              <w:left w:val="nil"/>
              <w:bottom w:val="nil"/>
              <w:right w:val="nil"/>
            </w:tcBorders>
            <w:shd w:val="clear" w:color="auto" w:fill="FFFFFF"/>
            <w:vAlign w:val="bottom"/>
          </w:tcPr>
          <w:p w14:paraId="4A176D4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7FC83C7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366,461</w:t>
            </w:r>
          </w:p>
        </w:tc>
        <w:tc>
          <w:tcPr>
            <w:tcW w:w="964" w:type="dxa"/>
            <w:tcBorders>
              <w:top w:val="nil"/>
              <w:left w:val="nil"/>
              <w:bottom w:val="single" w:sz="2" w:space="0" w:color="auto"/>
              <w:right w:val="nil"/>
            </w:tcBorders>
            <w:shd w:val="clear" w:color="auto" w:fill="FFFFFF"/>
            <w:vAlign w:val="bottom"/>
          </w:tcPr>
          <w:p w14:paraId="3FC4B53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321,002</w:t>
            </w:r>
          </w:p>
        </w:tc>
        <w:tc>
          <w:tcPr>
            <w:tcW w:w="964" w:type="dxa"/>
            <w:tcBorders>
              <w:top w:val="nil"/>
              <w:left w:val="nil"/>
              <w:bottom w:val="single" w:sz="2" w:space="0" w:color="auto"/>
              <w:right w:val="nil"/>
            </w:tcBorders>
            <w:shd w:val="clear" w:color="auto" w:fill="FFFFFF"/>
            <w:vAlign w:val="bottom"/>
          </w:tcPr>
          <w:p w14:paraId="7868CEE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45,459</w:t>
            </w:r>
          </w:p>
        </w:tc>
        <w:tc>
          <w:tcPr>
            <w:tcW w:w="964" w:type="dxa"/>
            <w:tcBorders>
              <w:top w:val="nil"/>
              <w:left w:val="nil"/>
              <w:bottom w:val="single" w:sz="2" w:space="0" w:color="auto"/>
              <w:right w:val="nil"/>
            </w:tcBorders>
            <w:shd w:val="clear" w:color="auto" w:fill="FFFFFF"/>
            <w:vAlign w:val="bottom"/>
          </w:tcPr>
          <w:p w14:paraId="67D7530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390,644</w:t>
            </w:r>
          </w:p>
        </w:tc>
      </w:tr>
      <w:tr w:rsidR="002E375F" w14:paraId="09FDA5D4" w14:textId="77777777">
        <w:tc>
          <w:tcPr>
            <w:tcW w:w="4609" w:type="dxa"/>
            <w:gridSpan w:val="2"/>
            <w:tcBorders>
              <w:top w:val="nil"/>
              <w:left w:val="nil"/>
              <w:bottom w:val="nil"/>
              <w:right w:val="nil"/>
            </w:tcBorders>
            <w:shd w:val="clear" w:color="auto" w:fill="FFFFFF"/>
            <w:vAlign w:val="bottom"/>
          </w:tcPr>
          <w:p w14:paraId="735FECA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Current Liabilities</w:t>
            </w:r>
          </w:p>
        </w:tc>
        <w:tc>
          <w:tcPr>
            <w:tcW w:w="567" w:type="dxa"/>
            <w:tcBorders>
              <w:top w:val="nil"/>
              <w:left w:val="nil"/>
              <w:bottom w:val="nil"/>
              <w:right w:val="nil"/>
            </w:tcBorders>
            <w:shd w:val="clear" w:color="auto" w:fill="FFFFFF"/>
            <w:vAlign w:val="bottom"/>
          </w:tcPr>
          <w:p w14:paraId="4207973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841084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1E64EF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B708A7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77DA3B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29A87E2E" w14:textId="77777777">
        <w:tc>
          <w:tcPr>
            <w:tcW w:w="4609" w:type="dxa"/>
            <w:gridSpan w:val="2"/>
            <w:tcBorders>
              <w:top w:val="nil"/>
              <w:left w:val="nil"/>
              <w:bottom w:val="nil"/>
              <w:right w:val="nil"/>
            </w:tcBorders>
            <w:shd w:val="clear" w:color="auto" w:fill="FFFFFF"/>
            <w:vAlign w:val="bottom"/>
          </w:tcPr>
          <w:p w14:paraId="62CF786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Payables</w:t>
            </w:r>
          </w:p>
        </w:tc>
        <w:tc>
          <w:tcPr>
            <w:tcW w:w="567" w:type="dxa"/>
            <w:tcBorders>
              <w:top w:val="nil"/>
              <w:left w:val="nil"/>
              <w:bottom w:val="nil"/>
              <w:right w:val="nil"/>
            </w:tcBorders>
            <w:shd w:val="clear" w:color="auto" w:fill="FFFFFF"/>
            <w:vAlign w:val="bottom"/>
          </w:tcPr>
          <w:p w14:paraId="4C4ADEB6"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C6</w:t>
            </w:r>
          </w:p>
        </w:tc>
        <w:tc>
          <w:tcPr>
            <w:tcW w:w="964" w:type="dxa"/>
            <w:tcBorders>
              <w:top w:val="nil"/>
              <w:left w:val="nil"/>
              <w:bottom w:val="nil"/>
              <w:right w:val="nil"/>
            </w:tcBorders>
            <w:shd w:val="clear" w:color="auto" w:fill="FFFFFF"/>
            <w:vAlign w:val="bottom"/>
          </w:tcPr>
          <w:p w14:paraId="6F4EB70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32,599</w:t>
            </w:r>
          </w:p>
        </w:tc>
        <w:tc>
          <w:tcPr>
            <w:tcW w:w="964" w:type="dxa"/>
            <w:tcBorders>
              <w:top w:val="nil"/>
              <w:left w:val="nil"/>
              <w:bottom w:val="nil"/>
              <w:right w:val="nil"/>
            </w:tcBorders>
            <w:shd w:val="clear" w:color="auto" w:fill="FFFFFF"/>
            <w:vAlign w:val="bottom"/>
          </w:tcPr>
          <w:p w14:paraId="39D1136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16,231</w:t>
            </w:r>
          </w:p>
        </w:tc>
        <w:tc>
          <w:tcPr>
            <w:tcW w:w="964" w:type="dxa"/>
            <w:tcBorders>
              <w:top w:val="nil"/>
              <w:left w:val="nil"/>
              <w:bottom w:val="nil"/>
              <w:right w:val="nil"/>
            </w:tcBorders>
            <w:shd w:val="clear" w:color="auto" w:fill="FFFFFF"/>
            <w:vAlign w:val="bottom"/>
          </w:tcPr>
          <w:p w14:paraId="24E28B1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16,368</w:t>
            </w:r>
          </w:p>
        </w:tc>
        <w:tc>
          <w:tcPr>
            <w:tcW w:w="964" w:type="dxa"/>
            <w:tcBorders>
              <w:top w:val="nil"/>
              <w:left w:val="nil"/>
              <w:bottom w:val="nil"/>
              <w:right w:val="nil"/>
            </w:tcBorders>
            <w:shd w:val="clear" w:color="auto" w:fill="FFFFFF"/>
            <w:vAlign w:val="bottom"/>
          </w:tcPr>
          <w:p w14:paraId="21FE08E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30,148</w:t>
            </w:r>
          </w:p>
        </w:tc>
      </w:tr>
      <w:tr w:rsidR="002E375F" w14:paraId="2D0B0F45" w14:textId="77777777">
        <w:tc>
          <w:tcPr>
            <w:tcW w:w="4609" w:type="dxa"/>
            <w:gridSpan w:val="2"/>
            <w:tcBorders>
              <w:top w:val="nil"/>
              <w:left w:val="nil"/>
              <w:bottom w:val="nil"/>
              <w:right w:val="nil"/>
            </w:tcBorders>
            <w:shd w:val="clear" w:color="auto" w:fill="FFFFFF"/>
            <w:vAlign w:val="bottom"/>
          </w:tcPr>
          <w:p w14:paraId="3FFD72A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Accrued employee benefits</w:t>
            </w:r>
          </w:p>
        </w:tc>
        <w:tc>
          <w:tcPr>
            <w:tcW w:w="567" w:type="dxa"/>
            <w:tcBorders>
              <w:top w:val="nil"/>
              <w:left w:val="nil"/>
              <w:bottom w:val="nil"/>
              <w:right w:val="nil"/>
            </w:tcBorders>
            <w:shd w:val="clear" w:color="auto" w:fill="FFFFFF"/>
            <w:vAlign w:val="bottom"/>
          </w:tcPr>
          <w:p w14:paraId="7923E5CD"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C7</w:t>
            </w:r>
          </w:p>
        </w:tc>
        <w:tc>
          <w:tcPr>
            <w:tcW w:w="964" w:type="dxa"/>
            <w:tcBorders>
              <w:top w:val="nil"/>
              <w:left w:val="nil"/>
              <w:bottom w:val="nil"/>
              <w:right w:val="nil"/>
            </w:tcBorders>
            <w:shd w:val="clear" w:color="auto" w:fill="FFFFFF"/>
            <w:vAlign w:val="bottom"/>
          </w:tcPr>
          <w:p w14:paraId="7133DCB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7,619</w:t>
            </w:r>
          </w:p>
        </w:tc>
        <w:tc>
          <w:tcPr>
            <w:tcW w:w="964" w:type="dxa"/>
            <w:tcBorders>
              <w:top w:val="nil"/>
              <w:left w:val="nil"/>
              <w:bottom w:val="nil"/>
              <w:right w:val="nil"/>
            </w:tcBorders>
            <w:shd w:val="clear" w:color="auto" w:fill="FFFFFF"/>
            <w:vAlign w:val="bottom"/>
          </w:tcPr>
          <w:p w14:paraId="6DA71A0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9,563</w:t>
            </w:r>
          </w:p>
        </w:tc>
        <w:tc>
          <w:tcPr>
            <w:tcW w:w="964" w:type="dxa"/>
            <w:tcBorders>
              <w:top w:val="nil"/>
              <w:left w:val="nil"/>
              <w:bottom w:val="nil"/>
              <w:right w:val="nil"/>
            </w:tcBorders>
            <w:shd w:val="clear" w:color="auto" w:fill="FFFFFF"/>
            <w:vAlign w:val="bottom"/>
          </w:tcPr>
          <w:p w14:paraId="3E9EEF7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(1,944)</w:t>
            </w:r>
          </w:p>
        </w:tc>
        <w:tc>
          <w:tcPr>
            <w:tcW w:w="964" w:type="dxa"/>
            <w:tcBorders>
              <w:top w:val="nil"/>
              <w:left w:val="nil"/>
              <w:bottom w:val="nil"/>
              <w:right w:val="nil"/>
            </w:tcBorders>
            <w:shd w:val="clear" w:color="auto" w:fill="FFFFFF"/>
            <w:vAlign w:val="bottom"/>
          </w:tcPr>
          <w:p w14:paraId="725474A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23,697</w:t>
            </w:r>
          </w:p>
        </w:tc>
      </w:tr>
      <w:tr w:rsidR="002E375F" w14:paraId="1F105110" w14:textId="77777777">
        <w:tc>
          <w:tcPr>
            <w:tcW w:w="4609" w:type="dxa"/>
            <w:gridSpan w:val="2"/>
            <w:tcBorders>
              <w:top w:val="nil"/>
              <w:left w:val="nil"/>
              <w:bottom w:val="nil"/>
              <w:right w:val="nil"/>
            </w:tcBorders>
            <w:shd w:val="clear" w:color="auto" w:fill="FFFFFF"/>
            <w:vAlign w:val="bottom"/>
          </w:tcPr>
          <w:p w14:paraId="1C55885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Provisions</w:t>
            </w:r>
          </w:p>
        </w:tc>
        <w:tc>
          <w:tcPr>
            <w:tcW w:w="567" w:type="dxa"/>
            <w:tcBorders>
              <w:top w:val="nil"/>
              <w:left w:val="nil"/>
              <w:bottom w:val="nil"/>
              <w:right w:val="nil"/>
            </w:tcBorders>
            <w:shd w:val="clear" w:color="auto" w:fill="FFFFFF"/>
            <w:vAlign w:val="bottom"/>
          </w:tcPr>
          <w:p w14:paraId="185BFC8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BF44E4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2,501</w:t>
            </w:r>
          </w:p>
        </w:tc>
        <w:tc>
          <w:tcPr>
            <w:tcW w:w="964" w:type="dxa"/>
            <w:tcBorders>
              <w:top w:val="nil"/>
              <w:left w:val="nil"/>
              <w:bottom w:val="nil"/>
              <w:right w:val="nil"/>
            </w:tcBorders>
            <w:shd w:val="clear" w:color="auto" w:fill="FFFFFF"/>
            <w:vAlign w:val="bottom"/>
          </w:tcPr>
          <w:p w14:paraId="066B648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480</w:t>
            </w:r>
          </w:p>
        </w:tc>
        <w:tc>
          <w:tcPr>
            <w:tcW w:w="964" w:type="dxa"/>
            <w:tcBorders>
              <w:top w:val="nil"/>
              <w:left w:val="nil"/>
              <w:bottom w:val="nil"/>
              <w:right w:val="nil"/>
            </w:tcBorders>
            <w:shd w:val="clear" w:color="auto" w:fill="FFFFFF"/>
            <w:vAlign w:val="bottom"/>
          </w:tcPr>
          <w:p w14:paraId="60FBDF5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2,021</w:t>
            </w:r>
          </w:p>
        </w:tc>
        <w:tc>
          <w:tcPr>
            <w:tcW w:w="964" w:type="dxa"/>
            <w:tcBorders>
              <w:top w:val="nil"/>
              <w:left w:val="nil"/>
              <w:bottom w:val="nil"/>
              <w:right w:val="nil"/>
            </w:tcBorders>
            <w:shd w:val="clear" w:color="auto" w:fill="FFFFFF"/>
            <w:vAlign w:val="bottom"/>
          </w:tcPr>
          <w:p w14:paraId="39B2E53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4,145</w:t>
            </w:r>
          </w:p>
        </w:tc>
      </w:tr>
      <w:tr w:rsidR="002E375F" w14:paraId="26C1AC11" w14:textId="77777777">
        <w:tc>
          <w:tcPr>
            <w:tcW w:w="4609" w:type="dxa"/>
            <w:gridSpan w:val="2"/>
            <w:tcBorders>
              <w:top w:val="nil"/>
              <w:left w:val="nil"/>
              <w:bottom w:val="nil"/>
              <w:right w:val="nil"/>
            </w:tcBorders>
            <w:shd w:val="clear" w:color="auto" w:fill="FFFFFF"/>
            <w:vAlign w:val="bottom"/>
          </w:tcPr>
          <w:p w14:paraId="5002A3B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 current liabilities</w:t>
            </w:r>
          </w:p>
        </w:tc>
        <w:tc>
          <w:tcPr>
            <w:tcW w:w="567" w:type="dxa"/>
            <w:tcBorders>
              <w:top w:val="nil"/>
              <w:left w:val="nil"/>
              <w:bottom w:val="nil"/>
              <w:right w:val="nil"/>
            </w:tcBorders>
            <w:shd w:val="clear" w:color="auto" w:fill="FFFFFF"/>
            <w:vAlign w:val="bottom"/>
          </w:tcPr>
          <w:p w14:paraId="105043BC"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C8</w:t>
            </w:r>
          </w:p>
        </w:tc>
        <w:tc>
          <w:tcPr>
            <w:tcW w:w="964" w:type="dxa"/>
            <w:tcBorders>
              <w:top w:val="nil"/>
              <w:left w:val="nil"/>
              <w:bottom w:val="nil"/>
              <w:right w:val="nil"/>
            </w:tcBorders>
            <w:shd w:val="clear" w:color="auto" w:fill="FFFFFF"/>
            <w:vAlign w:val="bottom"/>
          </w:tcPr>
          <w:p w14:paraId="72432E0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1648CAB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497</w:t>
            </w:r>
          </w:p>
        </w:tc>
        <w:tc>
          <w:tcPr>
            <w:tcW w:w="964" w:type="dxa"/>
            <w:tcBorders>
              <w:top w:val="nil"/>
              <w:left w:val="nil"/>
              <w:bottom w:val="nil"/>
              <w:right w:val="nil"/>
            </w:tcBorders>
            <w:shd w:val="clear" w:color="auto" w:fill="FFFFFF"/>
            <w:vAlign w:val="bottom"/>
          </w:tcPr>
          <w:p w14:paraId="0196573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(497)</w:t>
            </w:r>
          </w:p>
        </w:tc>
        <w:tc>
          <w:tcPr>
            <w:tcW w:w="964" w:type="dxa"/>
            <w:tcBorders>
              <w:top w:val="nil"/>
              <w:left w:val="nil"/>
              <w:bottom w:val="nil"/>
              <w:right w:val="nil"/>
            </w:tcBorders>
            <w:shd w:val="clear" w:color="auto" w:fill="FFFFFF"/>
            <w:vAlign w:val="bottom"/>
          </w:tcPr>
          <w:p w14:paraId="7F9C359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13,009</w:t>
            </w:r>
          </w:p>
        </w:tc>
      </w:tr>
      <w:tr w:rsidR="002E375F" w14:paraId="01F71A78" w14:textId="77777777">
        <w:tc>
          <w:tcPr>
            <w:tcW w:w="4609" w:type="dxa"/>
            <w:gridSpan w:val="2"/>
            <w:tcBorders>
              <w:top w:val="nil"/>
              <w:left w:val="nil"/>
              <w:bottom w:val="nil"/>
              <w:right w:val="nil"/>
            </w:tcBorders>
            <w:shd w:val="clear" w:color="auto" w:fill="FFFFFF"/>
            <w:vAlign w:val="bottom"/>
          </w:tcPr>
          <w:p w14:paraId="6EF2DA1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Lease liabilities</w:t>
            </w:r>
          </w:p>
        </w:tc>
        <w:tc>
          <w:tcPr>
            <w:tcW w:w="567" w:type="dxa"/>
            <w:tcBorders>
              <w:top w:val="nil"/>
              <w:left w:val="nil"/>
              <w:bottom w:val="nil"/>
              <w:right w:val="nil"/>
            </w:tcBorders>
            <w:shd w:val="clear" w:color="auto" w:fill="FFFFFF"/>
            <w:vAlign w:val="bottom"/>
          </w:tcPr>
          <w:p w14:paraId="75A4D2D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4F391D9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51</w:t>
            </w:r>
          </w:p>
        </w:tc>
        <w:tc>
          <w:tcPr>
            <w:tcW w:w="964" w:type="dxa"/>
            <w:tcBorders>
              <w:top w:val="nil"/>
              <w:left w:val="nil"/>
              <w:bottom w:val="single" w:sz="2" w:space="0" w:color="auto"/>
              <w:right w:val="nil"/>
            </w:tcBorders>
            <w:shd w:val="clear" w:color="auto" w:fill="FFFFFF"/>
            <w:vAlign w:val="bottom"/>
          </w:tcPr>
          <w:p w14:paraId="5D31904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517822B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51</w:t>
            </w:r>
          </w:p>
        </w:tc>
        <w:tc>
          <w:tcPr>
            <w:tcW w:w="964" w:type="dxa"/>
            <w:tcBorders>
              <w:top w:val="nil"/>
              <w:left w:val="nil"/>
              <w:bottom w:val="single" w:sz="2" w:space="0" w:color="auto"/>
              <w:right w:val="nil"/>
            </w:tcBorders>
            <w:shd w:val="clear" w:color="auto" w:fill="FFFFFF"/>
            <w:vAlign w:val="bottom"/>
          </w:tcPr>
          <w:p w14:paraId="08D8D88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49BB222B" w14:textId="77777777">
        <w:tc>
          <w:tcPr>
            <w:tcW w:w="4609" w:type="dxa"/>
            <w:gridSpan w:val="2"/>
            <w:tcBorders>
              <w:top w:val="nil"/>
              <w:left w:val="nil"/>
              <w:bottom w:val="nil"/>
              <w:right w:val="nil"/>
            </w:tcBorders>
            <w:shd w:val="clear" w:color="auto" w:fill="FFFFFF"/>
            <w:vAlign w:val="bottom"/>
          </w:tcPr>
          <w:p w14:paraId="7FBF314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Current Liabilities</w:t>
            </w:r>
          </w:p>
        </w:tc>
        <w:tc>
          <w:tcPr>
            <w:tcW w:w="567" w:type="dxa"/>
            <w:tcBorders>
              <w:top w:val="nil"/>
              <w:left w:val="nil"/>
              <w:bottom w:val="nil"/>
              <w:right w:val="nil"/>
            </w:tcBorders>
            <w:shd w:val="clear" w:color="auto" w:fill="FFFFFF"/>
            <w:vAlign w:val="bottom"/>
          </w:tcPr>
          <w:p w14:paraId="64D16547"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50273D7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42,770</w:t>
            </w:r>
          </w:p>
        </w:tc>
        <w:tc>
          <w:tcPr>
            <w:tcW w:w="964" w:type="dxa"/>
            <w:tcBorders>
              <w:top w:val="nil"/>
              <w:left w:val="nil"/>
              <w:bottom w:val="single" w:sz="2" w:space="0" w:color="auto"/>
              <w:right w:val="nil"/>
            </w:tcBorders>
            <w:shd w:val="clear" w:color="auto" w:fill="FFFFFF"/>
            <w:vAlign w:val="bottom"/>
          </w:tcPr>
          <w:p w14:paraId="0C6DF4E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26,771</w:t>
            </w:r>
          </w:p>
        </w:tc>
        <w:tc>
          <w:tcPr>
            <w:tcW w:w="964" w:type="dxa"/>
            <w:tcBorders>
              <w:top w:val="nil"/>
              <w:left w:val="nil"/>
              <w:bottom w:val="single" w:sz="2" w:space="0" w:color="auto"/>
              <w:right w:val="nil"/>
            </w:tcBorders>
            <w:shd w:val="clear" w:color="auto" w:fill="FFFFFF"/>
            <w:vAlign w:val="bottom"/>
          </w:tcPr>
          <w:p w14:paraId="7159AA6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15,999</w:t>
            </w:r>
          </w:p>
        </w:tc>
        <w:tc>
          <w:tcPr>
            <w:tcW w:w="964" w:type="dxa"/>
            <w:tcBorders>
              <w:top w:val="nil"/>
              <w:left w:val="nil"/>
              <w:bottom w:val="single" w:sz="2" w:space="0" w:color="auto"/>
              <w:right w:val="nil"/>
            </w:tcBorders>
            <w:shd w:val="clear" w:color="auto" w:fill="FFFFFF"/>
            <w:vAlign w:val="bottom"/>
          </w:tcPr>
          <w:p w14:paraId="17EBBCE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70,999</w:t>
            </w:r>
          </w:p>
        </w:tc>
      </w:tr>
      <w:tr w:rsidR="002E375F" w14:paraId="6CD23581" w14:textId="77777777">
        <w:tc>
          <w:tcPr>
            <w:tcW w:w="4609" w:type="dxa"/>
            <w:gridSpan w:val="2"/>
            <w:tcBorders>
              <w:top w:val="nil"/>
              <w:left w:val="nil"/>
              <w:bottom w:val="nil"/>
              <w:right w:val="nil"/>
            </w:tcBorders>
            <w:shd w:val="clear" w:color="auto" w:fill="FFFFFF"/>
            <w:vAlign w:val="bottom"/>
          </w:tcPr>
          <w:p w14:paraId="2B1A983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Non-Current Liabilities</w:t>
            </w:r>
          </w:p>
        </w:tc>
        <w:tc>
          <w:tcPr>
            <w:tcW w:w="567" w:type="dxa"/>
            <w:tcBorders>
              <w:top w:val="nil"/>
              <w:left w:val="nil"/>
              <w:bottom w:val="nil"/>
              <w:right w:val="nil"/>
            </w:tcBorders>
            <w:shd w:val="clear" w:color="auto" w:fill="FFFFFF"/>
            <w:vAlign w:val="bottom"/>
          </w:tcPr>
          <w:p w14:paraId="364DA86E"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C435DE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F75330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E32F5B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40988C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3460A7A0" w14:textId="77777777">
        <w:tc>
          <w:tcPr>
            <w:tcW w:w="4609" w:type="dxa"/>
            <w:gridSpan w:val="2"/>
            <w:tcBorders>
              <w:top w:val="nil"/>
              <w:left w:val="nil"/>
              <w:bottom w:val="nil"/>
              <w:right w:val="nil"/>
            </w:tcBorders>
            <w:shd w:val="clear" w:color="auto" w:fill="FFFFFF"/>
            <w:vAlign w:val="bottom"/>
          </w:tcPr>
          <w:p w14:paraId="575B7A9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Payables</w:t>
            </w:r>
          </w:p>
        </w:tc>
        <w:tc>
          <w:tcPr>
            <w:tcW w:w="567" w:type="dxa"/>
            <w:tcBorders>
              <w:top w:val="nil"/>
              <w:left w:val="nil"/>
              <w:bottom w:val="nil"/>
              <w:right w:val="nil"/>
            </w:tcBorders>
            <w:shd w:val="clear" w:color="auto" w:fill="FFFFFF"/>
            <w:vAlign w:val="bottom"/>
          </w:tcPr>
          <w:p w14:paraId="6B79EB4F"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C6</w:t>
            </w:r>
          </w:p>
        </w:tc>
        <w:tc>
          <w:tcPr>
            <w:tcW w:w="964" w:type="dxa"/>
            <w:tcBorders>
              <w:top w:val="nil"/>
              <w:left w:val="nil"/>
              <w:bottom w:val="nil"/>
              <w:right w:val="nil"/>
            </w:tcBorders>
            <w:shd w:val="clear" w:color="auto" w:fill="FFFFFF"/>
            <w:vAlign w:val="bottom"/>
          </w:tcPr>
          <w:p w14:paraId="3F451F5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59D077A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3,850</w:t>
            </w:r>
          </w:p>
        </w:tc>
        <w:tc>
          <w:tcPr>
            <w:tcW w:w="964" w:type="dxa"/>
            <w:tcBorders>
              <w:top w:val="nil"/>
              <w:left w:val="nil"/>
              <w:bottom w:val="nil"/>
              <w:right w:val="nil"/>
            </w:tcBorders>
            <w:shd w:val="clear" w:color="auto" w:fill="FFFFFF"/>
            <w:vAlign w:val="bottom"/>
          </w:tcPr>
          <w:p w14:paraId="2D8BA8E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(3,850)</w:t>
            </w:r>
          </w:p>
        </w:tc>
        <w:tc>
          <w:tcPr>
            <w:tcW w:w="964" w:type="dxa"/>
            <w:tcBorders>
              <w:top w:val="nil"/>
              <w:left w:val="nil"/>
              <w:bottom w:val="nil"/>
              <w:right w:val="nil"/>
            </w:tcBorders>
            <w:shd w:val="clear" w:color="auto" w:fill="FFFFFF"/>
            <w:vAlign w:val="bottom"/>
          </w:tcPr>
          <w:p w14:paraId="61DB47D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4,202</w:t>
            </w:r>
          </w:p>
        </w:tc>
      </w:tr>
      <w:tr w:rsidR="002E375F" w14:paraId="23DFD6FE" w14:textId="77777777">
        <w:tc>
          <w:tcPr>
            <w:tcW w:w="4609" w:type="dxa"/>
            <w:gridSpan w:val="2"/>
            <w:tcBorders>
              <w:top w:val="nil"/>
              <w:left w:val="nil"/>
              <w:bottom w:val="nil"/>
              <w:right w:val="nil"/>
            </w:tcBorders>
            <w:shd w:val="clear" w:color="auto" w:fill="FFFFFF"/>
            <w:vAlign w:val="bottom"/>
          </w:tcPr>
          <w:p w14:paraId="7B0B83C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Provisions</w:t>
            </w:r>
          </w:p>
        </w:tc>
        <w:tc>
          <w:tcPr>
            <w:tcW w:w="567" w:type="dxa"/>
            <w:tcBorders>
              <w:top w:val="nil"/>
              <w:left w:val="nil"/>
              <w:bottom w:val="nil"/>
              <w:right w:val="nil"/>
            </w:tcBorders>
            <w:shd w:val="clear" w:color="auto" w:fill="FFFFFF"/>
            <w:vAlign w:val="bottom"/>
          </w:tcPr>
          <w:p w14:paraId="03CA932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0D7B10F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45467B2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403</w:t>
            </w:r>
          </w:p>
        </w:tc>
        <w:tc>
          <w:tcPr>
            <w:tcW w:w="964" w:type="dxa"/>
            <w:tcBorders>
              <w:top w:val="nil"/>
              <w:left w:val="nil"/>
              <w:bottom w:val="single" w:sz="2" w:space="0" w:color="auto"/>
              <w:right w:val="nil"/>
            </w:tcBorders>
            <w:shd w:val="clear" w:color="auto" w:fill="FFFFFF"/>
            <w:vAlign w:val="bottom"/>
          </w:tcPr>
          <w:p w14:paraId="3BEF02B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(403)</w:t>
            </w:r>
          </w:p>
        </w:tc>
        <w:tc>
          <w:tcPr>
            <w:tcW w:w="964" w:type="dxa"/>
            <w:tcBorders>
              <w:top w:val="nil"/>
              <w:left w:val="nil"/>
              <w:bottom w:val="single" w:sz="2" w:space="0" w:color="auto"/>
              <w:right w:val="nil"/>
            </w:tcBorders>
            <w:shd w:val="clear" w:color="auto" w:fill="FFFFFF"/>
            <w:vAlign w:val="bottom"/>
          </w:tcPr>
          <w:p w14:paraId="5B493E1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3C151496" w14:textId="77777777">
        <w:tc>
          <w:tcPr>
            <w:tcW w:w="4609" w:type="dxa"/>
            <w:gridSpan w:val="2"/>
            <w:tcBorders>
              <w:top w:val="nil"/>
              <w:left w:val="nil"/>
              <w:bottom w:val="nil"/>
              <w:right w:val="nil"/>
            </w:tcBorders>
            <w:shd w:val="clear" w:color="auto" w:fill="FFFFFF"/>
            <w:vAlign w:val="bottom"/>
          </w:tcPr>
          <w:p w14:paraId="5D47918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Non-Current Liabilities</w:t>
            </w:r>
          </w:p>
        </w:tc>
        <w:tc>
          <w:tcPr>
            <w:tcW w:w="567" w:type="dxa"/>
            <w:tcBorders>
              <w:top w:val="nil"/>
              <w:left w:val="nil"/>
              <w:bottom w:val="nil"/>
              <w:right w:val="nil"/>
            </w:tcBorders>
            <w:shd w:val="clear" w:color="auto" w:fill="FFFFFF"/>
            <w:vAlign w:val="bottom"/>
          </w:tcPr>
          <w:p w14:paraId="1DA7F923"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500D738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2F16DF2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4,253</w:t>
            </w:r>
          </w:p>
        </w:tc>
        <w:tc>
          <w:tcPr>
            <w:tcW w:w="964" w:type="dxa"/>
            <w:tcBorders>
              <w:top w:val="nil"/>
              <w:left w:val="nil"/>
              <w:bottom w:val="single" w:sz="2" w:space="0" w:color="auto"/>
              <w:right w:val="nil"/>
            </w:tcBorders>
            <w:shd w:val="clear" w:color="auto" w:fill="FFFFFF"/>
            <w:vAlign w:val="bottom"/>
          </w:tcPr>
          <w:p w14:paraId="1B7AFF4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(4,253)</w:t>
            </w:r>
          </w:p>
        </w:tc>
        <w:tc>
          <w:tcPr>
            <w:tcW w:w="964" w:type="dxa"/>
            <w:tcBorders>
              <w:top w:val="nil"/>
              <w:left w:val="nil"/>
              <w:bottom w:val="single" w:sz="2" w:space="0" w:color="auto"/>
              <w:right w:val="nil"/>
            </w:tcBorders>
            <w:shd w:val="clear" w:color="auto" w:fill="FFFFFF"/>
            <w:vAlign w:val="bottom"/>
          </w:tcPr>
          <w:p w14:paraId="58A1390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4,202</w:t>
            </w:r>
          </w:p>
        </w:tc>
      </w:tr>
      <w:tr w:rsidR="002E375F" w14:paraId="5A80F9C8" w14:textId="77777777">
        <w:tc>
          <w:tcPr>
            <w:tcW w:w="4609" w:type="dxa"/>
            <w:gridSpan w:val="2"/>
            <w:tcBorders>
              <w:top w:val="nil"/>
              <w:left w:val="nil"/>
              <w:bottom w:val="nil"/>
              <w:right w:val="nil"/>
            </w:tcBorders>
            <w:shd w:val="clear" w:color="auto" w:fill="FFFFFF"/>
            <w:vAlign w:val="bottom"/>
          </w:tcPr>
          <w:p w14:paraId="0FC398E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Liabilities</w:t>
            </w:r>
          </w:p>
        </w:tc>
        <w:tc>
          <w:tcPr>
            <w:tcW w:w="567" w:type="dxa"/>
            <w:tcBorders>
              <w:top w:val="nil"/>
              <w:left w:val="nil"/>
              <w:bottom w:val="nil"/>
              <w:right w:val="nil"/>
            </w:tcBorders>
            <w:shd w:val="clear" w:color="auto" w:fill="FFFFFF"/>
            <w:vAlign w:val="bottom"/>
          </w:tcPr>
          <w:p w14:paraId="5DCEC58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607C37B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42,770</w:t>
            </w:r>
          </w:p>
        </w:tc>
        <w:tc>
          <w:tcPr>
            <w:tcW w:w="964" w:type="dxa"/>
            <w:tcBorders>
              <w:top w:val="nil"/>
              <w:left w:val="nil"/>
              <w:bottom w:val="single" w:sz="2" w:space="0" w:color="auto"/>
              <w:right w:val="nil"/>
            </w:tcBorders>
            <w:shd w:val="clear" w:color="auto" w:fill="FFFFFF"/>
            <w:vAlign w:val="bottom"/>
          </w:tcPr>
          <w:p w14:paraId="18731EE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31,024</w:t>
            </w:r>
          </w:p>
        </w:tc>
        <w:tc>
          <w:tcPr>
            <w:tcW w:w="964" w:type="dxa"/>
            <w:tcBorders>
              <w:top w:val="nil"/>
              <w:left w:val="nil"/>
              <w:bottom w:val="single" w:sz="2" w:space="0" w:color="auto"/>
              <w:right w:val="nil"/>
            </w:tcBorders>
            <w:shd w:val="clear" w:color="auto" w:fill="FFFFFF"/>
            <w:vAlign w:val="bottom"/>
          </w:tcPr>
          <w:p w14:paraId="13749A0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11,746</w:t>
            </w:r>
          </w:p>
        </w:tc>
        <w:tc>
          <w:tcPr>
            <w:tcW w:w="964" w:type="dxa"/>
            <w:tcBorders>
              <w:top w:val="nil"/>
              <w:left w:val="nil"/>
              <w:bottom w:val="single" w:sz="2" w:space="0" w:color="auto"/>
              <w:right w:val="nil"/>
            </w:tcBorders>
            <w:shd w:val="clear" w:color="auto" w:fill="FFFFFF"/>
            <w:vAlign w:val="bottom"/>
          </w:tcPr>
          <w:p w14:paraId="7B467EF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75,201</w:t>
            </w:r>
          </w:p>
        </w:tc>
      </w:tr>
      <w:tr w:rsidR="002E375F" w14:paraId="0563A2A9" w14:textId="77777777">
        <w:tc>
          <w:tcPr>
            <w:tcW w:w="4609" w:type="dxa"/>
            <w:gridSpan w:val="2"/>
            <w:tcBorders>
              <w:top w:val="nil"/>
              <w:left w:val="nil"/>
              <w:bottom w:val="nil"/>
              <w:right w:val="nil"/>
            </w:tcBorders>
            <w:shd w:val="clear" w:color="auto" w:fill="FFFFFF"/>
            <w:vAlign w:val="bottom"/>
          </w:tcPr>
          <w:p w14:paraId="20FB4ED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Net Assets</w:t>
            </w:r>
          </w:p>
        </w:tc>
        <w:tc>
          <w:tcPr>
            <w:tcW w:w="567" w:type="dxa"/>
            <w:tcBorders>
              <w:top w:val="nil"/>
              <w:left w:val="nil"/>
              <w:bottom w:val="nil"/>
              <w:right w:val="nil"/>
            </w:tcBorders>
            <w:shd w:val="clear" w:color="auto" w:fill="FFFFFF"/>
            <w:vAlign w:val="bottom"/>
          </w:tcPr>
          <w:p w14:paraId="640C5822"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489DFBE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323,691</w:t>
            </w:r>
          </w:p>
        </w:tc>
        <w:tc>
          <w:tcPr>
            <w:tcW w:w="964" w:type="dxa"/>
            <w:tcBorders>
              <w:top w:val="nil"/>
              <w:left w:val="nil"/>
              <w:bottom w:val="single" w:sz="2" w:space="0" w:color="auto"/>
              <w:right w:val="nil"/>
            </w:tcBorders>
            <w:shd w:val="clear" w:color="auto" w:fill="FFFFFF"/>
            <w:vAlign w:val="bottom"/>
          </w:tcPr>
          <w:p w14:paraId="6FD48CF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289,978</w:t>
            </w:r>
          </w:p>
        </w:tc>
        <w:tc>
          <w:tcPr>
            <w:tcW w:w="964" w:type="dxa"/>
            <w:tcBorders>
              <w:top w:val="nil"/>
              <w:left w:val="nil"/>
              <w:bottom w:val="single" w:sz="2" w:space="0" w:color="auto"/>
              <w:right w:val="nil"/>
            </w:tcBorders>
            <w:shd w:val="clear" w:color="auto" w:fill="FFFFFF"/>
            <w:vAlign w:val="bottom"/>
          </w:tcPr>
          <w:p w14:paraId="4830388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33,713</w:t>
            </w:r>
          </w:p>
        </w:tc>
        <w:tc>
          <w:tcPr>
            <w:tcW w:w="964" w:type="dxa"/>
            <w:tcBorders>
              <w:top w:val="nil"/>
              <w:left w:val="nil"/>
              <w:bottom w:val="single" w:sz="2" w:space="0" w:color="auto"/>
              <w:right w:val="nil"/>
            </w:tcBorders>
            <w:shd w:val="clear" w:color="auto" w:fill="FFFFFF"/>
            <w:vAlign w:val="bottom"/>
          </w:tcPr>
          <w:p w14:paraId="7CF6067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315,443</w:t>
            </w:r>
          </w:p>
        </w:tc>
      </w:tr>
      <w:tr w:rsidR="002E375F" w14:paraId="68BFFBF9" w14:textId="77777777">
        <w:tc>
          <w:tcPr>
            <w:tcW w:w="4609" w:type="dxa"/>
            <w:gridSpan w:val="2"/>
            <w:tcBorders>
              <w:top w:val="nil"/>
              <w:left w:val="nil"/>
              <w:bottom w:val="nil"/>
              <w:right w:val="nil"/>
            </w:tcBorders>
            <w:shd w:val="clear" w:color="auto" w:fill="FFFFFF"/>
            <w:vAlign w:val="bottom"/>
          </w:tcPr>
          <w:p w14:paraId="5A63D82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Equity</w:t>
            </w:r>
          </w:p>
        </w:tc>
        <w:tc>
          <w:tcPr>
            <w:tcW w:w="567" w:type="dxa"/>
            <w:tcBorders>
              <w:top w:val="nil"/>
              <w:left w:val="nil"/>
              <w:bottom w:val="nil"/>
              <w:right w:val="nil"/>
            </w:tcBorders>
            <w:shd w:val="clear" w:color="auto" w:fill="FFFFFF"/>
            <w:vAlign w:val="bottom"/>
          </w:tcPr>
          <w:p w14:paraId="43692BA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4BDC3A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F07806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DD706F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D329663"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291E4F71" w14:textId="77777777">
        <w:tc>
          <w:tcPr>
            <w:tcW w:w="4609" w:type="dxa"/>
            <w:gridSpan w:val="2"/>
            <w:tcBorders>
              <w:top w:val="nil"/>
              <w:left w:val="nil"/>
              <w:bottom w:val="nil"/>
              <w:right w:val="nil"/>
            </w:tcBorders>
            <w:shd w:val="clear" w:color="auto" w:fill="FFFFFF"/>
            <w:vAlign w:val="bottom"/>
          </w:tcPr>
          <w:p w14:paraId="28327F8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Contributed equity</w:t>
            </w:r>
          </w:p>
        </w:tc>
        <w:tc>
          <w:tcPr>
            <w:tcW w:w="567" w:type="dxa"/>
            <w:tcBorders>
              <w:top w:val="nil"/>
              <w:left w:val="nil"/>
              <w:bottom w:val="nil"/>
              <w:right w:val="nil"/>
            </w:tcBorders>
            <w:shd w:val="clear" w:color="auto" w:fill="FFFFFF"/>
            <w:vAlign w:val="bottom"/>
          </w:tcPr>
          <w:p w14:paraId="34528853"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D44B9C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303,051</w:t>
            </w:r>
          </w:p>
        </w:tc>
        <w:tc>
          <w:tcPr>
            <w:tcW w:w="964" w:type="dxa"/>
            <w:tcBorders>
              <w:top w:val="nil"/>
              <w:left w:val="nil"/>
              <w:bottom w:val="nil"/>
              <w:right w:val="nil"/>
            </w:tcBorders>
            <w:shd w:val="clear" w:color="auto" w:fill="FFFFFF"/>
            <w:vAlign w:val="bottom"/>
          </w:tcPr>
          <w:p w14:paraId="3098217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301,516</w:t>
            </w:r>
          </w:p>
        </w:tc>
        <w:tc>
          <w:tcPr>
            <w:tcW w:w="964" w:type="dxa"/>
            <w:tcBorders>
              <w:top w:val="nil"/>
              <w:left w:val="nil"/>
              <w:bottom w:val="nil"/>
              <w:right w:val="nil"/>
            </w:tcBorders>
            <w:shd w:val="clear" w:color="auto" w:fill="FFFFFF"/>
            <w:vAlign w:val="bottom"/>
          </w:tcPr>
          <w:p w14:paraId="5749D7E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1,535</w:t>
            </w:r>
          </w:p>
        </w:tc>
        <w:tc>
          <w:tcPr>
            <w:tcW w:w="964" w:type="dxa"/>
            <w:tcBorders>
              <w:top w:val="nil"/>
              <w:left w:val="nil"/>
              <w:bottom w:val="nil"/>
              <w:right w:val="nil"/>
            </w:tcBorders>
            <w:shd w:val="clear" w:color="auto" w:fill="FFFFFF"/>
            <w:vAlign w:val="bottom"/>
          </w:tcPr>
          <w:p w14:paraId="46EDBAA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302,252</w:t>
            </w:r>
          </w:p>
        </w:tc>
      </w:tr>
      <w:tr w:rsidR="002E375F" w14:paraId="791D900E" w14:textId="77777777">
        <w:tc>
          <w:tcPr>
            <w:tcW w:w="4609" w:type="dxa"/>
            <w:gridSpan w:val="2"/>
            <w:tcBorders>
              <w:top w:val="nil"/>
              <w:left w:val="nil"/>
              <w:bottom w:val="nil"/>
              <w:right w:val="nil"/>
            </w:tcBorders>
            <w:shd w:val="clear" w:color="auto" w:fill="FFFFFF"/>
            <w:vAlign w:val="bottom"/>
          </w:tcPr>
          <w:p w14:paraId="0ADA736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Accumulated surplus</w:t>
            </w:r>
          </w:p>
        </w:tc>
        <w:tc>
          <w:tcPr>
            <w:tcW w:w="567" w:type="dxa"/>
            <w:tcBorders>
              <w:top w:val="nil"/>
              <w:left w:val="nil"/>
              <w:bottom w:val="nil"/>
              <w:right w:val="nil"/>
            </w:tcBorders>
            <w:shd w:val="clear" w:color="auto" w:fill="FFFFFF"/>
            <w:vAlign w:val="bottom"/>
          </w:tcPr>
          <w:p w14:paraId="798ADA1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5EDE693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20,640</w:t>
            </w:r>
          </w:p>
        </w:tc>
        <w:tc>
          <w:tcPr>
            <w:tcW w:w="964" w:type="dxa"/>
            <w:tcBorders>
              <w:top w:val="nil"/>
              <w:left w:val="nil"/>
              <w:bottom w:val="single" w:sz="2" w:space="0" w:color="auto"/>
              <w:right w:val="nil"/>
            </w:tcBorders>
            <w:shd w:val="clear" w:color="auto" w:fill="FFFFFF"/>
            <w:vAlign w:val="bottom"/>
          </w:tcPr>
          <w:p w14:paraId="1578602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(11,538)</w:t>
            </w:r>
          </w:p>
        </w:tc>
        <w:tc>
          <w:tcPr>
            <w:tcW w:w="964" w:type="dxa"/>
            <w:tcBorders>
              <w:top w:val="nil"/>
              <w:left w:val="nil"/>
              <w:bottom w:val="single" w:sz="2" w:space="0" w:color="auto"/>
              <w:right w:val="nil"/>
            </w:tcBorders>
            <w:shd w:val="clear" w:color="auto" w:fill="FFFFFF"/>
            <w:vAlign w:val="bottom"/>
          </w:tcPr>
          <w:p w14:paraId="460D1F2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32,178</w:t>
            </w:r>
          </w:p>
        </w:tc>
        <w:tc>
          <w:tcPr>
            <w:tcW w:w="964" w:type="dxa"/>
            <w:tcBorders>
              <w:top w:val="nil"/>
              <w:left w:val="nil"/>
              <w:bottom w:val="single" w:sz="2" w:space="0" w:color="auto"/>
              <w:right w:val="nil"/>
            </w:tcBorders>
            <w:shd w:val="clear" w:color="auto" w:fill="FFFFFF"/>
            <w:vAlign w:val="bottom"/>
          </w:tcPr>
          <w:p w14:paraId="00708EA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13,191</w:t>
            </w:r>
          </w:p>
        </w:tc>
      </w:tr>
      <w:tr w:rsidR="002E375F" w14:paraId="4C59B4B7" w14:textId="77777777">
        <w:tc>
          <w:tcPr>
            <w:tcW w:w="4609" w:type="dxa"/>
            <w:gridSpan w:val="2"/>
            <w:tcBorders>
              <w:top w:val="nil"/>
              <w:left w:val="nil"/>
              <w:bottom w:val="nil"/>
              <w:right w:val="nil"/>
            </w:tcBorders>
            <w:shd w:val="clear" w:color="auto" w:fill="FFFFFF"/>
            <w:vAlign w:val="bottom"/>
          </w:tcPr>
          <w:p w14:paraId="7E2C5EC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Equity</w:t>
            </w:r>
          </w:p>
        </w:tc>
        <w:tc>
          <w:tcPr>
            <w:tcW w:w="567" w:type="dxa"/>
            <w:tcBorders>
              <w:top w:val="nil"/>
              <w:left w:val="nil"/>
              <w:bottom w:val="nil"/>
              <w:right w:val="nil"/>
            </w:tcBorders>
            <w:shd w:val="clear" w:color="auto" w:fill="FFFFFF"/>
            <w:vAlign w:val="bottom"/>
          </w:tcPr>
          <w:p w14:paraId="073DAB47"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63E07D4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323,691</w:t>
            </w:r>
          </w:p>
        </w:tc>
        <w:tc>
          <w:tcPr>
            <w:tcW w:w="964" w:type="dxa"/>
            <w:tcBorders>
              <w:top w:val="nil"/>
              <w:left w:val="nil"/>
              <w:bottom w:val="single" w:sz="2" w:space="0" w:color="auto"/>
              <w:right w:val="nil"/>
            </w:tcBorders>
            <w:shd w:val="clear" w:color="auto" w:fill="FFFFFF"/>
            <w:vAlign w:val="bottom"/>
          </w:tcPr>
          <w:p w14:paraId="36343A9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289,978</w:t>
            </w:r>
          </w:p>
        </w:tc>
        <w:tc>
          <w:tcPr>
            <w:tcW w:w="964" w:type="dxa"/>
            <w:tcBorders>
              <w:top w:val="nil"/>
              <w:left w:val="nil"/>
              <w:bottom w:val="single" w:sz="2" w:space="0" w:color="auto"/>
              <w:right w:val="nil"/>
            </w:tcBorders>
            <w:shd w:val="clear" w:color="auto" w:fill="FFFFFF"/>
            <w:vAlign w:val="bottom"/>
          </w:tcPr>
          <w:p w14:paraId="0CB83BC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33,713</w:t>
            </w:r>
          </w:p>
        </w:tc>
        <w:tc>
          <w:tcPr>
            <w:tcW w:w="964" w:type="dxa"/>
            <w:tcBorders>
              <w:top w:val="nil"/>
              <w:left w:val="nil"/>
              <w:bottom w:val="single" w:sz="2" w:space="0" w:color="auto"/>
              <w:right w:val="nil"/>
            </w:tcBorders>
            <w:shd w:val="clear" w:color="auto" w:fill="FFFFFF"/>
            <w:vAlign w:val="bottom"/>
          </w:tcPr>
          <w:p w14:paraId="12D9E60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315,443</w:t>
            </w:r>
          </w:p>
        </w:tc>
      </w:tr>
      <w:tr w:rsidR="002E375F" w14:paraId="0F1AAAD7" w14:textId="77777777">
        <w:tc>
          <w:tcPr>
            <w:tcW w:w="340" w:type="dxa"/>
            <w:tcBorders>
              <w:top w:val="nil"/>
              <w:left w:val="nil"/>
              <w:bottom w:val="nil"/>
              <w:right w:val="nil"/>
            </w:tcBorders>
            <w:shd w:val="clear" w:color="auto" w:fill="FFFFFF"/>
          </w:tcPr>
          <w:p w14:paraId="2876B017" w14:textId="77777777" w:rsidR="002E375F" w:rsidRDefault="00EB2569">
            <w:pPr>
              <w:autoSpaceDE w:val="0"/>
              <w:autoSpaceDN w:val="0"/>
              <w:adjustRightInd w:val="0"/>
              <w:spacing w:after="0" w:line="240" w:lineRule="auto"/>
              <w:ind w:right="255"/>
              <w:rPr>
                <w:rFonts w:ascii="Times New Roman" w:hAnsi="Times New Roman" w:cs="Times New Roman"/>
                <w:sz w:val="24"/>
                <w:szCs w:val="24"/>
              </w:rPr>
            </w:pPr>
            <w:r>
              <w:rPr>
                <w:rFonts w:ascii="Arial" w:hAnsi="Arial" w:cs="Arial"/>
                <w:sz w:val="18"/>
                <w:szCs w:val="18"/>
              </w:rPr>
              <w:t>*</w:t>
            </w:r>
            <w:r>
              <w:rPr>
                <w:rFonts w:ascii="Arial" w:hAnsi="Arial" w:cs="Arial"/>
                <w:sz w:val="18"/>
                <w:szCs w:val="18"/>
              </w:rPr>
              <w:br/>
              <w:t>^</w:t>
            </w:r>
          </w:p>
        </w:tc>
        <w:tc>
          <w:tcPr>
            <w:tcW w:w="8693" w:type="dxa"/>
            <w:gridSpan w:val="6"/>
            <w:tcBorders>
              <w:top w:val="nil"/>
              <w:left w:val="nil"/>
              <w:bottom w:val="nil"/>
              <w:right w:val="nil"/>
            </w:tcBorders>
            <w:shd w:val="clear" w:color="auto" w:fill="FFFFFF"/>
            <w:vAlign w:val="bottom"/>
          </w:tcPr>
          <w:p w14:paraId="6C4E3380" w14:textId="77777777" w:rsidR="002E375F" w:rsidRDefault="00EB2569">
            <w:pPr>
              <w:autoSpaceDE w:val="0"/>
              <w:autoSpaceDN w:val="0"/>
              <w:adjustRightInd w:val="0"/>
              <w:spacing w:after="0" w:line="240" w:lineRule="auto"/>
              <w:jc w:val="both"/>
              <w:rPr>
                <w:rFonts w:ascii="Times New Roman" w:hAnsi="Times New Roman" w:cs="Times New Roman"/>
                <w:sz w:val="24"/>
                <w:szCs w:val="24"/>
              </w:rPr>
            </w:pPr>
            <w:r>
              <w:rPr>
                <w:rFonts w:ascii="Arial" w:hAnsi="Arial" w:cs="Arial"/>
                <w:i/>
                <w:iCs/>
                <w:sz w:val="16"/>
                <w:szCs w:val="16"/>
              </w:rPr>
              <w:t>An explanation of major variances is included at Note E1-2.</w:t>
            </w:r>
            <w:r>
              <w:rPr>
                <w:rFonts w:ascii="Arial" w:hAnsi="Arial" w:cs="Arial"/>
                <w:sz w:val="16"/>
                <w:szCs w:val="16"/>
              </w:rPr>
              <w:br/>
            </w:r>
            <w:r>
              <w:rPr>
                <w:rFonts w:ascii="Arial" w:hAnsi="Arial" w:cs="Arial"/>
                <w:i/>
                <w:iCs/>
                <w:sz w:val="16"/>
                <w:szCs w:val="16"/>
              </w:rPr>
              <w:t>These figures represent budgeted figures as published in the latest Service Delivery Statement tabled in Parliament.</w:t>
            </w:r>
          </w:p>
        </w:tc>
      </w:tr>
    </w:tbl>
    <w:p w14:paraId="0D18BEF8"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0962E0CD" w14:textId="77777777" w:rsidR="002E375F" w:rsidRDefault="00EB2569" w:rsidP="00F45CE1">
      <w:pPr>
        <w:pStyle w:val="Heading2"/>
        <w:spacing w:before="0"/>
        <w:rPr>
          <w:rFonts w:ascii="Times New Roman" w:hAnsi="Times New Roman" w:cs="Times New Roman"/>
        </w:rPr>
      </w:pPr>
      <w:r>
        <w:lastRenderedPageBreak/>
        <w:t>Department of Communities, Disability Services and Seniors</w:t>
      </w:r>
    </w:p>
    <w:p w14:paraId="3156CE7F" w14:textId="77777777" w:rsidR="002E375F" w:rsidRDefault="00EB2569" w:rsidP="00F45CE1">
      <w:pPr>
        <w:pStyle w:val="Heading2"/>
        <w:spacing w:before="0"/>
        <w:rPr>
          <w:rFonts w:ascii="Times New Roman" w:hAnsi="Times New Roman" w:cs="Times New Roman"/>
        </w:rPr>
      </w:pPr>
      <w:r>
        <w:t>Statement of Assets and Liabilities by Major Departmental Services - Controlled</w:t>
      </w:r>
    </w:p>
    <w:p w14:paraId="6A3CB68D" w14:textId="77777777" w:rsidR="002E375F" w:rsidRDefault="00EB2569" w:rsidP="00F45CE1">
      <w:pPr>
        <w:pStyle w:val="Heading2"/>
        <w:spacing w:before="0"/>
        <w:rPr>
          <w:rFonts w:ascii="Times New Roman" w:hAnsi="Times New Roman" w:cs="Times New Roman"/>
        </w:rPr>
      </w:pPr>
      <w:r>
        <w:t>as at 30 June 2020</w:t>
      </w:r>
    </w:p>
    <w:p w14:paraId="363425F3" w14:textId="77777777" w:rsidR="002E375F" w:rsidRDefault="002E375F">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835"/>
        <w:gridCol w:w="964"/>
        <w:gridCol w:w="964"/>
        <w:gridCol w:w="964"/>
        <w:gridCol w:w="964"/>
        <w:gridCol w:w="1134"/>
        <w:gridCol w:w="1135"/>
      </w:tblGrid>
      <w:tr w:rsidR="002E375F" w14:paraId="0B93DCBA" w14:textId="77777777">
        <w:tc>
          <w:tcPr>
            <w:tcW w:w="7835" w:type="dxa"/>
            <w:tcBorders>
              <w:top w:val="nil"/>
              <w:left w:val="nil"/>
              <w:bottom w:val="nil"/>
              <w:right w:val="nil"/>
            </w:tcBorders>
            <w:shd w:val="clear" w:color="auto" w:fill="FFFFFF"/>
            <w:vAlign w:val="bottom"/>
          </w:tcPr>
          <w:p w14:paraId="09A0B63E" w14:textId="77777777" w:rsidR="002E375F" w:rsidRDefault="002E375F" w:rsidP="001C442D">
            <w:pPr>
              <w:pStyle w:val="Heading2"/>
            </w:pPr>
          </w:p>
        </w:tc>
        <w:tc>
          <w:tcPr>
            <w:tcW w:w="1928" w:type="dxa"/>
            <w:gridSpan w:val="2"/>
            <w:tcBorders>
              <w:top w:val="nil"/>
              <w:left w:val="nil"/>
              <w:bottom w:val="nil"/>
              <w:right w:val="nil"/>
            </w:tcBorders>
            <w:shd w:val="clear" w:color="auto" w:fill="FFFFFF"/>
            <w:vAlign w:val="bottom"/>
          </w:tcPr>
          <w:p w14:paraId="757C2FA1" w14:textId="77777777" w:rsidR="002E375F" w:rsidRDefault="00EB2569" w:rsidP="00862FE1">
            <w:pPr>
              <w:pStyle w:val="Heading2"/>
              <w:jc w:val="center"/>
            </w:pPr>
            <w:r>
              <w:rPr>
                <w:rFonts w:ascii="Arial" w:hAnsi="Arial" w:cs="Arial"/>
                <w:b/>
                <w:bCs/>
                <w:sz w:val="18"/>
                <w:szCs w:val="18"/>
              </w:rPr>
              <w:t>Disability Services</w:t>
            </w:r>
          </w:p>
        </w:tc>
        <w:tc>
          <w:tcPr>
            <w:tcW w:w="1928" w:type="dxa"/>
            <w:gridSpan w:val="2"/>
            <w:tcBorders>
              <w:top w:val="nil"/>
              <w:left w:val="nil"/>
              <w:bottom w:val="nil"/>
              <w:right w:val="nil"/>
            </w:tcBorders>
            <w:shd w:val="clear" w:color="auto" w:fill="FFFFFF"/>
            <w:vAlign w:val="bottom"/>
          </w:tcPr>
          <w:p w14:paraId="383C1BCA" w14:textId="77777777" w:rsidR="002E375F" w:rsidRDefault="00EB2569" w:rsidP="00862FE1">
            <w:pPr>
              <w:pStyle w:val="Heading2"/>
              <w:jc w:val="center"/>
            </w:pPr>
            <w:r>
              <w:rPr>
                <w:rFonts w:ascii="Arial" w:hAnsi="Arial" w:cs="Arial"/>
                <w:b/>
                <w:bCs/>
                <w:sz w:val="18"/>
                <w:szCs w:val="18"/>
              </w:rPr>
              <w:t>Community and Seniors Services</w:t>
            </w:r>
          </w:p>
        </w:tc>
        <w:tc>
          <w:tcPr>
            <w:tcW w:w="2269" w:type="dxa"/>
            <w:gridSpan w:val="2"/>
            <w:tcBorders>
              <w:top w:val="nil"/>
              <w:left w:val="nil"/>
              <w:bottom w:val="nil"/>
              <w:right w:val="nil"/>
            </w:tcBorders>
            <w:shd w:val="clear" w:color="auto" w:fill="FFFFFF"/>
            <w:vAlign w:val="bottom"/>
          </w:tcPr>
          <w:p w14:paraId="7502E83A" w14:textId="77777777" w:rsidR="002E375F" w:rsidRDefault="00EB2569" w:rsidP="00862FE1">
            <w:pPr>
              <w:pStyle w:val="Heading2"/>
              <w:jc w:val="center"/>
            </w:pPr>
            <w:r>
              <w:rPr>
                <w:rFonts w:ascii="Arial" w:hAnsi="Arial" w:cs="Arial"/>
                <w:b/>
                <w:bCs/>
                <w:sz w:val="18"/>
                <w:szCs w:val="18"/>
              </w:rPr>
              <w:t>Total</w:t>
            </w:r>
          </w:p>
        </w:tc>
      </w:tr>
      <w:tr w:rsidR="002E375F" w14:paraId="07A0F253" w14:textId="77777777">
        <w:tc>
          <w:tcPr>
            <w:tcW w:w="7835" w:type="dxa"/>
            <w:tcBorders>
              <w:top w:val="nil"/>
              <w:left w:val="nil"/>
              <w:bottom w:val="nil"/>
              <w:right w:val="nil"/>
            </w:tcBorders>
            <w:shd w:val="clear" w:color="auto" w:fill="FFFFFF"/>
            <w:vAlign w:val="bottom"/>
          </w:tcPr>
          <w:p w14:paraId="42879586"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66801A3B" w14:textId="77777777" w:rsidR="002E375F" w:rsidRDefault="00EB2569" w:rsidP="00862FE1">
            <w:pPr>
              <w:pStyle w:val="Heading2"/>
              <w:jc w:val="right"/>
            </w:pPr>
            <w:r>
              <w:rPr>
                <w:rFonts w:ascii="Arial" w:hAnsi="Arial" w:cs="Arial"/>
                <w:b/>
                <w:bCs/>
                <w:sz w:val="18"/>
                <w:szCs w:val="18"/>
              </w:rP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5B7B407E" w14:textId="77777777" w:rsidR="002E375F" w:rsidRDefault="00EB2569" w:rsidP="00862FE1">
            <w:pPr>
              <w:pStyle w:val="Heading2"/>
              <w:jc w:val="right"/>
            </w:pPr>
            <w:r>
              <w:rPr>
                <w:rFonts w:ascii="Arial" w:hAnsi="Arial" w:cs="Arial"/>
                <w:sz w:val="18"/>
                <w:szCs w:val="18"/>
              </w:rPr>
              <w:t>2019</w:t>
            </w:r>
            <w:r>
              <w:rPr>
                <w:rFonts w:ascii="Arial" w:hAnsi="Arial" w:cs="Arial"/>
                <w:sz w:val="18"/>
                <w:szCs w:val="18"/>
              </w:rPr>
              <w:br/>
              <w:t>$'000</w:t>
            </w:r>
          </w:p>
        </w:tc>
        <w:tc>
          <w:tcPr>
            <w:tcW w:w="964" w:type="dxa"/>
            <w:tcBorders>
              <w:top w:val="nil"/>
              <w:left w:val="nil"/>
              <w:bottom w:val="nil"/>
              <w:right w:val="nil"/>
            </w:tcBorders>
            <w:shd w:val="clear" w:color="auto" w:fill="FFFFFF"/>
            <w:vAlign w:val="bottom"/>
          </w:tcPr>
          <w:p w14:paraId="226613AB" w14:textId="77777777" w:rsidR="002E375F" w:rsidRDefault="00EB2569" w:rsidP="00862FE1">
            <w:pPr>
              <w:pStyle w:val="Heading2"/>
              <w:jc w:val="right"/>
            </w:pPr>
            <w:r>
              <w:rPr>
                <w:rFonts w:ascii="Arial" w:hAnsi="Arial" w:cs="Arial"/>
                <w:b/>
                <w:bCs/>
                <w:sz w:val="18"/>
                <w:szCs w:val="18"/>
              </w:rP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410D3E32" w14:textId="77777777" w:rsidR="002E375F" w:rsidRDefault="00EB2569" w:rsidP="00862FE1">
            <w:pPr>
              <w:pStyle w:val="Heading2"/>
              <w:jc w:val="right"/>
            </w:pPr>
            <w:r>
              <w:rPr>
                <w:rFonts w:ascii="Arial" w:hAnsi="Arial" w:cs="Arial"/>
                <w:sz w:val="18"/>
                <w:szCs w:val="18"/>
              </w:rPr>
              <w:t>2019</w:t>
            </w:r>
            <w:r>
              <w:rPr>
                <w:rFonts w:ascii="Arial" w:hAnsi="Arial" w:cs="Arial"/>
                <w:sz w:val="18"/>
                <w:szCs w:val="18"/>
              </w:rPr>
              <w:br/>
              <w:t>$'000</w:t>
            </w:r>
          </w:p>
        </w:tc>
        <w:tc>
          <w:tcPr>
            <w:tcW w:w="1134" w:type="dxa"/>
            <w:tcBorders>
              <w:top w:val="nil"/>
              <w:left w:val="nil"/>
              <w:bottom w:val="nil"/>
              <w:right w:val="nil"/>
            </w:tcBorders>
            <w:shd w:val="clear" w:color="auto" w:fill="FFFFFF"/>
            <w:vAlign w:val="bottom"/>
          </w:tcPr>
          <w:p w14:paraId="3417CB0C" w14:textId="77777777" w:rsidR="002E375F" w:rsidRDefault="00EB2569" w:rsidP="00862FE1">
            <w:pPr>
              <w:pStyle w:val="Heading2"/>
              <w:jc w:val="right"/>
            </w:pPr>
            <w:r>
              <w:rPr>
                <w:rFonts w:ascii="Arial" w:hAnsi="Arial" w:cs="Arial"/>
                <w:b/>
                <w:bCs/>
                <w:sz w:val="18"/>
                <w:szCs w:val="18"/>
              </w:rPr>
              <w:t>2020</w:t>
            </w:r>
            <w:r>
              <w:rPr>
                <w:rFonts w:ascii="Arial" w:hAnsi="Arial" w:cs="Arial"/>
                <w:b/>
                <w:bCs/>
                <w:sz w:val="18"/>
                <w:szCs w:val="18"/>
              </w:rPr>
              <w:br/>
              <w:t>$'000</w:t>
            </w:r>
          </w:p>
        </w:tc>
        <w:tc>
          <w:tcPr>
            <w:tcW w:w="1134" w:type="dxa"/>
            <w:tcBorders>
              <w:top w:val="nil"/>
              <w:left w:val="nil"/>
              <w:bottom w:val="nil"/>
              <w:right w:val="nil"/>
            </w:tcBorders>
            <w:shd w:val="clear" w:color="auto" w:fill="FFFFFF"/>
            <w:vAlign w:val="bottom"/>
          </w:tcPr>
          <w:p w14:paraId="0FD55EC2" w14:textId="77777777" w:rsidR="002E375F" w:rsidRDefault="00EB2569" w:rsidP="00862FE1">
            <w:pPr>
              <w:pStyle w:val="Heading2"/>
              <w:jc w:val="right"/>
            </w:pPr>
            <w:r>
              <w:rPr>
                <w:rFonts w:ascii="Arial" w:hAnsi="Arial" w:cs="Arial"/>
                <w:sz w:val="18"/>
                <w:szCs w:val="18"/>
              </w:rPr>
              <w:t>2019</w:t>
            </w:r>
            <w:r>
              <w:rPr>
                <w:rFonts w:ascii="Arial" w:hAnsi="Arial" w:cs="Arial"/>
                <w:sz w:val="18"/>
                <w:szCs w:val="18"/>
              </w:rPr>
              <w:br/>
              <w:t>$'000</w:t>
            </w:r>
          </w:p>
        </w:tc>
      </w:tr>
      <w:tr w:rsidR="002E375F" w14:paraId="2C071570" w14:textId="77777777">
        <w:tc>
          <w:tcPr>
            <w:tcW w:w="7835" w:type="dxa"/>
            <w:tcBorders>
              <w:top w:val="nil"/>
              <w:left w:val="nil"/>
              <w:bottom w:val="nil"/>
              <w:right w:val="nil"/>
            </w:tcBorders>
            <w:shd w:val="clear" w:color="auto" w:fill="FFFFFF"/>
            <w:vAlign w:val="bottom"/>
          </w:tcPr>
          <w:p w14:paraId="447D165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Current Assets</w:t>
            </w:r>
          </w:p>
        </w:tc>
        <w:tc>
          <w:tcPr>
            <w:tcW w:w="964" w:type="dxa"/>
            <w:tcBorders>
              <w:top w:val="nil"/>
              <w:left w:val="nil"/>
              <w:bottom w:val="nil"/>
              <w:right w:val="nil"/>
            </w:tcBorders>
            <w:shd w:val="clear" w:color="auto" w:fill="FFFFFF"/>
            <w:vAlign w:val="bottom"/>
          </w:tcPr>
          <w:p w14:paraId="0DCE1C2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71B189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58B9F4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869CCF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vAlign w:val="bottom"/>
          </w:tcPr>
          <w:p w14:paraId="0DE8203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vAlign w:val="bottom"/>
          </w:tcPr>
          <w:p w14:paraId="1D283F0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519F37DA" w14:textId="77777777">
        <w:tc>
          <w:tcPr>
            <w:tcW w:w="7835" w:type="dxa"/>
            <w:tcBorders>
              <w:top w:val="nil"/>
              <w:left w:val="nil"/>
              <w:bottom w:val="nil"/>
              <w:right w:val="nil"/>
            </w:tcBorders>
            <w:shd w:val="clear" w:color="auto" w:fill="FFFFFF"/>
            <w:vAlign w:val="bottom"/>
          </w:tcPr>
          <w:p w14:paraId="26CE230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Cash and cash equivalents</w:t>
            </w:r>
          </w:p>
        </w:tc>
        <w:tc>
          <w:tcPr>
            <w:tcW w:w="964" w:type="dxa"/>
            <w:tcBorders>
              <w:top w:val="nil"/>
              <w:left w:val="nil"/>
              <w:bottom w:val="nil"/>
              <w:right w:val="nil"/>
            </w:tcBorders>
            <w:shd w:val="clear" w:color="auto" w:fill="FFFFFF"/>
            <w:vAlign w:val="bottom"/>
          </w:tcPr>
          <w:p w14:paraId="4D21DBD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43,301</w:t>
            </w:r>
          </w:p>
        </w:tc>
        <w:tc>
          <w:tcPr>
            <w:tcW w:w="964" w:type="dxa"/>
            <w:tcBorders>
              <w:top w:val="nil"/>
              <w:left w:val="nil"/>
              <w:bottom w:val="nil"/>
              <w:right w:val="nil"/>
            </w:tcBorders>
            <w:shd w:val="clear" w:color="auto" w:fill="FFFFFF"/>
            <w:vAlign w:val="bottom"/>
          </w:tcPr>
          <w:p w14:paraId="26FBB85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74,267</w:t>
            </w:r>
          </w:p>
        </w:tc>
        <w:tc>
          <w:tcPr>
            <w:tcW w:w="964" w:type="dxa"/>
            <w:tcBorders>
              <w:top w:val="nil"/>
              <w:left w:val="nil"/>
              <w:bottom w:val="nil"/>
              <w:right w:val="nil"/>
            </w:tcBorders>
            <w:shd w:val="clear" w:color="auto" w:fill="FFFFFF"/>
            <w:vAlign w:val="bottom"/>
          </w:tcPr>
          <w:p w14:paraId="21DB0D3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28,740</w:t>
            </w:r>
          </w:p>
        </w:tc>
        <w:tc>
          <w:tcPr>
            <w:tcW w:w="964" w:type="dxa"/>
            <w:tcBorders>
              <w:top w:val="nil"/>
              <w:left w:val="nil"/>
              <w:bottom w:val="nil"/>
              <w:right w:val="nil"/>
            </w:tcBorders>
            <w:shd w:val="clear" w:color="auto" w:fill="FFFFFF"/>
            <w:vAlign w:val="bottom"/>
          </w:tcPr>
          <w:p w14:paraId="6B97A2C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8,941</w:t>
            </w:r>
          </w:p>
        </w:tc>
        <w:tc>
          <w:tcPr>
            <w:tcW w:w="1134" w:type="dxa"/>
            <w:tcBorders>
              <w:top w:val="nil"/>
              <w:left w:val="nil"/>
              <w:bottom w:val="nil"/>
              <w:right w:val="nil"/>
            </w:tcBorders>
            <w:shd w:val="clear" w:color="auto" w:fill="FFFFFF"/>
            <w:vAlign w:val="bottom"/>
          </w:tcPr>
          <w:p w14:paraId="334C2F9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72,041</w:t>
            </w:r>
          </w:p>
        </w:tc>
        <w:tc>
          <w:tcPr>
            <w:tcW w:w="1134" w:type="dxa"/>
            <w:tcBorders>
              <w:top w:val="nil"/>
              <w:left w:val="nil"/>
              <w:bottom w:val="nil"/>
              <w:right w:val="nil"/>
            </w:tcBorders>
            <w:shd w:val="clear" w:color="auto" w:fill="FFFFFF"/>
            <w:vAlign w:val="bottom"/>
          </w:tcPr>
          <w:p w14:paraId="0CCA8D6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83,208</w:t>
            </w:r>
          </w:p>
        </w:tc>
      </w:tr>
      <w:tr w:rsidR="002E375F" w14:paraId="1FDE02B1" w14:textId="77777777">
        <w:tc>
          <w:tcPr>
            <w:tcW w:w="7835" w:type="dxa"/>
            <w:tcBorders>
              <w:top w:val="nil"/>
              <w:left w:val="nil"/>
              <w:bottom w:val="nil"/>
              <w:right w:val="nil"/>
            </w:tcBorders>
            <w:shd w:val="clear" w:color="auto" w:fill="FFFFFF"/>
            <w:vAlign w:val="bottom"/>
          </w:tcPr>
          <w:p w14:paraId="642E901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Receivables</w:t>
            </w:r>
          </w:p>
        </w:tc>
        <w:tc>
          <w:tcPr>
            <w:tcW w:w="964" w:type="dxa"/>
            <w:tcBorders>
              <w:top w:val="nil"/>
              <w:left w:val="nil"/>
              <w:bottom w:val="nil"/>
              <w:right w:val="nil"/>
            </w:tcBorders>
            <w:shd w:val="clear" w:color="auto" w:fill="FFFFFF"/>
            <w:vAlign w:val="bottom"/>
          </w:tcPr>
          <w:p w14:paraId="6959CF4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4,547</w:t>
            </w:r>
          </w:p>
        </w:tc>
        <w:tc>
          <w:tcPr>
            <w:tcW w:w="964" w:type="dxa"/>
            <w:tcBorders>
              <w:top w:val="nil"/>
              <w:left w:val="nil"/>
              <w:bottom w:val="nil"/>
              <w:right w:val="nil"/>
            </w:tcBorders>
            <w:shd w:val="clear" w:color="auto" w:fill="FFFFFF"/>
            <w:vAlign w:val="bottom"/>
          </w:tcPr>
          <w:p w14:paraId="35713D8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21,198</w:t>
            </w:r>
          </w:p>
        </w:tc>
        <w:tc>
          <w:tcPr>
            <w:tcW w:w="964" w:type="dxa"/>
            <w:tcBorders>
              <w:top w:val="nil"/>
              <w:left w:val="nil"/>
              <w:bottom w:val="nil"/>
              <w:right w:val="nil"/>
            </w:tcBorders>
            <w:shd w:val="clear" w:color="auto" w:fill="FFFFFF"/>
            <w:vAlign w:val="bottom"/>
          </w:tcPr>
          <w:p w14:paraId="5452CF2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294</w:t>
            </w:r>
          </w:p>
        </w:tc>
        <w:tc>
          <w:tcPr>
            <w:tcW w:w="964" w:type="dxa"/>
            <w:tcBorders>
              <w:top w:val="nil"/>
              <w:left w:val="nil"/>
              <w:bottom w:val="nil"/>
              <w:right w:val="nil"/>
            </w:tcBorders>
            <w:shd w:val="clear" w:color="auto" w:fill="FFFFFF"/>
            <w:vAlign w:val="bottom"/>
          </w:tcPr>
          <w:p w14:paraId="07E27E0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2,654</w:t>
            </w:r>
          </w:p>
        </w:tc>
        <w:tc>
          <w:tcPr>
            <w:tcW w:w="1134" w:type="dxa"/>
            <w:tcBorders>
              <w:top w:val="nil"/>
              <w:left w:val="nil"/>
              <w:bottom w:val="nil"/>
              <w:right w:val="nil"/>
            </w:tcBorders>
            <w:shd w:val="clear" w:color="auto" w:fill="FFFFFF"/>
            <w:vAlign w:val="bottom"/>
          </w:tcPr>
          <w:p w14:paraId="1709075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4,841</w:t>
            </w:r>
          </w:p>
        </w:tc>
        <w:tc>
          <w:tcPr>
            <w:tcW w:w="1134" w:type="dxa"/>
            <w:tcBorders>
              <w:top w:val="nil"/>
              <w:left w:val="nil"/>
              <w:bottom w:val="nil"/>
              <w:right w:val="nil"/>
            </w:tcBorders>
            <w:shd w:val="clear" w:color="auto" w:fill="FFFFFF"/>
            <w:vAlign w:val="bottom"/>
          </w:tcPr>
          <w:p w14:paraId="506A7A2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23,852</w:t>
            </w:r>
          </w:p>
        </w:tc>
      </w:tr>
      <w:tr w:rsidR="002E375F" w14:paraId="0F8D1481" w14:textId="77777777">
        <w:tc>
          <w:tcPr>
            <w:tcW w:w="7835" w:type="dxa"/>
            <w:tcBorders>
              <w:top w:val="nil"/>
              <w:left w:val="nil"/>
              <w:bottom w:val="nil"/>
              <w:right w:val="nil"/>
            </w:tcBorders>
            <w:shd w:val="clear" w:color="auto" w:fill="FFFFFF"/>
            <w:vAlign w:val="bottom"/>
          </w:tcPr>
          <w:p w14:paraId="2319FAD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 current assets</w:t>
            </w:r>
          </w:p>
        </w:tc>
        <w:tc>
          <w:tcPr>
            <w:tcW w:w="964" w:type="dxa"/>
            <w:tcBorders>
              <w:top w:val="nil"/>
              <w:left w:val="nil"/>
              <w:bottom w:val="nil"/>
              <w:right w:val="nil"/>
            </w:tcBorders>
            <w:shd w:val="clear" w:color="auto" w:fill="FFFFFF"/>
            <w:vAlign w:val="bottom"/>
          </w:tcPr>
          <w:p w14:paraId="36B81EC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2,219</w:t>
            </w:r>
          </w:p>
        </w:tc>
        <w:tc>
          <w:tcPr>
            <w:tcW w:w="964" w:type="dxa"/>
            <w:tcBorders>
              <w:top w:val="nil"/>
              <w:left w:val="nil"/>
              <w:bottom w:val="nil"/>
              <w:right w:val="nil"/>
            </w:tcBorders>
            <w:shd w:val="clear" w:color="auto" w:fill="FFFFFF"/>
            <w:vAlign w:val="bottom"/>
          </w:tcPr>
          <w:p w14:paraId="5082C0D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w:t>
            </w:r>
          </w:p>
        </w:tc>
        <w:tc>
          <w:tcPr>
            <w:tcW w:w="964" w:type="dxa"/>
            <w:tcBorders>
              <w:top w:val="nil"/>
              <w:left w:val="nil"/>
              <w:bottom w:val="nil"/>
              <w:right w:val="nil"/>
            </w:tcBorders>
            <w:shd w:val="clear" w:color="auto" w:fill="FFFFFF"/>
            <w:vAlign w:val="bottom"/>
          </w:tcPr>
          <w:p w14:paraId="432CE98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158</w:t>
            </w:r>
          </w:p>
        </w:tc>
        <w:tc>
          <w:tcPr>
            <w:tcW w:w="964" w:type="dxa"/>
            <w:tcBorders>
              <w:top w:val="nil"/>
              <w:left w:val="nil"/>
              <w:bottom w:val="nil"/>
              <w:right w:val="nil"/>
            </w:tcBorders>
            <w:shd w:val="clear" w:color="auto" w:fill="FFFFFF"/>
            <w:vAlign w:val="bottom"/>
          </w:tcPr>
          <w:p w14:paraId="2D0879D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1134" w:type="dxa"/>
            <w:tcBorders>
              <w:top w:val="nil"/>
              <w:left w:val="nil"/>
              <w:bottom w:val="nil"/>
              <w:right w:val="nil"/>
            </w:tcBorders>
            <w:shd w:val="clear" w:color="auto" w:fill="FFFFFF"/>
            <w:vAlign w:val="bottom"/>
          </w:tcPr>
          <w:p w14:paraId="3937597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2,377</w:t>
            </w:r>
          </w:p>
        </w:tc>
        <w:tc>
          <w:tcPr>
            <w:tcW w:w="1134" w:type="dxa"/>
            <w:tcBorders>
              <w:top w:val="nil"/>
              <w:left w:val="nil"/>
              <w:bottom w:val="nil"/>
              <w:right w:val="nil"/>
            </w:tcBorders>
            <w:shd w:val="clear" w:color="auto" w:fill="FFFFFF"/>
            <w:vAlign w:val="bottom"/>
          </w:tcPr>
          <w:p w14:paraId="1B6F153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w:t>
            </w:r>
          </w:p>
        </w:tc>
      </w:tr>
      <w:tr w:rsidR="002E375F" w14:paraId="39D6D41B" w14:textId="77777777">
        <w:tc>
          <w:tcPr>
            <w:tcW w:w="7835" w:type="dxa"/>
            <w:tcBorders>
              <w:top w:val="nil"/>
              <w:left w:val="nil"/>
              <w:bottom w:val="nil"/>
              <w:right w:val="nil"/>
            </w:tcBorders>
            <w:shd w:val="clear" w:color="auto" w:fill="FFFFFF"/>
            <w:vAlign w:val="bottom"/>
          </w:tcPr>
          <w:p w14:paraId="32585D9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Non-current assets classified as held for sale</w:t>
            </w:r>
          </w:p>
        </w:tc>
        <w:tc>
          <w:tcPr>
            <w:tcW w:w="964" w:type="dxa"/>
            <w:tcBorders>
              <w:top w:val="nil"/>
              <w:left w:val="nil"/>
              <w:bottom w:val="single" w:sz="2" w:space="0" w:color="auto"/>
              <w:right w:val="nil"/>
            </w:tcBorders>
            <w:shd w:val="clear" w:color="auto" w:fill="FFFFFF"/>
            <w:vAlign w:val="bottom"/>
          </w:tcPr>
          <w:p w14:paraId="030A998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48B0DB0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368</w:t>
            </w:r>
          </w:p>
        </w:tc>
        <w:tc>
          <w:tcPr>
            <w:tcW w:w="964" w:type="dxa"/>
            <w:tcBorders>
              <w:top w:val="nil"/>
              <w:left w:val="nil"/>
              <w:bottom w:val="single" w:sz="2" w:space="0" w:color="auto"/>
              <w:right w:val="nil"/>
            </w:tcBorders>
            <w:shd w:val="clear" w:color="auto" w:fill="FFFFFF"/>
            <w:vAlign w:val="bottom"/>
          </w:tcPr>
          <w:p w14:paraId="43CFBFF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1403389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1134" w:type="dxa"/>
            <w:tcBorders>
              <w:top w:val="nil"/>
              <w:left w:val="nil"/>
              <w:bottom w:val="single" w:sz="2" w:space="0" w:color="auto"/>
              <w:right w:val="nil"/>
            </w:tcBorders>
            <w:shd w:val="clear" w:color="auto" w:fill="FFFFFF"/>
            <w:vAlign w:val="bottom"/>
          </w:tcPr>
          <w:p w14:paraId="5A9F1A5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1134" w:type="dxa"/>
            <w:tcBorders>
              <w:top w:val="nil"/>
              <w:left w:val="nil"/>
              <w:bottom w:val="single" w:sz="2" w:space="0" w:color="auto"/>
              <w:right w:val="nil"/>
            </w:tcBorders>
            <w:shd w:val="clear" w:color="auto" w:fill="FFFFFF"/>
            <w:vAlign w:val="bottom"/>
          </w:tcPr>
          <w:p w14:paraId="24C1CCB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368</w:t>
            </w:r>
          </w:p>
        </w:tc>
      </w:tr>
      <w:tr w:rsidR="002E375F" w14:paraId="00616D02" w14:textId="77777777">
        <w:tc>
          <w:tcPr>
            <w:tcW w:w="7835" w:type="dxa"/>
            <w:tcBorders>
              <w:top w:val="nil"/>
              <w:left w:val="nil"/>
              <w:bottom w:val="nil"/>
              <w:right w:val="nil"/>
            </w:tcBorders>
            <w:shd w:val="clear" w:color="auto" w:fill="FFFFFF"/>
            <w:vAlign w:val="bottom"/>
          </w:tcPr>
          <w:p w14:paraId="0193EAE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Current Assets</w:t>
            </w:r>
          </w:p>
        </w:tc>
        <w:tc>
          <w:tcPr>
            <w:tcW w:w="964" w:type="dxa"/>
            <w:tcBorders>
              <w:top w:val="nil"/>
              <w:left w:val="nil"/>
              <w:bottom w:val="single" w:sz="2" w:space="0" w:color="auto"/>
              <w:right w:val="nil"/>
            </w:tcBorders>
            <w:shd w:val="clear" w:color="auto" w:fill="FFFFFF"/>
            <w:vAlign w:val="bottom"/>
          </w:tcPr>
          <w:p w14:paraId="22A834C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50,067</w:t>
            </w:r>
          </w:p>
        </w:tc>
        <w:tc>
          <w:tcPr>
            <w:tcW w:w="964" w:type="dxa"/>
            <w:tcBorders>
              <w:top w:val="nil"/>
              <w:left w:val="nil"/>
              <w:bottom w:val="single" w:sz="2" w:space="0" w:color="auto"/>
              <w:right w:val="nil"/>
            </w:tcBorders>
            <w:shd w:val="clear" w:color="auto" w:fill="FFFFFF"/>
            <w:vAlign w:val="bottom"/>
          </w:tcPr>
          <w:p w14:paraId="29FD965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95,846</w:t>
            </w:r>
          </w:p>
        </w:tc>
        <w:tc>
          <w:tcPr>
            <w:tcW w:w="964" w:type="dxa"/>
            <w:tcBorders>
              <w:top w:val="nil"/>
              <w:left w:val="nil"/>
              <w:bottom w:val="single" w:sz="2" w:space="0" w:color="auto"/>
              <w:right w:val="nil"/>
            </w:tcBorders>
            <w:shd w:val="clear" w:color="auto" w:fill="FFFFFF"/>
            <w:vAlign w:val="bottom"/>
          </w:tcPr>
          <w:p w14:paraId="007DDAC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29,192</w:t>
            </w:r>
          </w:p>
        </w:tc>
        <w:tc>
          <w:tcPr>
            <w:tcW w:w="964" w:type="dxa"/>
            <w:tcBorders>
              <w:top w:val="nil"/>
              <w:left w:val="nil"/>
              <w:bottom w:val="single" w:sz="2" w:space="0" w:color="auto"/>
              <w:right w:val="nil"/>
            </w:tcBorders>
            <w:shd w:val="clear" w:color="auto" w:fill="FFFFFF"/>
            <w:vAlign w:val="bottom"/>
          </w:tcPr>
          <w:p w14:paraId="773F62A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11,595</w:t>
            </w:r>
          </w:p>
        </w:tc>
        <w:tc>
          <w:tcPr>
            <w:tcW w:w="1134" w:type="dxa"/>
            <w:tcBorders>
              <w:top w:val="nil"/>
              <w:left w:val="nil"/>
              <w:bottom w:val="single" w:sz="2" w:space="0" w:color="auto"/>
              <w:right w:val="nil"/>
            </w:tcBorders>
            <w:shd w:val="clear" w:color="auto" w:fill="FFFFFF"/>
            <w:vAlign w:val="bottom"/>
          </w:tcPr>
          <w:p w14:paraId="55B81B5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79,259</w:t>
            </w:r>
          </w:p>
        </w:tc>
        <w:tc>
          <w:tcPr>
            <w:tcW w:w="1134" w:type="dxa"/>
            <w:tcBorders>
              <w:top w:val="nil"/>
              <w:left w:val="nil"/>
              <w:bottom w:val="single" w:sz="2" w:space="0" w:color="auto"/>
              <w:right w:val="nil"/>
            </w:tcBorders>
            <w:shd w:val="clear" w:color="auto" w:fill="FFFFFF"/>
            <w:vAlign w:val="bottom"/>
          </w:tcPr>
          <w:p w14:paraId="12FC9EB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107,441</w:t>
            </w:r>
          </w:p>
        </w:tc>
      </w:tr>
      <w:tr w:rsidR="002E375F" w14:paraId="540FD63C" w14:textId="77777777">
        <w:tc>
          <w:tcPr>
            <w:tcW w:w="7835" w:type="dxa"/>
            <w:tcBorders>
              <w:top w:val="nil"/>
              <w:left w:val="nil"/>
              <w:bottom w:val="nil"/>
              <w:right w:val="nil"/>
            </w:tcBorders>
            <w:shd w:val="clear" w:color="auto" w:fill="FFFFFF"/>
            <w:vAlign w:val="bottom"/>
          </w:tcPr>
          <w:p w14:paraId="349FA4B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Non-Current Assets</w:t>
            </w:r>
          </w:p>
        </w:tc>
        <w:tc>
          <w:tcPr>
            <w:tcW w:w="964" w:type="dxa"/>
            <w:tcBorders>
              <w:top w:val="nil"/>
              <w:left w:val="nil"/>
              <w:bottom w:val="nil"/>
              <w:right w:val="nil"/>
            </w:tcBorders>
            <w:shd w:val="clear" w:color="auto" w:fill="FFFFFF"/>
            <w:vAlign w:val="bottom"/>
          </w:tcPr>
          <w:p w14:paraId="6B7FDDA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366FC4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0E8001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F5827DB"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vAlign w:val="bottom"/>
          </w:tcPr>
          <w:p w14:paraId="13FDCA9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vAlign w:val="bottom"/>
          </w:tcPr>
          <w:p w14:paraId="0A50AD2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4F8E2059" w14:textId="77777777">
        <w:tc>
          <w:tcPr>
            <w:tcW w:w="7835" w:type="dxa"/>
            <w:tcBorders>
              <w:top w:val="nil"/>
              <w:left w:val="nil"/>
              <w:bottom w:val="nil"/>
              <w:right w:val="nil"/>
            </w:tcBorders>
            <w:shd w:val="clear" w:color="auto" w:fill="FFFFFF"/>
            <w:vAlign w:val="bottom"/>
          </w:tcPr>
          <w:p w14:paraId="7E9A9B8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Receivables</w:t>
            </w:r>
          </w:p>
        </w:tc>
        <w:tc>
          <w:tcPr>
            <w:tcW w:w="964" w:type="dxa"/>
            <w:tcBorders>
              <w:top w:val="nil"/>
              <w:left w:val="nil"/>
              <w:bottom w:val="nil"/>
              <w:right w:val="nil"/>
            </w:tcBorders>
            <w:shd w:val="clear" w:color="auto" w:fill="FFFFFF"/>
            <w:vAlign w:val="bottom"/>
          </w:tcPr>
          <w:p w14:paraId="0C4E75A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39050E4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4,202</w:t>
            </w:r>
          </w:p>
        </w:tc>
        <w:tc>
          <w:tcPr>
            <w:tcW w:w="964" w:type="dxa"/>
            <w:tcBorders>
              <w:top w:val="nil"/>
              <w:left w:val="nil"/>
              <w:bottom w:val="nil"/>
              <w:right w:val="nil"/>
            </w:tcBorders>
            <w:shd w:val="clear" w:color="auto" w:fill="FFFFFF"/>
            <w:vAlign w:val="bottom"/>
          </w:tcPr>
          <w:p w14:paraId="12021FA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7685EDC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1134" w:type="dxa"/>
            <w:tcBorders>
              <w:top w:val="nil"/>
              <w:left w:val="nil"/>
              <w:bottom w:val="nil"/>
              <w:right w:val="nil"/>
            </w:tcBorders>
            <w:shd w:val="clear" w:color="auto" w:fill="FFFFFF"/>
            <w:vAlign w:val="bottom"/>
          </w:tcPr>
          <w:p w14:paraId="0B0126B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1134" w:type="dxa"/>
            <w:tcBorders>
              <w:top w:val="nil"/>
              <w:left w:val="nil"/>
              <w:bottom w:val="nil"/>
              <w:right w:val="nil"/>
            </w:tcBorders>
            <w:shd w:val="clear" w:color="auto" w:fill="FFFFFF"/>
            <w:vAlign w:val="bottom"/>
          </w:tcPr>
          <w:p w14:paraId="463738E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4,202</w:t>
            </w:r>
          </w:p>
        </w:tc>
      </w:tr>
      <w:tr w:rsidR="002E375F" w14:paraId="535E229B" w14:textId="77777777">
        <w:tc>
          <w:tcPr>
            <w:tcW w:w="7835" w:type="dxa"/>
            <w:tcBorders>
              <w:top w:val="nil"/>
              <w:left w:val="nil"/>
              <w:bottom w:val="nil"/>
              <w:right w:val="nil"/>
            </w:tcBorders>
            <w:shd w:val="clear" w:color="auto" w:fill="FFFFFF"/>
            <w:vAlign w:val="bottom"/>
          </w:tcPr>
          <w:p w14:paraId="1A7BE5E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Property, plant and equipment</w:t>
            </w:r>
          </w:p>
        </w:tc>
        <w:tc>
          <w:tcPr>
            <w:tcW w:w="964" w:type="dxa"/>
            <w:tcBorders>
              <w:top w:val="nil"/>
              <w:left w:val="nil"/>
              <w:bottom w:val="nil"/>
              <w:right w:val="nil"/>
            </w:tcBorders>
            <w:shd w:val="clear" w:color="auto" w:fill="FFFFFF"/>
            <w:vAlign w:val="bottom"/>
          </w:tcPr>
          <w:p w14:paraId="1E2F942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169,948</w:t>
            </w:r>
          </w:p>
        </w:tc>
        <w:tc>
          <w:tcPr>
            <w:tcW w:w="964" w:type="dxa"/>
            <w:tcBorders>
              <w:top w:val="nil"/>
              <w:left w:val="nil"/>
              <w:bottom w:val="nil"/>
              <w:right w:val="nil"/>
            </w:tcBorders>
            <w:shd w:val="clear" w:color="auto" w:fill="FFFFFF"/>
            <w:vAlign w:val="bottom"/>
          </w:tcPr>
          <w:p w14:paraId="22536FB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167,919</w:t>
            </w:r>
          </w:p>
        </w:tc>
        <w:tc>
          <w:tcPr>
            <w:tcW w:w="964" w:type="dxa"/>
            <w:tcBorders>
              <w:top w:val="nil"/>
              <w:left w:val="nil"/>
              <w:bottom w:val="nil"/>
              <w:right w:val="nil"/>
            </w:tcBorders>
            <w:shd w:val="clear" w:color="auto" w:fill="FFFFFF"/>
            <w:vAlign w:val="bottom"/>
          </w:tcPr>
          <w:p w14:paraId="75F1874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113,977</w:t>
            </w:r>
          </w:p>
        </w:tc>
        <w:tc>
          <w:tcPr>
            <w:tcW w:w="964" w:type="dxa"/>
            <w:tcBorders>
              <w:top w:val="nil"/>
              <w:left w:val="nil"/>
              <w:bottom w:val="nil"/>
              <w:right w:val="nil"/>
            </w:tcBorders>
            <w:shd w:val="clear" w:color="auto" w:fill="FFFFFF"/>
            <w:vAlign w:val="bottom"/>
          </w:tcPr>
          <w:p w14:paraId="4DDEEFA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108,526</w:t>
            </w:r>
          </w:p>
        </w:tc>
        <w:tc>
          <w:tcPr>
            <w:tcW w:w="1134" w:type="dxa"/>
            <w:tcBorders>
              <w:top w:val="nil"/>
              <w:left w:val="nil"/>
              <w:bottom w:val="nil"/>
              <w:right w:val="nil"/>
            </w:tcBorders>
            <w:shd w:val="clear" w:color="auto" w:fill="FFFFFF"/>
            <w:vAlign w:val="bottom"/>
          </w:tcPr>
          <w:p w14:paraId="7C9BC8A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283,925</w:t>
            </w:r>
          </w:p>
        </w:tc>
        <w:tc>
          <w:tcPr>
            <w:tcW w:w="1134" w:type="dxa"/>
            <w:tcBorders>
              <w:top w:val="nil"/>
              <w:left w:val="nil"/>
              <w:bottom w:val="nil"/>
              <w:right w:val="nil"/>
            </w:tcBorders>
            <w:shd w:val="clear" w:color="auto" w:fill="FFFFFF"/>
            <w:vAlign w:val="bottom"/>
          </w:tcPr>
          <w:p w14:paraId="7F6EA93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276,445</w:t>
            </w:r>
          </w:p>
        </w:tc>
      </w:tr>
      <w:tr w:rsidR="002E375F" w14:paraId="1EF15CD6" w14:textId="77777777">
        <w:tc>
          <w:tcPr>
            <w:tcW w:w="7835" w:type="dxa"/>
            <w:tcBorders>
              <w:top w:val="nil"/>
              <w:left w:val="nil"/>
              <w:bottom w:val="nil"/>
              <w:right w:val="nil"/>
            </w:tcBorders>
            <w:shd w:val="clear" w:color="auto" w:fill="FFFFFF"/>
            <w:vAlign w:val="bottom"/>
          </w:tcPr>
          <w:p w14:paraId="5D6271B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Intangibles</w:t>
            </w:r>
          </w:p>
        </w:tc>
        <w:tc>
          <w:tcPr>
            <w:tcW w:w="964" w:type="dxa"/>
            <w:tcBorders>
              <w:top w:val="nil"/>
              <w:left w:val="nil"/>
              <w:bottom w:val="nil"/>
              <w:right w:val="nil"/>
            </w:tcBorders>
            <w:shd w:val="clear" w:color="auto" w:fill="FFFFFF"/>
            <w:vAlign w:val="bottom"/>
          </w:tcPr>
          <w:p w14:paraId="24B2734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1,086</w:t>
            </w:r>
          </w:p>
        </w:tc>
        <w:tc>
          <w:tcPr>
            <w:tcW w:w="964" w:type="dxa"/>
            <w:tcBorders>
              <w:top w:val="nil"/>
              <w:left w:val="nil"/>
              <w:bottom w:val="nil"/>
              <w:right w:val="nil"/>
            </w:tcBorders>
            <w:shd w:val="clear" w:color="auto" w:fill="FFFFFF"/>
            <w:vAlign w:val="bottom"/>
          </w:tcPr>
          <w:p w14:paraId="6CFCF17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54</w:t>
            </w:r>
          </w:p>
        </w:tc>
        <w:tc>
          <w:tcPr>
            <w:tcW w:w="964" w:type="dxa"/>
            <w:tcBorders>
              <w:top w:val="nil"/>
              <w:left w:val="nil"/>
              <w:bottom w:val="nil"/>
              <w:right w:val="nil"/>
            </w:tcBorders>
            <w:shd w:val="clear" w:color="auto" w:fill="FFFFFF"/>
            <w:vAlign w:val="bottom"/>
          </w:tcPr>
          <w:p w14:paraId="3EC81C1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2,140</w:t>
            </w:r>
          </w:p>
        </w:tc>
        <w:tc>
          <w:tcPr>
            <w:tcW w:w="964" w:type="dxa"/>
            <w:tcBorders>
              <w:top w:val="nil"/>
              <w:left w:val="nil"/>
              <w:bottom w:val="nil"/>
              <w:right w:val="nil"/>
            </w:tcBorders>
            <w:shd w:val="clear" w:color="auto" w:fill="FFFFFF"/>
            <w:vAlign w:val="bottom"/>
          </w:tcPr>
          <w:p w14:paraId="1DE9E76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2,502</w:t>
            </w:r>
          </w:p>
        </w:tc>
        <w:tc>
          <w:tcPr>
            <w:tcW w:w="1134" w:type="dxa"/>
            <w:tcBorders>
              <w:top w:val="nil"/>
              <w:left w:val="nil"/>
              <w:bottom w:val="nil"/>
              <w:right w:val="nil"/>
            </w:tcBorders>
            <w:shd w:val="clear" w:color="auto" w:fill="FFFFFF"/>
            <w:vAlign w:val="bottom"/>
          </w:tcPr>
          <w:p w14:paraId="316061B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3,226</w:t>
            </w:r>
          </w:p>
        </w:tc>
        <w:tc>
          <w:tcPr>
            <w:tcW w:w="1134" w:type="dxa"/>
            <w:tcBorders>
              <w:top w:val="nil"/>
              <w:left w:val="nil"/>
              <w:bottom w:val="nil"/>
              <w:right w:val="nil"/>
            </w:tcBorders>
            <w:shd w:val="clear" w:color="auto" w:fill="FFFFFF"/>
            <w:vAlign w:val="bottom"/>
          </w:tcPr>
          <w:p w14:paraId="5990B15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2,556</w:t>
            </w:r>
          </w:p>
        </w:tc>
      </w:tr>
      <w:tr w:rsidR="002E375F" w14:paraId="76D7140C" w14:textId="77777777">
        <w:tc>
          <w:tcPr>
            <w:tcW w:w="7835" w:type="dxa"/>
            <w:tcBorders>
              <w:top w:val="nil"/>
              <w:left w:val="nil"/>
              <w:bottom w:val="nil"/>
              <w:right w:val="nil"/>
            </w:tcBorders>
            <w:shd w:val="clear" w:color="auto" w:fill="FFFFFF"/>
            <w:vAlign w:val="bottom"/>
          </w:tcPr>
          <w:p w14:paraId="2C83309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Right-of-use assets</w:t>
            </w:r>
          </w:p>
        </w:tc>
        <w:tc>
          <w:tcPr>
            <w:tcW w:w="964" w:type="dxa"/>
            <w:tcBorders>
              <w:top w:val="nil"/>
              <w:left w:val="nil"/>
              <w:bottom w:val="single" w:sz="2" w:space="0" w:color="auto"/>
              <w:right w:val="nil"/>
            </w:tcBorders>
            <w:shd w:val="clear" w:color="auto" w:fill="FFFFFF"/>
            <w:vAlign w:val="bottom"/>
          </w:tcPr>
          <w:p w14:paraId="3FED040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02C13AB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49F6701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51</w:t>
            </w:r>
          </w:p>
        </w:tc>
        <w:tc>
          <w:tcPr>
            <w:tcW w:w="964" w:type="dxa"/>
            <w:tcBorders>
              <w:top w:val="nil"/>
              <w:left w:val="nil"/>
              <w:bottom w:val="single" w:sz="2" w:space="0" w:color="auto"/>
              <w:right w:val="nil"/>
            </w:tcBorders>
            <w:shd w:val="clear" w:color="auto" w:fill="FFFFFF"/>
            <w:vAlign w:val="bottom"/>
          </w:tcPr>
          <w:p w14:paraId="0E364A7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1134" w:type="dxa"/>
            <w:tcBorders>
              <w:top w:val="nil"/>
              <w:left w:val="nil"/>
              <w:bottom w:val="single" w:sz="2" w:space="0" w:color="auto"/>
              <w:right w:val="nil"/>
            </w:tcBorders>
            <w:shd w:val="clear" w:color="auto" w:fill="FFFFFF"/>
            <w:vAlign w:val="bottom"/>
          </w:tcPr>
          <w:p w14:paraId="53D3A59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51</w:t>
            </w:r>
          </w:p>
        </w:tc>
        <w:tc>
          <w:tcPr>
            <w:tcW w:w="1134" w:type="dxa"/>
            <w:tcBorders>
              <w:top w:val="nil"/>
              <w:left w:val="nil"/>
              <w:bottom w:val="single" w:sz="2" w:space="0" w:color="auto"/>
              <w:right w:val="nil"/>
            </w:tcBorders>
            <w:shd w:val="clear" w:color="auto" w:fill="FFFFFF"/>
            <w:vAlign w:val="bottom"/>
          </w:tcPr>
          <w:p w14:paraId="7984CDC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5033E22F" w14:textId="77777777">
        <w:tc>
          <w:tcPr>
            <w:tcW w:w="7835" w:type="dxa"/>
            <w:tcBorders>
              <w:top w:val="nil"/>
              <w:left w:val="nil"/>
              <w:bottom w:val="nil"/>
              <w:right w:val="nil"/>
            </w:tcBorders>
            <w:shd w:val="clear" w:color="auto" w:fill="FFFFFF"/>
            <w:vAlign w:val="bottom"/>
          </w:tcPr>
          <w:p w14:paraId="3428F89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Non-Current Assets</w:t>
            </w:r>
          </w:p>
        </w:tc>
        <w:tc>
          <w:tcPr>
            <w:tcW w:w="964" w:type="dxa"/>
            <w:tcBorders>
              <w:top w:val="nil"/>
              <w:left w:val="nil"/>
              <w:bottom w:val="single" w:sz="2" w:space="0" w:color="auto"/>
              <w:right w:val="nil"/>
            </w:tcBorders>
            <w:shd w:val="clear" w:color="auto" w:fill="FFFFFF"/>
            <w:vAlign w:val="bottom"/>
          </w:tcPr>
          <w:p w14:paraId="22D55F7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171,034</w:t>
            </w:r>
          </w:p>
        </w:tc>
        <w:tc>
          <w:tcPr>
            <w:tcW w:w="964" w:type="dxa"/>
            <w:tcBorders>
              <w:top w:val="nil"/>
              <w:left w:val="nil"/>
              <w:bottom w:val="single" w:sz="2" w:space="0" w:color="auto"/>
              <w:right w:val="nil"/>
            </w:tcBorders>
            <w:shd w:val="clear" w:color="auto" w:fill="FFFFFF"/>
            <w:vAlign w:val="bottom"/>
          </w:tcPr>
          <w:p w14:paraId="6EBB60C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172,175</w:t>
            </w:r>
          </w:p>
        </w:tc>
        <w:tc>
          <w:tcPr>
            <w:tcW w:w="964" w:type="dxa"/>
            <w:tcBorders>
              <w:top w:val="nil"/>
              <w:left w:val="nil"/>
              <w:bottom w:val="single" w:sz="2" w:space="0" w:color="auto"/>
              <w:right w:val="nil"/>
            </w:tcBorders>
            <w:shd w:val="clear" w:color="auto" w:fill="FFFFFF"/>
            <w:vAlign w:val="bottom"/>
          </w:tcPr>
          <w:p w14:paraId="257D376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116,168</w:t>
            </w:r>
          </w:p>
        </w:tc>
        <w:tc>
          <w:tcPr>
            <w:tcW w:w="964" w:type="dxa"/>
            <w:tcBorders>
              <w:top w:val="nil"/>
              <w:left w:val="nil"/>
              <w:bottom w:val="single" w:sz="2" w:space="0" w:color="auto"/>
              <w:right w:val="nil"/>
            </w:tcBorders>
            <w:shd w:val="clear" w:color="auto" w:fill="FFFFFF"/>
            <w:vAlign w:val="bottom"/>
          </w:tcPr>
          <w:p w14:paraId="4FC3DE7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111,028</w:t>
            </w:r>
          </w:p>
        </w:tc>
        <w:tc>
          <w:tcPr>
            <w:tcW w:w="1134" w:type="dxa"/>
            <w:tcBorders>
              <w:top w:val="nil"/>
              <w:left w:val="nil"/>
              <w:bottom w:val="single" w:sz="2" w:space="0" w:color="auto"/>
              <w:right w:val="nil"/>
            </w:tcBorders>
            <w:shd w:val="clear" w:color="auto" w:fill="FFFFFF"/>
            <w:vAlign w:val="bottom"/>
          </w:tcPr>
          <w:p w14:paraId="283A1F7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287,202</w:t>
            </w:r>
          </w:p>
        </w:tc>
        <w:tc>
          <w:tcPr>
            <w:tcW w:w="1134" w:type="dxa"/>
            <w:tcBorders>
              <w:top w:val="nil"/>
              <w:left w:val="nil"/>
              <w:bottom w:val="single" w:sz="2" w:space="0" w:color="auto"/>
              <w:right w:val="nil"/>
            </w:tcBorders>
            <w:shd w:val="clear" w:color="auto" w:fill="FFFFFF"/>
            <w:vAlign w:val="bottom"/>
          </w:tcPr>
          <w:p w14:paraId="58D721A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283,203</w:t>
            </w:r>
          </w:p>
        </w:tc>
      </w:tr>
      <w:tr w:rsidR="002E375F" w14:paraId="1F96ADD5" w14:textId="77777777">
        <w:tc>
          <w:tcPr>
            <w:tcW w:w="7835" w:type="dxa"/>
            <w:tcBorders>
              <w:top w:val="nil"/>
              <w:left w:val="nil"/>
              <w:bottom w:val="nil"/>
              <w:right w:val="nil"/>
            </w:tcBorders>
            <w:shd w:val="clear" w:color="auto" w:fill="FFFFFF"/>
            <w:vAlign w:val="bottom"/>
          </w:tcPr>
          <w:p w14:paraId="7178F3F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Assets</w:t>
            </w:r>
          </w:p>
        </w:tc>
        <w:tc>
          <w:tcPr>
            <w:tcW w:w="964" w:type="dxa"/>
            <w:tcBorders>
              <w:top w:val="nil"/>
              <w:left w:val="nil"/>
              <w:bottom w:val="single" w:sz="2" w:space="0" w:color="auto"/>
              <w:right w:val="nil"/>
            </w:tcBorders>
            <w:shd w:val="clear" w:color="auto" w:fill="FFFFFF"/>
            <w:vAlign w:val="bottom"/>
          </w:tcPr>
          <w:p w14:paraId="48347B9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221,101</w:t>
            </w:r>
          </w:p>
        </w:tc>
        <w:tc>
          <w:tcPr>
            <w:tcW w:w="964" w:type="dxa"/>
            <w:tcBorders>
              <w:top w:val="nil"/>
              <w:left w:val="nil"/>
              <w:bottom w:val="single" w:sz="2" w:space="0" w:color="auto"/>
              <w:right w:val="nil"/>
            </w:tcBorders>
            <w:shd w:val="clear" w:color="auto" w:fill="FFFFFF"/>
            <w:vAlign w:val="bottom"/>
          </w:tcPr>
          <w:p w14:paraId="2075109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268,021</w:t>
            </w:r>
          </w:p>
        </w:tc>
        <w:tc>
          <w:tcPr>
            <w:tcW w:w="964" w:type="dxa"/>
            <w:tcBorders>
              <w:top w:val="nil"/>
              <w:left w:val="nil"/>
              <w:bottom w:val="single" w:sz="2" w:space="0" w:color="auto"/>
              <w:right w:val="nil"/>
            </w:tcBorders>
            <w:shd w:val="clear" w:color="auto" w:fill="FFFFFF"/>
            <w:vAlign w:val="bottom"/>
          </w:tcPr>
          <w:p w14:paraId="4609489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145,360</w:t>
            </w:r>
          </w:p>
        </w:tc>
        <w:tc>
          <w:tcPr>
            <w:tcW w:w="964" w:type="dxa"/>
            <w:tcBorders>
              <w:top w:val="nil"/>
              <w:left w:val="nil"/>
              <w:bottom w:val="single" w:sz="2" w:space="0" w:color="auto"/>
              <w:right w:val="nil"/>
            </w:tcBorders>
            <w:shd w:val="clear" w:color="auto" w:fill="FFFFFF"/>
            <w:vAlign w:val="bottom"/>
          </w:tcPr>
          <w:p w14:paraId="6D31BDD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122,623</w:t>
            </w:r>
          </w:p>
        </w:tc>
        <w:tc>
          <w:tcPr>
            <w:tcW w:w="1134" w:type="dxa"/>
            <w:tcBorders>
              <w:top w:val="nil"/>
              <w:left w:val="nil"/>
              <w:bottom w:val="single" w:sz="2" w:space="0" w:color="auto"/>
              <w:right w:val="nil"/>
            </w:tcBorders>
            <w:shd w:val="clear" w:color="auto" w:fill="FFFFFF"/>
            <w:vAlign w:val="bottom"/>
          </w:tcPr>
          <w:p w14:paraId="284DA34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366,461</w:t>
            </w:r>
          </w:p>
        </w:tc>
        <w:tc>
          <w:tcPr>
            <w:tcW w:w="1134" w:type="dxa"/>
            <w:tcBorders>
              <w:top w:val="nil"/>
              <w:left w:val="nil"/>
              <w:bottom w:val="single" w:sz="2" w:space="0" w:color="auto"/>
              <w:right w:val="nil"/>
            </w:tcBorders>
            <w:shd w:val="clear" w:color="auto" w:fill="FFFFFF"/>
            <w:vAlign w:val="bottom"/>
          </w:tcPr>
          <w:p w14:paraId="457E768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390,644</w:t>
            </w:r>
          </w:p>
        </w:tc>
      </w:tr>
      <w:tr w:rsidR="002E375F" w14:paraId="103CD638" w14:textId="77777777">
        <w:tc>
          <w:tcPr>
            <w:tcW w:w="7835" w:type="dxa"/>
            <w:tcBorders>
              <w:top w:val="nil"/>
              <w:left w:val="nil"/>
              <w:bottom w:val="nil"/>
              <w:right w:val="nil"/>
            </w:tcBorders>
            <w:shd w:val="clear" w:color="auto" w:fill="FFFFFF"/>
            <w:vAlign w:val="bottom"/>
          </w:tcPr>
          <w:p w14:paraId="7297771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Current Liabilities</w:t>
            </w:r>
          </w:p>
        </w:tc>
        <w:tc>
          <w:tcPr>
            <w:tcW w:w="964" w:type="dxa"/>
            <w:tcBorders>
              <w:top w:val="nil"/>
              <w:left w:val="nil"/>
              <w:bottom w:val="nil"/>
              <w:right w:val="nil"/>
            </w:tcBorders>
            <w:shd w:val="clear" w:color="auto" w:fill="FFFFFF"/>
            <w:vAlign w:val="bottom"/>
          </w:tcPr>
          <w:p w14:paraId="37C11F8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6E333E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54B88D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DCDDBCD"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vAlign w:val="bottom"/>
          </w:tcPr>
          <w:p w14:paraId="6D7621A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vAlign w:val="bottom"/>
          </w:tcPr>
          <w:p w14:paraId="67F72B1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379392FB" w14:textId="77777777">
        <w:tc>
          <w:tcPr>
            <w:tcW w:w="7835" w:type="dxa"/>
            <w:tcBorders>
              <w:top w:val="nil"/>
              <w:left w:val="nil"/>
              <w:bottom w:val="nil"/>
              <w:right w:val="nil"/>
            </w:tcBorders>
            <w:shd w:val="clear" w:color="auto" w:fill="FFFFFF"/>
            <w:vAlign w:val="bottom"/>
          </w:tcPr>
          <w:p w14:paraId="08F2D30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Payables</w:t>
            </w:r>
          </w:p>
        </w:tc>
        <w:tc>
          <w:tcPr>
            <w:tcW w:w="964" w:type="dxa"/>
            <w:tcBorders>
              <w:top w:val="nil"/>
              <w:left w:val="nil"/>
              <w:bottom w:val="nil"/>
              <w:right w:val="nil"/>
            </w:tcBorders>
            <w:shd w:val="clear" w:color="auto" w:fill="FFFFFF"/>
            <w:vAlign w:val="bottom"/>
          </w:tcPr>
          <w:p w14:paraId="66974FB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14,252</w:t>
            </w:r>
          </w:p>
        </w:tc>
        <w:tc>
          <w:tcPr>
            <w:tcW w:w="964" w:type="dxa"/>
            <w:tcBorders>
              <w:top w:val="nil"/>
              <w:left w:val="nil"/>
              <w:bottom w:val="nil"/>
              <w:right w:val="nil"/>
            </w:tcBorders>
            <w:shd w:val="clear" w:color="auto" w:fill="FFFFFF"/>
            <w:vAlign w:val="bottom"/>
          </w:tcPr>
          <w:p w14:paraId="55DB2AC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22,951</w:t>
            </w:r>
          </w:p>
        </w:tc>
        <w:tc>
          <w:tcPr>
            <w:tcW w:w="964" w:type="dxa"/>
            <w:tcBorders>
              <w:top w:val="nil"/>
              <w:left w:val="nil"/>
              <w:bottom w:val="nil"/>
              <w:right w:val="nil"/>
            </w:tcBorders>
            <w:shd w:val="clear" w:color="auto" w:fill="FFFFFF"/>
            <w:vAlign w:val="bottom"/>
          </w:tcPr>
          <w:p w14:paraId="5405E13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18,347</w:t>
            </w:r>
          </w:p>
        </w:tc>
        <w:tc>
          <w:tcPr>
            <w:tcW w:w="964" w:type="dxa"/>
            <w:tcBorders>
              <w:top w:val="nil"/>
              <w:left w:val="nil"/>
              <w:bottom w:val="nil"/>
              <w:right w:val="nil"/>
            </w:tcBorders>
            <w:shd w:val="clear" w:color="auto" w:fill="FFFFFF"/>
            <w:vAlign w:val="bottom"/>
          </w:tcPr>
          <w:p w14:paraId="009D3C7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7,197</w:t>
            </w:r>
          </w:p>
        </w:tc>
        <w:tc>
          <w:tcPr>
            <w:tcW w:w="1134" w:type="dxa"/>
            <w:tcBorders>
              <w:top w:val="nil"/>
              <w:left w:val="nil"/>
              <w:bottom w:val="nil"/>
              <w:right w:val="nil"/>
            </w:tcBorders>
            <w:shd w:val="clear" w:color="auto" w:fill="FFFFFF"/>
            <w:vAlign w:val="bottom"/>
          </w:tcPr>
          <w:p w14:paraId="2B2674E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32,599</w:t>
            </w:r>
          </w:p>
        </w:tc>
        <w:tc>
          <w:tcPr>
            <w:tcW w:w="1134" w:type="dxa"/>
            <w:tcBorders>
              <w:top w:val="nil"/>
              <w:left w:val="nil"/>
              <w:bottom w:val="nil"/>
              <w:right w:val="nil"/>
            </w:tcBorders>
            <w:shd w:val="clear" w:color="auto" w:fill="FFFFFF"/>
            <w:vAlign w:val="bottom"/>
          </w:tcPr>
          <w:p w14:paraId="7D5EC40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30,148</w:t>
            </w:r>
          </w:p>
        </w:tc>
      </w:tr>
      <w:tr w:rsidR="002E375F" w14:paraId="6D2A2A6A" w14:textId="77777777">
        <w:tc>
          <w:tcPr>
            <w:tcW w:w="7835" w:type="dxa"/>
            <w:tcBorders>
              <w:top w:val="nil"/>
              <w:left w:val="nil"/>
              <w:bottom w:val="nil"/>
              <w:right w:val="nil"/>
            </w:tcBorders>
            <w:shd w:val="clear" w:color="auto" w:fill="FFFFFF"/>
            <w:vAlign w:val="bottom"/>
          </w:tcPr>
          <w:p w14:paraId="337A733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Accrued employee benefits</w:t>
            </w:r>
          </w:p>
        </w:tc>
        <w:tc>
          <w:tcPr>
            <w:tcW w:w="964" w:type="dxa"/>
            <w:tcBorders>
              <w:top w:val="nil"/>
              <w:left w:val="nil"/>
              <w:bottom w:val="nil"/>
              <w:right w:val="nil"/>
            </w:tcBorders>
            <w:shd w:val="clear" w:color="auto" w:fill="FFFFFF"/>
            <w:vAlign w:val="bottom"/>
          </w:tcPr>
          <w:p w14:paraId="7BA3ACA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6,896</w:t>
            </w:r>
          </w:p>
        </w:tc>
        <w:tc>
          <w:tcPr>
            <w:tcW w:w="964" w:type="dxa"/>
            <w:tcBorders>
              <w:top w:val="nil"/>
              <w:left w:val="nil"/>
              <w:bottom w:val="nil"/>
              <w:right w:val="nil"/>
            </w:tcBorders>
            <w:shd w:val="clear" w:color="auto" w:fill="FFFFFF"/>
            <w:vAlign w:val="bottom"/>
          </w:tcPr>
          <w:p w14:paraId="51232CB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22,487</w:t>
            </w:r>
          </w:p>
        </w:tc>
        <w:tc>
          <w:tcPr>
            <w:tcW w:w="964" w:type="dxa"/>
            <w:tcBorders>
              <w:top w:val="nil"/>
              <w:left w:val="nil"/>
              <w:bottom w:val="nil"/>
              <w:right w:val="nil"/>
            </w:tcBorders>
            <w:shd w:val="clear" w:color="auto" w:fill="FFFFFF"/>
            <w:vAlign w:val="bottom"/>
          </w:tcPr>
          <w:p w14:paraId="4D76CB7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723</w:t>
            </w:r>
          </w:p>
        </w:tc>
        <w:tc>
          <w:tcPr>
            <w:tcW w:w="964" w:type="dxa"/>
            <w:tcBorders>
              <w:top w:val="nil"/>
              <w:left w:val="nil"/>
              <w:bottom w:val="nil"/>
              <w:right w:val="nil"/>
            </w:tcBorders>
            <w:shd w:val="clear" w:color="auto" w:fill="FFFFFF"/>
            <w:vAlign w:val="bottom"/>
          </w:tcPr>
          <w:p w14:paraId="6169229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1,210</w:t>
            </w:r>
          </w:p>
        </w:tc>
        <w:tc>
          <w:tcPr>
            <w:tcW w:w="1134" w:type="dxa"/>
            <w:tcBorders>
              <w:top w:val="nil"/>
              <w:left w:val="nil"/>
              <w:bottom w:val="nil"/>
              <w:right w:val="nil"/>
            </w:tcBorders>
            <w:shd w:val="clear" w:color="auto" w:fill="FFFFFF"/>
            <w:vAlign w:val="bottom"/>
          </w:tcPr>
          <w:p w14:paraId="196022A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7,619</w:t>
            </w:r>
          </w:p>
        </w:tc>
        <w:tc>
          <w:tcPr>
            <w:tcW w:w="1134" w:type="dxa"/>
            <w:tcBorders>
              <w:top w:val="nil"/>
              <w:left w:val="nil"/>
              <w:bottom w:val="nil"/>
              <w:right w:val="nil"/>
            </w:tcBorders>
            <w:shd w:val="clear" w:color="auto" w:fill="FFFFFF"/>
            <w:vAlign w:val="bottom"/>
          </w:tcPr>
          <w:p w14:paraId="181EB59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23,697</w:t>
            </w:r>
          </w:p>
        </w:tc>
      </w:tr>
      <w:tr w:rsidR="002E375F" w14:paraId="625D7E54" w14:textId="77777777">
        <w:tc>
          <w:tcPr>
            <w:tcW w:w="7835" w:type="dxa"/>
            <w:tcBorders>
              <w:top w:val="nil"/>
              <w:left w:val="nil"/>
              <w:bottom w:val="nil"/>
              <w:right w:val="nil"/>
            </w:tcBorders>
            <w:shd w:val="clear" w:color="auto" w:fill="FFFFFF"/>
            <w:vAlign w:val="bottom"/>
          </w:tcPr>
          <w:p w14:paraId="05AA114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Provisions</w:t>
            </w:r>
          </w:p>
        </w:tc>
        <w:tc>
          <w:tcPr>
            <w:tcW w:w="964" w:type="dxa"/>
            <w:tcBorders>
              <w:top w:val="nil"/>
              <w:left w:val="nil"/>
              <w:bottom w:val="nil"/>
              <w:right w:val="nil"/>
            </w:tcBorders>
            <w:shd w:val="clear" w:color="auto" w:fill="FFFFFF"/>
            <w:vAlign w:val="bottom"/>
          </w:tcPr>
          <w:p w14:paraId="6866AD4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343</w:t>
            </w:r>
          </w:p>
        </w:tc>
        <w:tc>
          <w:tcPr>
            <w:tcW w:w="964" w:type="dxa"/>
            <w:tcBorders>
              <w:top w:val="nil"/>
              <w:left w:val="nil"/>
              <w:bottom w:val="nil"/>
              <w:right w:val="nil"/>
            </w:tcBorders>
            <w:shd w:val="clear" w:color="auto" w:fill="FFFFFF"/>
            <w:vAlign w:val="bottom"/>
          </w:tcPr>
          <w:p w14:paraId="46129C1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1,865</w:t>
            </w:r>
          </w:p>
        </w:tc>
        <w:tc>
          <w:tcPr>
            <w:tcW w:w="964" w:type="dxa"/>
            <w:tcBorders>
              <w:top w:val="nil"/>
              <w:left w:val="nil"/>
              <w:bottom w:val="nil"/>
              <w:right w:val="nil"/>
            </w:tcBorders>
            <w:shd w:val="clear" w:color="auto" w:fill="FFFFFF"/>
            <w:vAlign w:val="bottom"/>
          </w:tcPr>
          <w:p w14:paraId="52FAFEA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2,158</w:t>
            </w:r>
          </w:p>
        </w:tc>
        <w:tc>
          <w:tcPr>
            <w:tcW w:w="964" w:type="dxa"/>
            <w:tcBorders>
              <w:top w:val="nil"/>
              <w:left w:val="nil"/>
              <w:bottom w:val="nil"/>
              <w:right w:val="nil"/>
            </w:tcBorders>
            <w:shd w:val="clear" w:color="auto" w:fill="FFFFFF"/>
            <w:vAlign w:val="bottom"/>
          </w:tcPr>
          <w:p w14:paraId="02079CB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2,280</w:t>
            </w:r>
          </w:p>
        </w:tc>
        <w:tc>
          <w:tcPr>
            <w:tcW w:w="1134" w:type="dxa"/>
            <w:tcBorders>
              <w:top w:val="nil"/>
              <w:left w:val="nil"/>
              <w:bottom w:val="nil"/>
              <w:right w:val="nil"/>
            </w:tcBorders>
            <w:shd w:val="clear" w:color="auto" w:fill="FFFFFF"/>
            <w:vAlign w:val="bottom"/>
          </w:tcPr>
          <w:p w14:paraId="7913E8B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2,501</w:t>
            </w:r>
          </w:p>
        </w:tc>
        <w:tc>
          <w:tcPr>
            <w:tcW w:w="1134" w:type="dxa"/>
            <w:tcBorders>
              <w:top w:val="nil"/>
              <w:left w:val="nil"/>
              <w:bottom w:val="nil"/>
              <w:right w:val="nil"/>
            </w:tcBorders>
            <w:shd w:val="clear" w:color="auto" w:fill="FFFFFF"/>
            <w:vAlign w:val="bottom"/>
          </w:tcPr>
          <w:p w14:paraId="0BD4160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4,145</w:t>
            </w:r>
          </w:p>
        </w:tc>
      </w:tr>
      <w:tr w:rsidR="002E375F" w14:paraId="36DF2C27" w14:textId="77777777">
        <w:tc>
          <w:tcPr>
            <w:tcW w:w="7835" w:type="dxa"/>
            <w:tcBorders>
              <w:top w:val="nil"/>
              <w:left w:val="nil"/>
              <w:bottom w:val="nil"/>
              <w:right w:val="nil"/>
            </w:tcBorders>
            <w:shd w:val="clear" w:color="auto" w:fill="FFFFFF"/>
            <w:vAlign w:val="bottom"/>
          </w:tcPr>
          <w:p w14:paraId="37C4456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 current liabilities</w:t>
            </w:r>
          </w:p>
        </w:tc>
        <w:tc>
          <w:tcPr>
            <w:tcW w:w="964" w:type="dxa"/>
            <w:tcBorders>
              <w:top w:val="nil"/>
              <w:left w:val="nil"/>
              <w:bottom w:val="nil"/>
              <w:right w:val="nil"/>
            </w:tcBorders>
            <w:shd w:val="clear" w:color="auto" w:fill="FFFFFF"/>
            <w:vAlign w:val="bottom"/>
          </w:tcPr>
          <w:p w14:paraId="7FA7D8B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65328D5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12,988</w:t>
            </w:r>
          </w:p>
        </w:tc>
        <w:tc>
          <w:tcPr>
            <w:tcW w:w="964" w:type="dxa"/>
            <w:tcBorders>
              <w:top w:val="nil"/>
              <w:left w:val="nil"/>
              <w:bottom w:val="nil"/>
              <w:right w:val="nil"/>
            </w:tcBorders>
            <w:shd w:val="clear" w:color="auto" w:fill="FFFFFF"/>
            <w:vAlign w:val="bottom"/>
          </w:tcPr>
          <w:p w14:paraId="5F655C4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4E9224E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21</w:t>
            </w:r>
          </w:p>
        </w:tc>
        <w:tc>
          <w:tcPr>
            <w:tcW w:w="1134" w:type="dxa"/>
            <w:tcBorders>
              <w:top w:val="nil"/>
              <w:left w:val="nil"/>
              <w:bottom w:val="nil"/>
              <w:right w:val="nil"/>
            </w:tcBorders>
            <w:shd w:val="clear" w:color="auto" w:fill="FFFFFF"/>
            <w:vAlign w:val="bottom"/>
          </w:tcPr>
          <w:p w14:paraId="579E773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1134" w:type="dxa"/>
            <w:tcBorders>
              <w:top w:val="nil"/>
              <w:left w:val="nil"/>
              <w:bottom w:val="nil"/>
              <w:right w:val="nil"/>
            </w:tcBorders>
            <w:shd w:val="clear" w:color="auto" w:fill="FFFFFF"/>
            <w:vAlign w:val="bottom"/>
          </w:tcPr>
          <w:p w14:paraId="7550C69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13,009</w:t>
            </w:r>
          </w:p>
        </w:tc>
      </w:tr>
      <w:tr w:rsidR="002E375F" w14:paraId="4A9E2CA6" w14:textId="77777777">
        <w:tc>
          <w:tcPr>
            <w:tcW w:w="7835" w:type="dxa"/>
            <w:tcBorders>
              <w:top w:val="nil"/>
              <w:left w:val="nil"/>
              <w:bottom w:val="nil"/>
              <w:right w:val="nil"/>
            </w:tcBorders>
            <w:shd w:val="clear" w:color="auto" w:fill="FFFFFF"/>
            <w:vAlign w:val="bottom"/>
          </w:tcPr>
          <w:p w14:paraId="2AADAEE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Lease liabilities</w:t>
            </w:r>
          </w:p>
        </w:tc>
        <w:tc>
          <w:tcPr>
            <w:tcW w:w="964" w:type="dxa"/>
            <w:tcBorders>
              <w:top w:val="nil"/>
              <w:left w:val="nil"/>
              <w:bottom w:val="single" w:sz="2" w:space="0" w:color="auto"/>
              <w:right w:val="nil"/>
            </w:tcBorders>
            <w:shd w:val="clear" w:color="auto" w:fill="FFFFFF"/>
            <w:vAlign w:val="bottom"/>
          </w:tcPr>
          <w:p w14:paraId="641BD2D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1A749D2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06BCF41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51</w:t>
            </w:r>
          </w:p>
        </w:tc>
        <w:tc>
          <w:tcPr>
            <w:tcW w:w="964" w:type="dxa"/>
            <w:tcBorders>
              <w:top w:val="nil"/>
              <w:left w:val="nil"/>
              <w:bottom w:val="single" w:sz="2" w:space="0" w:color="auto"/>
              <w:right w:val="nil"/>
            </w:tcBorders>
            <w:shd w:val="clear" w:color="auto" w:fill="FFFFFF"/>
            <w:vAlign w:val="bottom"/>
          </w:tcPr>
          <w:p w14:paraId="19EC44C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1134" w:type="dxa"/>
            <w:tcBorders>
              <w:top w:val="nil"/>
              <w:left w:val="nil"/>
              <w:bottom w:val="single" w:sz="2" w:space="0" w:color="auto"/>
              <w:right w:val="nil"/>
            </w:tcBorders>
            <w:shd w:val="clear" w:color="auto" w:fill="FFFFFF"/>
            <w:vAlign w:val="bottom"/>
          </w:tcPr>
          <w:p w14:paraId="1816A7B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51</w:t>
            </w:r>
          </w:p>
        </w:tc>
        <w:tc>
          <w:tcPr>
            <w:tcW w:w="1134" w:type="dxa"/>
            <w:tcBorders>
              <w:top w:val="nil"/>
              <w:left w:val="nil"/>
              <w:bottom w:val="single" w:sz="2" w:space="0" w:color="auto"/>
              <w:right w:val="nil"/>
            </w:tcBorders>
            <w:shd w:val="clear" w:color="auto" w:fill="FFFFFF"/>
            <w:vAlign w:val="bottom"/>
          </w:tcPr>
          <w:p w14:paraId="382DA84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78111A68" w14:textId="77777777">
        <w:tc>
          <w:tcPr>
            <w:tcW w:w="7835" w:type="dxa"/>
            <w:tcBorders>
              <w:top w:val="nil"/>
              <w:left w:val="nil"/>
              <w:bottom w:val="nil"/>
              <w:right w:val="nil"/>
            </w:tcBorders>
            <w:shd w:val="clear" w:color="auto" w:fill="FFFFFF"/>
            <w:vAlign w:val="bottom"/>
          </w:tcPr>
          <w:p w14:paraId="3123A94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Current Liabilities</w:t>
            </w:r>
          </w:p>
        </w:tc>
        <w:tc>
          <w:tcPr>
            <w:tcW w:w="964" w:type="dxa"/>
            <w:tcBorders>
              <w:top w:val="nil"/>
              <w:left w:val="nil"/>
              <w:bottom w:val="nil"/>
              <w:right w:val="nil"/>
            </w:tcBorders>
            <w:shd w:val="clear" w:color="auto" w:fill="FFFFFF"/>
            <w:vAlign w:val="bottom"/>
          </w:tcPr>
          <w:p w14:paraId="4021115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21,491</w:t>
            </w:r>
          </w:p>
        </w:tc>
        <w:tc>
          <w:tcPr>
            <w:tcW w:w="964" w:type="dxa"/>
            <w:tcBorders>
              <w:top w:val="nil"/>
              <w:left w:val="nil"/>
              <w:bottom w:val="nil"/>
              <w:right w:val="nil"/>
            </w:tcBorders>
            <w:shd w:val="clear" w:color="auto" w:fill="FFFFFF"/>
            <w:vAlign w:val="bottom"/>
          </w:tcPr>
          <w:p w14:paraId="4FA3BBB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60,291</w:t>
            </w:r>
          </w:p>
        </w:tc>
        <w:tc>
          <w:tcPr>
            <w:tcW w:w="964" w:type="dxa"/>
            <w:tcBorders>
              <w:top w:val="nil"/>
              <w:left w:val="nil"/>
              <w:bottom w:val="nil"/>
              <w:right w:val="nil"/>
            </w:tcBorders>
            <w:shd w:val="clear" w:color="auto" w:fill="FFFFFF"/>
            <w:vAlign w:val="bottom"/>
          </w:tcPr>
          <w:p w14:paraId="5765CF7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21,279</w:t>
            </w:r>
          </w:p>
        </w:tc>
        <w:tc>
          <w:tcPr>
            <w:tcW w:w="964" w:type="dxa"/>
            <w:tcBorders>
              <w:top w:val="nil"/>
              <w:left w:val="nil"/>
              <w:bottom w:val="nil"/>
              <w:right w:val="nil"/>
            </w:tcBorders>
            <w:shd w:val="clear" w:color="auto" w:fill="FFFFFF"/>
            <w:vAlign w:val="bottom"/>
          </w:tcPr>
          <w:p w14:paraId="77D4326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10,708</w:t>
            </w:r>
          </w:p>
        </w:tc>
        <w:tc>
          <w:tcPr>
            <w:tcW w:w="1134" w:type="dxa"/>
            <w:tcBorders>
              <w:top w:val="nil"/>
              <w:left w:val="nil"/>
              <w:bottom w:val="nil"/>
              <w:right w:val="nil"/>
            </w:tcBorders>
            <w:shd w:val="clear" w:color="auto" w:fill="FFFFFF"/>
            <w:vAlign w:val="bottom"/>
          </w:tcPr>
          <w:p w14:paraId="229FCD5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42,770</w:t>
            </w:r>
          </w:p>
        </w:tc>
        <w:tc>
          <w:tcPr>
            <w:tcW w:w="1134" w:type="dxa"/>
            <w:tcBorders>
              <w:top w:val="nil"/>
              <w:left w:val="nil"/>
              <w:bottom w:val="nil"/>
              <w:right w:val="nil"/>
            </w:tcBorders>
            <w:shd w:val="clear" w:color="auto" w:fill="FFFFFF"/>
            <w:vAlign w:val="bottom"/>
          </w:tcPr>
          <w:p w14:paraId="6795C77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70,999</w:t>
            </w:r>
          </w:p>
        </w:tc>
      </w:tr>
      <w:tr w:rsidR="002E375F" w14:paraId="25EDF7AE" w14:textId="77777777">
        <w:tc>
          <w:tcPr>
            <w:tcW w:w="7835" w:type="dxa"/>
            <w:tcBorders>
              <w:top w:val="nil"/>
              <w:left w:val="nil"/>
              <w:bottom w:val="nil"/>
              <w:right w:val="nil"/>
            </w:tcBorders>
            <w:shd w:val="clear" w:color="auto" w:fill="FFFFFF"/>
            <w:vAlign w:val="bottom"/>
          </w:tcPr>
          <w:p w14:paraId="432EF84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Non-Current Liabilities</w:t>
            </w:r>
          </w:p>
        </w:tc>
        <w:tc>
          <w:tcPr>
            <w:tcW w:w="964" w:type="dxa"/>
            <w:tcBorders>
              <w:top w:val="nil"/>
              <w:left w:val="nil"/>
              <w:bottom w:val="nil"/>
              <w:right w:val="nil"/>
            </w:tcBorders>
            <w:shd w:val="clear" w:color="auto" w:fill="FFFFFF"/>
            <w:vAlign w:val="bottom"/>
          </w:tcPr>
          <w:p w14:paraId="7BF67B73"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9EAE09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2B5E2D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6CBDC2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vAlign w:val="bottom"/>
          </w:tcPr>
          <w:p w14:paraId="25C95E52"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vAlign w:val="bottom"/>
          </w:tcPr>
          <w:p w14:paraId="3934495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5B3A85C1" w14:textId="77777777">
        <w:tc>
          <w:tcPr>
            <w:tcW w:w="7835" w:type="dxa"/>
            <w:tcBorders>
              <w:top w:val="nil"/>
              <w:left w:val="nil"/>
              <w:bottom w:val="nil"/>
              <w:right w:val="nil"/>
            </w:tcBorders>
            <w:shd w:val="clear" w:color="auto" w:fill="FFFFFF"/>
            <w:vAlign w:val="bottom"/>
          </w:tcPr>
          <w:p w14:paraId="354391B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Payables</w:t>
            </w:r>
          </w:p>
        </w:tc>
        <w:tc>
          <w:tcPr>
            <w:tcW w:w="964" w:type="dxa"/>
            <w:tcBorders>
              <w:top w:val="nil"/>
              <w:left w:val="nil"/>
              <w:bottom w:val="single" w:sz="2" w:space="0" w:color="auto"/>
              <w:right w:val="nil"/>
            </w:tcBorders>
            <w:shd w:val="clear" w:color="auto" w:fill="FFFFFF"/>
            <w:vAlign w:val="bottom"/>
          </w:tcPr>
          <w:p w14:paraId="7C3A32E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5FC0D4A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3,781</w:t>
            </w:r>
          </w:p>
        </w:tc>
        <w:tc>
          <w:tcPr>
            <w:tcW w:w="964" w:type="dxa"/>
            <w:tcBorders>
              <w:top w:val="nil"/>
              <w:left w:val="nil"/>
              <w:bottom w:val="single" w:sz="2" w:space="0" w:color="auto"/>
              <w:right w:val="nil"/>
            </w:tcBorders>
            <w:shd w:val="clear" w:color="auto" w:fill="FFFFFF"/>
            <w:vAlign w:val="bottom"/>
          </w:tcPr>
          <w:p w14:paraId="03AB4F8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5E15E83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421</w:t>
            </w:r>
          </w:p>
        </w:tc>
        <w:tc>
          <w:tcPr>
            <w:tcW w:w="1134" w:type="dxa"/>
            <w:tcBorders>
              <w:top w:val="nil"/>
              <w:left w:val="nil"/>
              <w:bottom w:val="single" w:sz="2" w:space="0" w:color="auto"/>
              <w:right w:val="nil"/>
            </w:tcBorders>
            <w:shd w:val="clear" w:color="auto" w:fill="FFFFFF"/>
            <w:vAlign w:val="bottom"/>
          </w:tcPr>
          <w:p w14:paraId="097A9CD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1134" w:type="dxa"/>
            <w:tcBorders>
              <w:top w:val="nil"/>
              <w:left w:val="nil"/>
              <w:bottom w:val="single" w:sz="2" w:space="0" w:color="auto"/>
              <w:right w:val="nil"/>
            </w:tcBorders>
            <w:shd w:val="clear" w:color="auto" w:fill="FFFFFF"/>
            <w:vAlign w:val="bottom"/>
          </w:tcPr>
          <w:p w14:paraId="3FDEA3B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4,202</w:t>
            </w:r>
          </w:p>
        </w:tc>
      </w:tr>
      <w:tr w:rsidR="002E375F" w14:paraId="5C965029" w14:textId="77777777">
        <w:tc>
          <w:tcPr>
            <w:tcW w:w="7835" w:type="dxa"/>
            <w:tcBorders>
              <w:top w:val="nil"/>
              <w:left w:val="nil"/>
              <w:bottom w:val="nil"/>
              <w:right w:val="nil"/>
            </w:tcBorders>
            <w:shd w:val="clear" w:color="auto" w:fill="FFFFFF"/>
            <w:vAlign w:val="bottom"/>
          </w:tcPr>
          <w:p w14:paraId="6F2A2FC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Liabilities</w:t>
            </w:r>
          </w:p>
        </w:tc>
        <w:tc>
          <w:tcPr>
            <w:tcW w:w="964" w:type="dxa"/>
            <w:tcBorders>
              <w:top w:val="nil"/>
              <w:left w:val="nil"/>
              <w:bottom w:val="single" w:sz="2" w:space="0" w:color="auto"/>
              <w:right w:val="nil"/>
            </w:tcBorders>
            <w:shd w:val="clear" w:color="auto" w:fill="FFFFFF"/>
            <w:vAlign w:val="bottom"/>
          </w:tcPr>
          <w:p w14:paraId="4076D58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21,491</w:t>
            </w:r>
          </w:p>
        </w:tc>
        <w:tc>
          <w:tcPr>
            <w:tcW w:w="964" w:type="dxa"/>
            <w:tcBorders>
              <w:top w:val="nil"/>
              <w:left w:val="nil"/>
              <w:bottom w:val="single" w:sz="2" w:space="0" w:color="auto"/>
              <w:right w:val="nil"/>
            </w:tcBorders>
            <w:shd w:val="clear" w:color="auto" w:fill="FFFFFF"/>
            <w:vAlign w:val="bottom"/>
          </w:tcPr>
          <w:p w14:paraId="29E9A05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64,072</w:t>
            </w:r>
          </w:p>
        </w:tc>
        <w:tc>
          <w:tcPr>
            <w:tcW w:w="964" w:type="dxa"/>
            <w:tcBorders>
              <w:top w:val="nil"/>
              <w:left w:val="nil"/>
              <w:bottom w:val="single" w:sz="2" w:space="0" w:color="auto"/>
              <w:right w:val="nil"/>
            </w:tcBorders>
            <w:shd w:val="clear" w:color="auto" w:fill="FFFFFF"/>
            <w:vAlign w:val="bottom"/>
          </w:tcPr>
          <w:p w14:paraId="02B8E15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21,279</w:t>
            </w:r>
          </w:p>
        </w:tc>
        <w:tc>
          <w:tcPr>
            <w:tcW w:w="964" w:type="dxa"/>
            <w:tcBorders>
              <w:top w:val="nil"/>
              <w:left w:val="nil"/>
              <w:bottom w:val="single" w:sz="2" w:space="0" w:color="auto"/>
              <w:right w:val="nil"/>
            </w:tcBorders>
            <w:shd w:val="clear" w:color="auto" w:fill="FFFFFF"/>
            <w:vAlign w:val="bottom"/>
          </w:tcPr>
          <w:p w14:paraId="09AA18E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11,129</w:t>
            </w:r>
          </w:p>
        </w:tc>
        <w:tc>
          <w:tcPr>
            <w:tcW w:w="1134" w:type="dxa"/>
            <w:tcBorders>
              <w:top w:val="nil"/>
              <w:left w:val="nil"/>
              <w:bottom w:val="single" w:sz="2" w:space="0" w:color="auto"/>
              <w:right w:val="nil"/>
            </w:tcBorders>
            <w:shd w:val="clear" w:color="auto" w:fill="FFFFFF"/>
            <w:vAlign w:val="bottom"/>
          </w:tcPr>
          <w:p w14:paraId="5D8B372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42,770</w:t>
            </w:r>
          </w:p>
        </w:tc>
        <w:tc>
          <w:tcPr>
            <w:tcW w:w="1134" w:type="dxa"/>
            <w:tcBorders>
              <w:top w:val="nil"/>
              <w:left w:val="nil"/>
              <w:bottom w:val="single" w:sz="2" w:space="0" w:color="auto"/>
              <w:right w:val="nil"/>
            </w:tcBorders>
            <w:shd w:val="clear" w:color="auto" w:fill="FFFFFF"/>
            <w:vAlign w:val="bottom"/>
          </w:tcPr>
          <w:p w14:paraId="40CEE79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75,201</w:t>
            </w:r>
          </w:p>
        </w:tc>
      </w:tr>
    </w:tbl>
    <w:p w14:paraId="0D8E0E5D"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6834" w:h="11909" w:orient="landscape"/>
          <w:pgMar w:top="1440" w:right="1440" w:bottom="1440" w:left="1440" w:header="720" w:footer="720" w:gutter="0"/>
          <w:cols w:space="720"/>
          <w:noEndnote/>
        </w:sectPr>
      </w:pPr>
    </w:p>
    <w:p w14:paraId="1DC9B49E" w14:textId="77777777" w:rsidR="002E375F" w:rsidRDefault="00EB2569" w:rsidP="00D830C2">
      <w:pPr>
        <w:pStyle w:val="Heading2"/>
      </w:pPr>
      <w:r w:rsidRPr="00D830C2">
        <w:lastRenderedPageBreak/>
        <w:t>Department of Communities, Disability Services and Seniors</w:t>
      </w:r>
    </w:p>
    <w:p w14:paraId="5E22D907" w14:textId="77777777" w:rsidR="002E375F" w:rsidRPr="00D830C2" w:rsidRDefault="00EB2569" w:rsidP="00D830C2">
      <w:pPr>
        <w:pStyle w:val="Heading2"/>
      </w:pPr>
      <w:r w:rsidRPr="00D830C2">
        <w:t>Statement of Changes in Equity - Controlled</w:t>
      </w:r>
    </w:p>
    <w:p w14:paraId="79ECD441" w14:textId="77777777" w:rsidR="002E375F" w:rsidRPr="00D830C2" w:rsidRDefault="00EB2569" w:rsidP="00D830C2">
      <w:pPr>
        <w:pStyle w:val="Heading2"/>
      </w:pPr>
      <w:r w:rsidRPr="00D830C2">
        <w:t>for the year ended 30 June 2020</w:t>
      </w:r>
    </w:p>
    <w:p w14:paraId="0D97C557" w14:textId="77777777" w:rsidR="002E375F" w:rsidRDefault="002E375F">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722"/>
        <w:gridCol w:w="567"/>
        <w:gridCol w:w="1248"/>
        <w:gridCol w:w="1248"/>
        <w:gridCol w:w="1248"/>
      </w:tblGrid>
      <w:tr w:rsidR="002E375F" w14:paraId="2295FC9F" w14:textId="77777777">
        <w:tc>
          <w:tcPr>
            <w:tcW w:w="4722" w:type="dxa"/>
            <w:tcBorders>
              <w:top w:val="nil"/>
              <w:left w:val="nil"/>
              <w:bottom w:val="nil"/>
              <w:right w:val="nil"/>
            </w:tcBorders>
            <w:shd w:val="clear" w:color="auto" w:fill="FFFFFF"/>
            <w:vAlign w:val="bottom"/>
          </w:tcPr>
          <w:p w14:paraId="127A5AAC" w14:textId="77777777" w:rsidR="002E375F" w:rsidRDefault="002E375F" w:rsidP="001C442D">
            <w:pPr>
              <w:pStyle w:val="Heading2"/>
            </w:pPr>
          </w:p>
        </w:tc>
        <w:tc>
          <w:tcPr>
            <w:tcW w:w="567" w:type="dxa"/>
            <w:tcBorders>
              <w:top w:val="nil"/>
              <w:left w:val="nil"/>
              <w:bottom w:val="nil"/>
              <w:right w:val="nil"/>
            </w:tcBorders>
            <w:shd w:val="clear" w:color="auto" w:fill="FFFFFF"/>
            <w:vAlign w:val="bottom"/>
          </w:tcPr>
          <w:p w14:paraId="7AF53792" w14:textId="77777777" w:rsidR="002E375F" w:rsidRDefault="00EB2569" w:rsidP="001C442D">
            <w:pPr>
              <w:pStyle w:val="Heading2"/>
            </w:pPr>
            <w:r>
              <w:rPr>
                <w:rFonts w:ascii="Arial" w:hAnsi="Arial" w:cs="Arial"/>
                <w:b/>
                <w:bCs/>
                <w:sz w:val="18"/>
                <w:szCs w:val="18"/>
              </w:rPr>
              <w:t>Note</w:t>
            </w:r>
          </w:p>
        </w:tc>
        <w:tc>
          <w:tcPr>
            <w:tcW w:w="1248" w:type="dxa"/>
            <w:tcBorders>
              <w:top w:val="nil"/>
              <w:left w:val="nil"/>
              <w:bottom w:val="nil"/>
              <w:right w:val="nil"/>
            </w:tcBorders>
            <w:shd w:val="clear" w:color="auto" w:fill="FFFFFF"/>
            <w:vAlign w:val="bottom"/>
          </w:tcPr>
          <w:p w14:paraId="2C61D9FF" w14:textId="77777777" w:rsidR="002E375F" w:rsidRDefault="00EB2569" w:rsidP="00862FE1">
            <w:pPr>
              <w:pStyle w:val="Heading2"/>
              <w:jc w:val="right"/>
            </w:pPr>
            <w:r>
              <w:rPr>
                <w:rFonts w:ascii="Arial" w:hAnsi="Arial" w:cs="Arial"/>
                <w:b/>
                <w:bCs/>
                <w:sz w:val="18"/>
                <w:szCs w:val="18"/>
              </w:rPr>
              <w:t>Contributed Equity</w:t>
            </w:r>
            <w:r>
              <w:rPr>
                <w:rFonts w:ascii="Arial" w:hAnsi="Arial" w:cs="Arial"/>
                <w:b/>
                <w:bCs/>
                <w:sz w:val="18"/>
                <w:szCs w:val="18"/>
              </w:rPr>
              <w:br/>
              <w:t>$'000</w:t>
            </w:r>
          </w:p>
        </w:tc>
        <w:tc>
          <w:tcPr>
            <w:tcW w:w="1248" w:type="dxa"/>
            <w:tcBorders>
              <w:top w:val="nil"/>
              <w:left w:val="nil"/>
              <w:bottom w:val="nil"/>
              <w:right w:val="nil"/>
            </w:tcBorders>
            <w:shd w:val="clear" w:color="auto" w:fill="FFFFFF"/>
            <w:vAlign w:val="bottom"/>
          </w:tcPr>
          <w:p w14:paraId="40F4CC26" w14:textId="77777777" w:rsidR="002E375F" w:rsidRDefault="00EB2569" w:rsidP="00862FE1">
            <w:pPr>
              <w:pStyle w:val="Heading2"/>
              <w:jc w:val="right"/>
            </w:pPr>
            <w:r>
              <w:rPr>
                <w:rFonts w:ascii="Arial" w:hAnsi="Arial" w:cs="Arial"/>
                <w:b/>
                <w:bCs/>
                <w:sz w:val="18"/>
                <w:szCs w:val="18"/>
              </w:rPr>
              <w:t>Accumulated Surplus</w:t>
            </w:r>
            <w:r>
              <w:rPr>
                <w:rFonts w:ascii="Arial" w:hAnsi="Arial" w:cs="Arial"/>
                <w:b/>
                <w:bCs/>
                <w:sz w:val="18"/>
                <w:szCs w:val="18"/>
              </w:rPr>
              <w:br/>
              <w:t>$'000</w:t>
            </w:r>
          </w:p>
        </w:tc>
        <w:tc>
          <w:tcPr>
            <w:tcW w:w="1248" w:type="dxa"/>
            <w:tcBorders>
              <w:top w:val="nil"/>
              <w:left w:val="nil"/>
              <w:bottom w:val="nil"/>
              <w:right w:val="nil"/>
            </w:tcBorders>
            <w:shd w:val="clear" w:color="auto" w:fill="FFFFFF"/>
            <w:vAlign w:val="bottom"/>
          </w:tcPr>
          <w:p w14:paraId="0A48B6B5" w14:textId="77777777" w:rsidR="002E375F" w:rsidRDefault="00EB2569" w:rsidP="00862FE1">
            <w:pPr>
              <w:pStyle w:val="Heading2"/>
              <w:jc w:val="right"/>
            </w:pPr>
            <w:r>
              <w:rPr>
                <w:rFonts w:ascii="Arial" w:hAnsi="Arial" w:cs="Arial"/>
                <w:b/>
                <w:bCs/>
                <w:sz w:val="18"/>
                <w:szCs w:val="18"/>
              </w:rPr>
              <w:t>Total</w:t>
            </w:r>
            <w:r>
              <w:rPr>
                <w:rFonts w:ascii="Arial" w:hAnsi="Arial" w:cs="Arial"/>
                <w:b/>
                <w:bCs/>
                <w:sz w:val="18"/>
                <w:szCs w:val="18"/>
              </w:rPr>
              <w:br/>
              <w:t>$'000</w:t>
            </w:r>
          </w:p>
        </w:tc>
      </w:tr>
      <w:tr w:rsidR="002E375F" w14:paraId="4FBCEEC3" w14:textId="77777777">
        <w:tc>
          <w:tcPr>
            <w:tcW w:w="4722" w:type="dxa"/>
            <w:tcBorders>
              <w:top w:val="nil"/>
              <w:left w:val="nil"/>
              <w:bottom w:val="nil"/>
              <w:right w:val="nil"/>
            </w:tcBorders>
            <w:shd w:val="clear" w:color="auto" w:fill="FFFFFF"/>
            <w:vAlign w:val="bottom"/>
          </w:tcPr>
          <w:p w14:paraId="6F09227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Balance as at 1 July 2018</w:t>
            </w:r>
          </w:p>
        </w:tc>
        <w:tc>
          <w:tcPr>
            <w:tcW w:w="567" w:type="dxa"/>
            <w:tcBorders>
              <w:top w:val="nil"/>
              <w:left w:val="nil"/>
              <w:bottom w:val="nil"/>
              <w:right w:val="nil"/>
            </w:tcBorders>
            <w:shd w:val="clear" w:color="auto" w:fill="FFFFFF"/>
            <w:vAlign w:val="bottom"/>
          </w:tcPr>
          <w:p w14:paraId="4C7B629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single" w:sz="2" w:space="0" w:color="auto"/>
              <w:right w:val="nil"/>
            </w:tcBorders>
            <w:shd w:val="clear" w:color="auto" w:fill="FFFFFF"/>
            <w:vAlign w:val="bottom"/>
          </w:tcPr>
          <w:p w14:paraId="3481A8A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309,334</w:t>
            </w:r>
          </w:p>
        </w:tc>
        <w:tc>
          <w:tcPr>
            <w:tcW w:w="1248" w:type="dxa"/>
            <w:tcBorders>
              <w:top w:val="nil"/>
              <w:left w:val="nil"/>
              <w:bottom w:val="single" w:sz="2" w:space="0" w:color="auto"/>
              <w:right w:val="nil"/>
            </w:tcBorders>
            <w:shd w:val="clear" w:color="auto" w:fill="FFFFFF"/>
            <w:vAlign w:val="bottom"/>
          </w:tcPr>
          <w:p w14:paraId="6D2FBCD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1,891</w:t>
            </w:r>
          </w:p>
        </w:tc>
        <w:tc>
          <w:tcPr>
            <w:tcW w:w="1248" w:type="dxa"/>
            <w:tcBorders>
              <w:top w:val="nil"/>
              <w:left w:val="nil"/>
              <w:bottom w:val="single" w:sz="2" w:space="0" w:color="auto"/>
              <w:right w:val="nil"/>
            </w:tcBorders>
            <w:shd w:val="clear" w:color="auto" w:fill="FFFFFF"/>
            <w:vAlign w:val="bottom"/>
          </w:tcPr>
          <w:p w14:paraId="5B6BC04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311,225</w:t>
            </w:r>
          </w:p>
        </w:tc>
      </w:tr>
      <w:tr w:rsidR="002E375F" w14:paraId="18111A35" w14:textId="77777777">
        <w:tc>
          <w:tcPr>
            <w:tcW w:w="4722" w:type="dxa"/>
            <w:tcBorders>
              <w:top w:val="nil"/>
              <w:left w:val="nil"/>
              <w:bottom w:val="nil"/>
              <w:right w:val="nil"/>
            </w:tcBorders>
            <w:shd w:val="clear" w:color="auto" w:fill="FFFFFF"/>
            <w:vAlign w:val="bottom"/>
          </w:tcPr>
          <w:p w14:paraId="1E208FC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Operating Result</w:t>
            </w:r>
          </w:p>
        </w:tc>
        <w:tc>
          <w:tcPr>
            <w:tcW w:w="567" w:type="dxa"/>
            <w:tcBorders>
              <w:top w:val="nil"/>
              <w:left w:val="nil"/>
              <w:bottom w:val="nil"/>
              <w:right w:val="nil"/>
            </w:tcBorders>
            <w:shd w:val="clear" w:color="auto" w:fill="FFFFFF"/>
            <w:vAlign w:val="bottom"/>
          </w:tcPr>
          <w:p w14:paraId="6239609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nil"/>
              <w:right w:val="nil"/>
            </w:tcBorders>
            <w:shd w:val="clear" w:color="auto" w:fill="FFFFFF"/>
            <w:vAlign w:val="bottom"/>
          </w:tcPr>
          <w:p w14:paraId="4E3B9F1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nil"/>
              <w:right w:val="nil"/>
            </w:tcBorders>
            <w:shd w:val="clear" w:color="auto" w:fill="FFFFFF"/>
            <w:vAlign w:val="bottom"/>
          </w:tcPr>
          <w:p w14:paraId="60539A42"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nil"/>
              <w:right w:val="nil"/>
            </w:tcBorders>
            <w:shd w:val="clear" w:color="auto" w:fill="FFFFFF"/>
            <w:vAlign w:val="bottom"/>
          </w:tcPr>
          <w:p w14:paraId="0251D2D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70291BAE" w14:textId="77777777">
        <w:tc>
          <w:tcPr>
            <w:tcW w:w="4722" w:type="dxa"/>
            <w:tcBorders>
              <w:top w:val="nil"/>
              <w:left w:val="nil"/>
              <w:bottom w:val="nil"/>
              <w:right w:val="nil"/>
            </w:tcBorders>
            <w:shd w:val="clear" w:color="auto" w:fill="FFFFFF"/>
            <w:vAlign w:val="bottom"/>
          </w:tcPr>
          <w:p w14:paraId="63270FE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Operating result from continuing operations</w:t>
            </w:r>
          </w:p>
        </w:tc>
        <w:tc>
          <w:tcPr>
            <w:tcW w:w="567" w:type="dxa"/>
            <w:tcBorders>
              <w:top w:val="nil"/>
              <w:left w:val="nil"/>
              <w:bottom w:val="nil"/>
              <w:right w:val="nil"/>
            </w:tcBorders>
            <w:shd w:val="clear" w:color="auto" w:fill="FFFFFF"/>
            <w:vAlign w:val="bottom"/>
          </w:tcPr>
          <w:p w14:paraId="6C9A586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single" w:sz="2" w:space="0" w:color="auto"/>
              <w:right w:val="nil"/>
            </w:tcBorders>
            <w:shd w:val="clear" w:color="auto" w:fill="FFFFFF"/>
            <w:vAlign w:val="bottom"/>
          </w:tcPr>
          <w:p w14:paraId="783D48F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1248" w:type="dxa"/>
            <w:tcBorders>
              <w:top w:val="nil"/>
              <w:left w:val="nil"/>
              <w:bottom w:val="single" w:sz="2" w:space="0" w:color="auto"/>
              <w:right w:val="nil"/>
            </w:tcBorders>
            <w:shd w:val="clear" w:color="auto" w:fill="FFFFFF"/>
            <w:vAlign w:val="bottom"/>
          </w:tcPr>
          <w:p w14:paraId="62243F4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11,300</w:t>
            </w:r>
          </w:p>
        </w:tc>
        <w:tc>
          <w:tcPr>
            <w:tcW w:w="1248" w:type="dxa"/>
            <w:tcBorders>
              <w:top w:val="nil"/>
              <w:left w:val="nil"/>
              <w:bottom w:val="single" w:sz="2" w:space="0" w:color="auto"/>
              <w:right w:val="nil"/>
            </w:tcBorders>
            <w:shd w:val="clear" w:color="auto" w:fill="FFFFFF"/>
            <w:vAlign w:val="bottom"/>
          </w:tcPr>
          <w:p w14:paraId="239D99F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11,300</w:t>
            </w:r>
          </w:p>
        </w:tc>
      </w:tr>
      <w:tr w:rsidR="002E375F" w14:paraId="069BDC6E" w14:textId="77777777">
        <w:tc>
          <w:tcPr>
            <w:tcW w:w="4722" w:type="dxa"/>
            <w:tcBorders>
              <w:top w:val="nil"/>
              <w:left w:val="nil"/>
              <w:bottom w:val="nil"/>
              <w:right w:val="nil"/>
            </w:tcBorders>
            <w:shd w:val="clear" w:color="auto" w:fill="FFFFFF"/>
            <w:vAlign w:val="bottom"/>
          </w:tcPr>
          <w:p w14:paraId="7417D8D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Comprehensive Income for the Year</w:t>
            </w:r>
          </w:p>
        </w:tc>
        <w:tc>
          <w:tcPr>
            <w:tcW w:w="567" w:type="dxa"/>
            <w:tcBorders>
              <w:top w:val="nil"/>
              <w:left w:val="nil"/>
              <w:bottom w:val="nil"/>
              <w:right w:val="nil"/>
            </w:tcBorders>
            <w:shd w:val="clear" w:color="auto" w:fill="FFFFFF"/>
            <w:vAlign w:val="bottom"/>
          </w:tcPr>
          <w:p w14:paraId="51E5DEC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single" w:sz="2" w:space="0" w:color="auto"/>
              <w:right w:val="nil"/>
            </w:tcBorders>
            <w:shd w:val="clear" w:color="auto" w:fill="FFFFFF"/>
            <w:vAlign w:val="bottom"/>
          </w:tcPr>
          <w:p w14:paraId="7AA1820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1248" w:type="dxa"/>
            <w:tcBorders>
              <w:top w:val="nil"/>
              <w:left w:val="nil"/>
              <w:bottom w:val="single" w:sz="2" w:space="0" w:color="auto"/>
              <w:right w:val="nil"/>
            </w:tcBorders>
            <w:shd w:val="clear" w:color="auto" w:fill="FFFFFF"/>
            <w:vAlign w:val="bottom"/>
          </w:tcPr>
          <w:p w14:paraId="2106A77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11,300</w:t>
            </w:r>
          </w:p>
        </w:tc>
        <w:tc>
          <w:tcPr>
            <w:tcW w:w="1248" w:type="dxa"/>
            <w:tcBorders>
              <w:top w:val="nil"/>
              <w:left w:val="nil"/>
              <w:bottom w:val="single" w:sz="2" w:space="0" w:color="auto"/>
              <w:right w:val="nil"/>
            </w:tcBorders>
            <w:shd w:val="clear" w:color="auto" w:fill="FFFFFF"/>
            <w:vAlign w:val="bottom"/>
          </w:tcPr>
          <w:p w14:paraId="1753D84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11,300</w:t>
            </w:r>
          </w:p>
        </w:tc>
      </w:tr>
      <w:tr w:rsidR="002E375F" w14:paraId="2AAFA164" w14:textId="77777777">
        <w:tc>
          <w:tcPr>
            <w:tcW w:w="4722" w:type="dxa"/>
            <w:tcBorders>
              <w:top w:val="nil"/>
              <w:left w:val="nil"/>
              <w:bottom w:val="nil"/>
              <w:right w:val="nil"/>
            </w:tcBorders>
            <w:shd w:val="clear" w:color="auto" w:fill="FFFFFF"/>
            <w:vAlign w:val="bottom"/>
          </w:tcPr>
          <w:p w14:paraId="24641EE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Transactions with owners as owners:</w:t>
            </w:r>
          </w:p>
        </w:tc>
        <w:tc>
          <w:tcPr>
            <w:tcW w:w="567" w:type="dxa"/>
            <w:tcBorders>
              <w:top w:val="nil"/>
              <w:left w:val="nil"/>
              <w:bottom w:val="nil"/>
              <w:right w:val="nil"/>
            </w:tcBorders>
            <w:shd w:val="clear" w:color="auto" w:fill="FFFFFF"/>
            <w:vAlign w:val="bottom"/>
          </w:tcPr>
          <w:p w14:paraId="3001A36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nil"/>
              <w:right w:val="nil"/>
            </w:tcBorders>
            <w:shd w:val="clear" w:color="auto" w:fill="FFFFFF"/>
            <w:vAlign w:val="bottom"/>
          </w:tcPr>
          <w:p w14:paraId="49E6CEC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nil"/>
              <w:right w:val="nil"/>
            </w:tcBorders>
            <w:shd w:val="clear" w:color="auto" w:fill="FFFFFF"/>
            <w:vAlign w:val="bottom"/>
          </w:tcPr>
          <w:p w14:paraId="3697AE1E"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nil"/>
              <w:right w:val="nil"/>
            </w:tcBorders>
            <w:shd w:val="clear" w:color="auto" w:fill="FFFFFF"/>
            <w:vAlign w:val="bottom"/>
          </w:tcPr>
          <w:p w14:paraId="73FF781B"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51F53722" w14:textId="77777777">
        <w:tc>
          <w:tcPr>
            <w:tcW w:w="4722" w:type="dxa"/>
            <w:tcBorders>
              <w:top w:val="nil"/>
              <w:left w:val="nil"/>
              <w:bottom w:val="nil"/>
              <w:right w:val="nil"/>
            </w:tcBorders>
            <w:shd w:val="clear" w:color="auto" w:fill="FFFFFF"/>
            <w:vAlign w:val="bottom"/>
          </w:tcPr>
          <w:p w14:paraId="2ECF3D4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Net equity withdrawals</w:t>
            </w:r>
          </w:p>
        </w:tc>
        <w:tc>
          <w:tcPr>
            <w:tcW w:w="567" w:type="dxa"/>
            <w:tcBorders>
              <w:top w:val="nil"/>
              <w:left w:val="nil"/>
              <w:bottom w:val="nil"/>
              <w:right w:val="nil"/>
            </w:tcBorders>
            <w:shd w:val="clear" w:color="auto" w:fill="FFFFFF"/>
            <w:vAlign w:val="bottom"/>
          </w:tcPr>
          <w:p w14:paraId="5F6F100E"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C9-2</w:t>
            </w:r>
          </w:p>
        </w:tc>
        <w:tc>
          <w:tcPr>
            <w:tcW w:w="1248" w:type="dxa"/>
            <w:tcBorders>
              <w:top w:val="nil"/>
              <w:left w:val="nil"/>
              <w:bottom w:val="nil"/>
              <w:right w:val="nil"/>
            </w:tcBorders>
            <w:shd w:val="clear" w:color="auto" w:fill="FFFFFF"/>
            <w:vAlign w:val="bottom"/>
          </w:tcPr>
          <w:p w14:paraId="42C7D09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(4,084)</w:t>
            </w:r>
          </w:p>
        </w:tc>
        <w:tc>
          <w:tcPr>
            <w:tcW w:w="1248" w:type="dxa"/>
            <w:tcBorders>
              <w:top w:val="nil"/>
              <w:left w:val="nil"/>
              <w:bottom w:val="nil"/>
              <w:right w:val="nil"/>
            </w:tcBorders>
            <w:shd w:val="clear" w:color="auto" w:fill="FFFFFF"/>
            <w:vAlign w:val="bottom"/>
          </w:tcPr>
          <w:p w14:paraId="0698F83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1248" w:type="dxa"/>
            <w:tcBorders>
              <w:top w:val="nil"/>
              <w:left w:val="nil"/>
              <w:bottom w:val="nil"/>
              <w:right w:val="nil"/>
            </w:tcBorders>
            <w:shd w:val="clear" w:color="auto" w:fill="FFFFFF"/>
            <w:vAlign w:val="bottom"/>
          </w:tcPr>
          <w:p w14:paraId="3577DA0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(4,084)</w:t>
            </w:r>
          </w:p>
        </w:tc>
      </w:tr>
      <w:tr w:rsidR="002E375F" w14:paraId="3A9798EC" w14:textId="77777777">
        <w:tc>
          <w:tcPr>
            <w:tcW w:w="4722" w:type="dxa"/>
            <w:tcBorders>
              <w:top w:val="nil"/>
              <w:left w:val="nil"/>
              <w:bottom w:val="nil"/>
              <w:right w:val="nil"/>
            </w:tcBorders>
            <w:shd w:val="clear" w:color="auto" w:fill="FFFFFF"/>
            <w:vAlign w:val="bottom"/>
          </w:tcPr>
          <w:p w14:paraId="4750EA5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Net transfers in/(out) from other Queensland Government entities - other</w:t>
            </w:r>
          </w:p>
        </w:tc>
        <w:tc>
          <w:tcPr>
            <w:tcW w:w="567" w:type="dxa"/>
            <w:tcBorders>
              <w:top w:val="nil"/>
              <w:left w:val="nil"/>
              <w:bottom w:val="nil"/>
              <w:right w:val="nil"/>
            </w:tcBorders>
            <w:shd w:val="clear" w:color="auto" w:fill="FFFFFF"/>
            <w:vAlign w:val="bottom"/>
          </w:tcPr>
          <w:p w14:paraId="063B0764"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C9-1</w:t>
            </w:r>
          </w:p>
        </w:tc>
        <w:tc>
          <w:tcPr>
            <w:tcW w:w="1248" w:type="dxa"/>
            <w:tcBorders>
              <w:top w:val="nil"/>
              <w:left w:val="nil"/>
              <w:bottom w:val="single" w:sz="2" w:space="0" w:color="auto"/>
              <w:right w:val="nil"/>
            </w:tcBorders>
            <w:shd w:val="clear" w:color="auto" w:fill="FFFFFF"/>
            <w:vAlign w:val="bottom"/>
          </w:tcPr>
          <w:p w14:paraId="21973D8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(2,998)</w:t>
            </w:r>
          </w:p>
        </w:tc>
        <w:tc>
          <w:tcPr>
            <w:tcW w:w="1248" w:type="dxa"/>
            <w:tcBorders>
              <w:top w:val="nil"/>
              <w:left w:val="nil"/>
              <w:bottom w:val="single" w:sz="2" w:space="0" w:color="auto"/>
              <w:right w:val="nil"/>
            </w:tcBorders>
            <w:shd w:val="clear" w:color="auto" w:fill="FFFFFF"/>
            <w:vAlign w:val="bottom"/>
          </w:tcPr>
          <w:p w14:paraId="421F3DD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1248" w:type="dxa"/>
            <w:tcBorders>
              <w:top w:val="nil"/>
              <w:left w:val="nil"/>
              <w:bottom w:val="single" w:sz="2" w:space="0" w:color="auto"/>
              <w:right w:val="nil"/>
            </w:tcBorders>
            <w:shd w:val="clear" w:color="auto" w:fill="FFFFFF"/>
            <w:vAlign w:val="bottom"/>
          </w:tcPr>
          <w:p w14:paraId="4394B2A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(2,998)</w:t>
            </w:r>
          </w:p>
        </w:tc>
      </w:tr>
      <w:tr w:rsidR="002E375F" w14:paraId="58698644" w14:textId="77777777">
        <w:tc>
          <w:tcPr>
            <w:tcW w:w="4722" w:type="dxa"/>
            <w:tcBorders>
              <w:top w:val="nil"/>
              <w:left w:val="nil"/>
              <w:bottom w:val="nil"/>
              <w:right w:val="nil"/>
            </w:tcBorders>
            <w:shd w:val="clear" w:color="auto" w:fill="FFFFFF"/>
            <w:vAlign w:val="bottom"/>
          </w:tcPr>
          <w:p w14:paraId="64D27C2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Net Transactions with Owners as Owners</w:t>
            </w:r>
          </w:p>
        </w:tc>
        <w:tc>
          <w:tcPr>
            <w:tcW w:w="567" w:type="dxa"/>
            <w:tcBorders>
              <w:top w:val="nil"/>
              <w:left w:val="nil"/>
              <w:bottom w:val="nil"/>
              <w:right w:val="nil"/>
            </w:tcBorders>
            <w:shd w:val="clear" w:color="auto" w:fill="FFFFFF"/>
            <w:vAlign w:val="bottom"/>
          </w:tcPr>
          <w:p w14:paraId="79F2165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single" w:sz="2" w:space="0" w:color="auto"/>
              <w:right w:val="nil"/>
            </w:tcBorders>
            <w:shd w:val="clear" w:color="auto" w:fill="FFFFFF"/>
            <w:vAlign w:val="bottom"/>
          </w:tcPr>
          <w:p w14:paraId="57502BE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(7,082)</w:t>
            </w:r>
          </w:p>
        </w:tc>
        <w:tc>
          <w:tcPr>
            <w:tcW w:w="1248" w:type="dxa"/>
            <w:tcBorders>
              <w:top w:val="nil"/>
              <w:left w:val="nil"/>
              <w:bottom w:val="single" w:sz="2" w:space="0" w:color="auto"/>
              <w:right w:val="nil"/>
            </w:tcBorders>
            <w:shd w:val="clear" w:color="auto" w:fill="FFFFFF"/>
            <w:vAlign w:val="bottom"/>
          </w:tcPr>
          <w:p w14:paraId="39B1E39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1248" w:type="dxa"/>
            <w:tcBorders>
              <w:top w:val="nil"/>
              <w:left w:val="nil"/>
              <w:bottom w:val="single" w:sz="2" w:space="0" w:color="auto"/>
              <w:right w:val="nil"/>
            </w:tcBorders>
            <w:shd w:val="clear" w:color="auto" w:fill="FFFFFF"/>
            <w:vAlign w:val="bottom"/>
          </w:tcPr>
          <w:p w14:paraId="7875C09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(7,082)</w:t>
            </w:r>
          </w:p>
        </w:tc>
      </w:tr>
      <w:tr w:rsidR="002E375F" w14:paraId="0194329B" w14:textId="77777777">
        <w:tc>
          <w:tcPr>
            <w:tcW w:w="4722" w:type="dxa"/>
            <w:tcBorders>
              <w:top w:val="nil"/>
              <w:left w:val="nil"/>
              <w:bottom w:val="nil"/>
              <w:right w:val="nil"/>
            </w:tcBorders>
            <w:shd w:val="clear" w:color="auto" w:fill="FFFFFF"/>
            <w:vAlign w:val="bottom"/>
          </w:tcPr>
          <w:p w14:paraId="6350C7D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Balance as at 30 June 2019</w:t>
            </w:r>
          </w:p>
        </w:tc>
        <w:tc>
          <w:tcPr>
            <w:tcW w:w="567" w:type="dxa"/>
            <w:tcBorders>
              <w:top w:val="nil"/>
              <w:left w:val="nil"/>
              <w:bottom w:val="nil"/>
              <w:right w:val="nil"/>
            </w:tcBorders>
            <w:shd w:val="clear" w:color="auto" w:fill="FFFFFF"/>
            <w:vAlign w:val="bottom"/>
          </w:tcPr>
          <w:p w14:paraId="2D0EE3C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single" w:sz="2" w:space="0" w:color="auto"/>
              <w:right w:val="nil"/>
            </w:tcBorders>
            <w:shd w:val="clear" w:color="auto" w:fill="FFFFFF"/>
            <w:vAlign w:val="bottom"/>
          </w:tcPr>
          <w:p w14:paraId="2F4572B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302,252</w:t>
            </w:r>
          </w:p>
        </w:tc>
        <w:tc>
          <w:tcPr>
            <w:tcW w:w="1248" w:type="dxa"/>
            <w:tcBorders>
              <w:top w:val="nil"/>
              <w:left w:val="nil"/>
              <w:bottom w:val="single" w:sz="2" w:space="0" w:color="auto"/>
              <w:right w:val="nil"/>
            </w:tcBorders>
            <w:shd w:val="clear" w:color="auto" w:fill="FFFFFF"/>
            <w:vAlign w:val="bottom"/>
          </w:tcPr>
          <w:p w14:paraId="164E57A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13,191</w:t>
            </w:r>
          </w:p>
        </w:tc>
        <w:tc>
          <w:tcPr>
            <w:tcW w:w="1248" w:type="dxa"/>
            <w:tcBorders>
              <w:top w:val="nil"/>
              <w:left w:val="nil"/>
              <w:bottom w:val="single" w:sz="2" w:space="0" w:color="auto"/>
              <w:right w:val="nil"/>
            </w:tcBorders>
            <w:shd w:val="clear" w:color="auto" w:fill="FFFFFF"/>
            <w:vAlign w:val="bottom"/>
          </w:tcPr>
          <w:p w14:paraId="5686847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315,443</w:t>
            </w:r>
          </w:p>
        </w:tc>
      </w:tr>
    </w:tbl>
    <w:p w14:paraId="2D661D55" w14:textId="77777777" w:rsidR="002E375F" w:rsidRDefault="002E375F">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722"/>
        <w:gridCol w:w="567"/>
        <w:gridCol w:w="1248"/>
        <w:gridCol w:w="1248"/>
        <w:gridCol w:w="1248"/>
      </w:tblGrid>
      <w:tr w:rsidR="002E375F" w14:paraId="64A5616A" w14:textId="77777777">
        <w:tc>
          <w:tcPr>
            <w:tcW w:w="4722" w:type="dxa"/>
            <w:tcBorders>
              <w:top w:val="nil"/>
              <w:left w:val="nil"/>
              <w:bottom w:val="nil"/>
              <w:right w:val="nil"/>
            </w:tcBorders>
            <w:shd w:val="clear" w:color="auto" w:fill="FFFFFF"/>
            <w:vAlign w:val="bottom"/>
          </w:tcPr>
          <w:p w14:paraId="4180021F" w14:textId="77777777" w:rsidR="002E375F" w:rsidRDefault="002E375F" w:rsidP="001C442D">
            <w:pPr>
              <w:pStyle w:val="Heading2"/>
            </w:pPr>
          </w:p>
        </w:tc>
        <w:tc>
          <w:tcPr>
            <w:tcW w:w="567" w:type="dxa"/>
            <w:tcBorders>
              <w:top w:val="nil"/>
              <w:left w:val="nil"/>
              <w:bottom w:val="nil"/>
              <w:right w:val="nil"/>
            </w:tcBorders>
            <w:shd w:val="clear" w:color="auto" w:fill="FFFFFF"/>
            <w:vAlign w:val="bottom"/>
          </w:tcPr>
          <w:p w14:paraId="66DE4619" w14:textId="77777777" w:rsidR="002E375F" w:rsidRDefault="00EB2569" w:rsidP="001C442D">
            <w:pPr>
              <w:pStyle w:val="Heading2"/>
            </w:pPr>
            <w:r>
              <w:rPr>
                <w:rFonts w:ascii="Arial" w:hAnsi="Arial" w:cs="Arial"/>
                <w:b/>
                <w:bCs/>
                <w:sz w:val="18"/>
                <w:szCs w:val="18"/>
              </w:rPr>
              <w:t>Note</w:t>
            </w:r>
          </w:p>
        </w:tc>
        <w:tc>
          <w:tcPr>
            <w:tcW w:w="1248" w:type="dxa"/>
            <w:tcBorders>
              <w:top w:val="nil"/>
              <w:left w:val="nil"/>
              <w:bottom w:val="nil"/>
              <w:right w:val="nil"/>
            </w:tcBorders>
            <w:shd w:val="clear" w:color="auto" w:fill="FFFFFF"/>
            <w:vAlign w:val="bottom"/>
          </w:tcPr>
          <w:p w14:paraId="783425B7" w14:textId="77777777" w:rsidR="002E375F" w:rsidRDefault="00EB2569" w:rsidP="00862FE1">
            <w:pPr>
              <w:pStyle w:val="Heading2"/>
              <w:jc w:val="right"/>
            </w:pPr>
            <w:r>
              <w:rPr>
                <w:rFonts w:ascii="Arial" w:hAnsi="Arial" w:cs="Arial"/>
                <w:b/>
                <w:bCs/>
                <w:sz w:val="18"/>
                <w:szCs w:val="18"/>
              </w:rPr>
              <w:t>Contributed Equity</w:t>
            </w:r>
            <w:r>
              <w:rPr>
                <w:rFonts w:ascii="Arial" w:hAnsi="Arial" w:cs="Arial"/>
                <w:b/>
                <w:bCs/>
                <w:sz w:val="18"/>
                <w:szCs w:val="18"/>
              </w:rPr>
              <w:br/>
              <w:t>$'000</w:t>
            </w:r>
          </w:p>
        </w:tc>
        <w:tc>
          <w:tcPr>
            <w:tcW w:w="1248" w:type="dxa"/>
            <w:tcBorders>
              <w:top w:val="nil"/>
              <w:left w:val="nil"/>
              <w:bottom w:val="nil"/>
              <w:right w:val="nil"/>
            </w:tcBorders>
            <w:shd w:val="clear" w:color="auto" w:fill="FFFFFF"/>
            <w:vAlign w:val="bottom"/>
          </w:tcPr>
          <w:p w14:paraId="0397C842" w14:textId="77777777" w:rsidR="002E375F" w:rsidRDefault="00EB2569" w:rsidP="00862FE1">
            <w:pPr>
              <w:pStyle w:val="Heading2"/>
              <w:jc w:val="right"/>
            </w:pPr>
            <w:r>
              <w:rPr>
                <w:rFonts w:ascii="Arial" w:hAnsi="Arial" w:cs="Arial"/>
                <w:b/>
                <w:bCs/>
                <w:sz w:val="18"/>
                <w:szCs w:val="18"/>
              </w:rPr>
              <w:t>Accumulated Surplus</w:t>
            </w:r>
            <w:r>
              <w:rPr>
                <w:rFonts w:ascii="Arial" w:hAnsi="Arial" w:cs="Arial"/>
                <w:b/>
                <w:bCs/>
                <w:sz w:val="18"/>
                <w:szCs w:val="18"/>
              </w:rPr>
              <w:br/>
              <w:t>$'000</w:t>
            </w:r>
          </w:p>
        </w:tc>
        <w:tc>
          <w:tcPr>
            <w:tcW w:w="1248" w:type="dxa"/>
            <w:tcBorders>
              <w:top w:val="nil"/>
              <w:left w:val="nil"/>
              <w:bottom w:val="nil"/>
              <w:right w:val="nil"/>
            </w:tcBorders>
            <w:shd w:val="clear" w:color="auto" w:fill="FFFFFF"/>
            <w:vAlign w:val="bottom"/>
          </w:tcPr>
          <w:p w14:paraId="70EA394E" w14:textId="77777777" w:rsidR="002E375F" w:rsidRDefault="00EB2569" w:rsidP="00862FE1">
            <w:pPr>
              <w:pStyle w:val="Heading2"/>
              <w:jc w:val="right"/>
            </w:pPr>
            <w:r>
              <w:rPr>
                <w:rFonts w:ascii="Arial" w:hAnsi="Arial" w:cs="Arial"/>
                <w:b/>
                <w:bCs/>
                <w:sz w:val="18"/>
                <w:szCs w:val="18"/>
              </w:rPr>
              <w:t>Total</w:t>
            </w:r>
            <w:r>
              <w:rPr>
                <w:rFonts w:ascii="Arial" w:hAnsi="Arial" w:cs="Arial"/>
                <w:b/>
                <w:bCs/>
                <w:sz w:val="18"/>
                <w:szCs w:val="18"/>
              </w:rPr>
              <w:br/>
              <w:t>$'000</w:t>
            </w:r>
          </w:p>
        </w:tc>
      </w:tr>
      <w:tr w:rsidR="002E375F" w14:paraId="29B6CA3B" w14:textId="77777777">
        <w:tc>
          <w:tcPr>
            <w:tcW w:w="4722" w:type="dxa"/>
            <w:tcBorders>
              <w:top w:val="nil"/>
              <w:left w:val="nil"/>
              <w:bottom w:val="nil"/>
              <w:right w:val="nil"/>
            </w:tcBorders>
            <w:shd w:val="clear" w:color="auto" w:fill="FFFFFF"/>
            <w:vAlign w:val="bottom"/>
          </w:tcPr>
          <w:p w14:paraId="379717E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Operating Result</w:t>
            </w:r>
          </w:p>
        </w:tc>
        <w:tc>
          <w:tcPr>
            <w:tcW w:w="567" w:type="dxa"/>
            <w:tcBorders>
              <w:top w:val="nil"/>
              <w:left w:val="nil"/>
              <w:bottom w:val="nil"/>
              <w:right w:val="nil"/>
            </w:tcBorders>
            <w:shd w:val="clear" w:color="auto" w:fill="FFFFFF"/>
            <w:vAlign w:val="bottom"/>
          </w:tcPr>
          <w:p w14:paraId="3A7D683D"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nil"/>
              <w:right w:val="nil"/>
            </w:tcBorders>
            <w:shd w:val="clear" w:color="auto" w:fill="FFFFFF"/>
            <w:vAlign w:val="bottom"/>
          </w:tcPr>
          <w:p w14:paraId="7814CC2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nil"/>
              <w:right w:val="nil"/>
            </w:tcBorders>
            <w:shd w:val="clear" w:color="auto" w:fill="FFFFFF"/>
            <w:vAlign w:val="bottom"/>
          </w:tcPr>
          <w:p w14:paraId="50E8751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nil"/>
              <w:right w:val="nil"/>
            </w:tcBorders>
            <w:shd w:val="clear" w:color="auto" w:fill="FFFFFF"/>
            <w:vAlign w:val="bottom"/>
          </w:tcPr>
          <w:p w14:paraId="00DFEDE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5C057CB3" w14:textId="77777777">
        <w:tc>
          <w:tcPr>
            <w:tcW w:w="4722" w:type="dxa"/>
            <w:tcBorders>
              <w:top w:val="nil"/>
              <w:left w:val="nil"/>
              <w:bottom w:val="nil"/>
              <w:right w:val="nil"/>
            </w:tcBorders>
            <w:shd w:val="clear" w:color="auto" w:fill="FFFFFF"/>
            <w:vAlign w:val="bottom"/>
          </w:tcPr>
          <w:p w14:paraId="6478F0F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Operating result from continuing operations</w:t>
            </w:r>
          </w:p>
        </w:tc>
        <w:tc>
          <w:tcPr>
            <w:tcW w:w="567" w:type="dxa"/>
            <w:tcBorders>
              <w:top w:val="nil"/>
              <w:left w:val="nil"/>
              <w:bottom w:val="nil"/>
              <w:right w:val="nil"/>
            </w:tcBorders>
            <w:shd w:val="clear" w:color="auto" w:fill="FFFFFF"/>
            <w:vAlign w:val="bottom"/>
          </w:tcPr>
          <w:p w14:paraId="0EC0BCD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single" w:sz="2" w:space="0" w:color="auto"/>
              <w:right w:val="nil"/>
            </w:tcBorders>
            <w:shd w:val="clear" w:color="auto" w:fill="FFFFFF"/>
            <w:vAlign w:val="bottom"/>
          </w:tcPr>
          <w:p w14:paraId="1319270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1248" w:type="dxa"/>
            <w:tcBorders>
              <w:top w:val="nil"/>
              <w:left w:val="nil"/>
              <w:bottom w:val="single" w:sz="2" w:space="0" w:color="auto"/>
              <w:right w:val="nil"/>
            </w:tcBorders>
            <w:shd w:val="clear" w:color="auto" w:fill="FFFFFF"/>
            <w:vAlign w:val="bottom"/>
          </w:tcPr>
          <w:p w14:paraId="46FADD6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7,447</w:t>
            </w:r>
          </w:p>
        </w:tc>
        <w:tc>
          <w:tcPr>
            <w:tcW w:w="1248" w:type="dxa"/>
            <w:tcBorders>
              <w:top w:val="nil"/>
              <w:left w:val="nil"/>
              <w:bottom w:val="single" w:sz="2" w:space="0" w:color="auto"/>
              <w:right w:val="nil"/>
            </w:tcBorders>
            <w:shd w:val="clear" w:color="auto" w:fill="FFFFFF"/>
            <w:vAlign w:val="bottom"/>
          </w:tcPr>
          <w:p w14:paraId="210BC80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7,447</w:t>
            </w:r>
          </w:p>
        </w:tc>
      </w:tr>
      <w:tr w:rsidR="002E375F" w14:paraId="45D66B5D" w14:textId="77777777">
        <w:tc>
          <w:tcPr>
            <w:tcW w:w="4722" w:type="dxa"/>
            <w:tcBorders>
              <w:top w:val="nil"/>
              <w:left w:val="nil"/>
              <w:bottom w:val="nil"/>
              <w:right w:val="nil"/>
            </w:tcBorders>
            <w:shd w:val="clear" w:color="auto" w:fill="FFFFFF"/>
            <w:vAlign w:val="bottom"/>
          </w:tcPr>
          <w:p w14:paraId="598DB5C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Comprehensive Income for the Year</w:t>
            </w:r>
          </w:p>
        </w:tc>
        <w:tc>
          <w:tcPr>
            <w:tcW w:w="567" w:type="dxa"/>
            <w:tcBorders>
              <w:top w:val="nil"/>
              <w:left w:val="nil"/>
              <w:bottom w:val="nil"/>
              <w:right w:val="nil"/>
            </w:tcBorders>
            <w:shd w:val="clear" w:color="auto" w:fill="FFFFFF"/>
            <w:vAlign w:val="bottom"/>
          </w:tcPr>
          <w:p w14:paraId="2C8413A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single" w:sz="2" w:space="0" w:color="auto"/>
              <w:right w:val="nil"/>
            </w:tcBorders>
            <w:shd w:val="clear" w:color="auto" w:fill="FFFFFF"/>
            <w:vAlign w:val="bottom"/>
          </w:tcPr>
          <w:p w14:paraId="61F1A3A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1248" w:type="dxa"/>
            <w:tcBorders>
              <w:top w:val="nil"/>
              <w:left w:val="nil"/>
              <w:bottom w:val="single" w:sz="2" w:space="0" w:color="auto"/>
              <w:right w:val="nil"/>
            </w:tcBorders>
            <w:shd w:val="clear" w:color="auto" w:fill="FFFFFF"/>
            <w:vAlign w:val="bottom"/>
          </w:tcPr>
          <w:p w14:paraId="0E206FA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7,447</w:t>
            </w:r>
          </w:p>
        </w:tc>
        <w:tc>
          <w:tcPr>
            <w:tcW w:w="1248" w:type="dxa"/>
            <w:tcBorders>
              <w:top w:val="nil"/>
              <w:left w:val="nil"/>
              <w:bottom w:val="single" w:sz="2" w:space="0" w:color="auto"/>
              <w:right w:val="nil"/>
            </w:tcBorders>
            <w:shd w:val="clear" w:color="auto" w:fill="FFFFFF"/>
            <w:vAlign w:val="bottom"/>
          </w:tcPr>
          <w:p w14:paraId="0D670FD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7,447</w:t>
            </w:r>
          </w:p>
        </w:tc>
      </w:tr>
      <w:tr w:rsidR="002E375F" w14:paraId="3900DF6E" w14:textId="77777777">
        <w:tc>
          <w:tcPr>
            <w:tcW w:w="4722" w:type="dxa"/>
            <w:tcBorders>
              <w:top w:val="nil"/>
              <w:left w:val="nil"/>
              <w:bottom w:val="nil"/>
              <w:right w:val="nil"/>
            </w:tcBorders>
            <w:shd w:val="clear" w:color="auto" w:fill="FFFFFF"/>
            <w:vAlign w:val="bottom"/>
          </w:tcPr>
          <w:p w14:paraId="4DE1AF9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Transactions with owners as owners:</w:t>
            </w:r>
          </w:p>
        </w:tc>
        <w:tc>
          <w:tcPr>
            <w:tcW w:w="567" w:type="dxa"/>
            <w:tcBorders>
              <w:top w:val="nil"/>
              <w:left w:val="nil"/>
              <w:bottom w:val="nil"/>
              <w:right w:val="nil"/>
            </w:tcBorders>
            <w:shd w:val="clear" w:color="auto" w:fill="FFFFFF"/>
            <w:vAlign w:val="bottom"/>
          </w:tcPr>
          <w:p w14:paraId="661A27C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nil"/>
              <w:right w:val="nil"/>
            </w:tcBorders>
            <w:shd w:val="clear" w:color="auto" w:fill="FFFFFF"/>
            <w:vAlign w:val="bottom"/>
          </w:tcPr>
          <w:p w14:paraId="14748A5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nil"/>
              <w:right w:val="nil"/>
            </w:tcBorders>
            <w:shd w:val="clear" w:color="auto" w:fill="FFFFFF"/>
            <w:vAlign w:val="bottom"/>
          </w:tcPr>
          <w:p w14:paraId="55EBA99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nil"/>
              <w:right w:val="nil"/>
            </w:tcBorders>
            <w:shd w:val="clear" w:color="auto" w:fill="FFFFFF"/>
            <w:vAlign w:val="bottom"/>
          </w:tcPr>
          <w:p w14:paraId="4CD596A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251C2D30" w14:textId="77777777">
        <w:tc>
          <w:tcPr>
            <w:tcW w:w="4722" w:type="dxa"/>
            <w:tcBorders>
              <w:top w:val="nil"/>
              <w:left w:val="nil"/>
              <w:bottom w:val="nil"/>
              <w:right w:val="nil"/>
            </w:tcBorders>
            <w:shd w:val="clear" w:color="auto" w:fill="FFFFFF"/>
            <w:vAlign w:val="bottom"/>
          </w:tcPr>
          <w:p w14:paraId="71884E3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Net transfers in/(out) from other Queensland Government entities - other</w:t>
            </w:r>
          </w:p>
        </w:tc>
        <w:tc>
          <w:tcPr>
            <w:tcW w:w="567" w:type="dxa"/>
            <w:tcBorders>
              <w:top w:val="nil"/>
              <w:left w:val="nil"/>
              <w:bottom w:val="nil"/>
              <w:right w:val="nil"/>
            </w:tcBorders>
            <w:shd w:val="clear" w:color="auto" w:fill="FFFFFF"/>
            <w:vAlign w:val="bottom"/>
          </w:tcPr>
          <w:p w14:paraId="152E3462"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C9-1</w:t>
            </w:r>
          </w:p>
        </w:tc>
        <w:tc>
          <w:tcPr>
            <w:tcW w:w="1248" w:type="dxa"/>
            <w:tcBorders>
              <w:top w:val="nil"/>
              <w:left w:val="nil"/>
              <w:bottom w:val="nil"/>
              <w:right w:val="nil"/>
            </w:tcBorders>
            <w:shd w:val="clear" w:color="auto" w:fill="FFFFFF"/>
            <w:vAlign w:val="bottom"/>
          </w:tcPr>
          <w:p w14:paraId="289C4C5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(2,458)</w:t>
            </w:r>
          </w:p>
        </w:tc>
        <w:tc>
          <w:tcPr>
            <w:tcW w:w="1248" w:type="dxa"/>
            <w:tcBorders>
              <w:top w:val="nil"/>
              <w:left w:val="nil"/>
              <w:bottom w:val="nil"/>
              <w:right w:val="nil"/>
            </w:tcBorders>
            <w:shd w:val="clear" w:color="auto" w:fill="FFFFFF"/>
            <w:vAlign w:val="bottom"/>
          </w:tcPr>
          <w:p w14:paraId="0F28D2E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1248" w:type="dxa"/>
            <w:tcBorders>
              <w:top w:val="nil"/>
              <w:left w:val="nil"/>
              <w:bottom w:val="nil"/>
              <w:right w:val="nil"/>
            </w:tcBorders>
            <w:shd w:val="clear" w:color="auto" w:fill="FFFFFF"/>
            <w:vAlign w:val="bottom"/>
          </w:tcPr>
          <w:p w14:paraId="2C2F13E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(2,458)</w:t>
            </w:r>
          </w:p>
        </w:tc>
      </w:tr>
      <w:tr w:rsidR="002E375F" w14:paraId="6B96D2B8" w14:textId="77777777">
        <w:tc>
          <w:tcPr>
            <w:tcW w:w="4722" w:type="dxa"/>
            <w:tcBorders>
              <w:top w:val="nil"/>
              <w:left w:val="nil"/>
              <w:bottom w:val="nil"/>
              <w:right w:val="nil"/>
            </w:tcBorders>
            <w:shd w:val="clear" w:color="auto" w:fill="FFFFFF"/>
            <w:vAlign w:val="bottom"/>
          </w:tcPr>
          <w:p w14:paraId="44FE45D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Net appropriated equity injections</w:t>
            </w:r>
          </w:p>
        </w:tc>
        <w:tc>
          <w:tcPr>
            <w:tcW w:w="567" w:type="dxa"/>
            <w:tcBorders>
              <w:top w:val="nil"/>
              <w:left w:val="nil"/>
              <w:bottom w:val="nil"/>
              <w:right w:val="nil"/>
            </w:tcBorders>
            <w:shd w:val="clear" w:color="auto" w:fill="FFFFFF"/>
            <w:vAlign w:val="bottom"/>
          </w:tcPr>
          <w:p w14:paraId="69CABDF8"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C9-2</w:t>
            </w:r>
          </w:p>
        </w:tc>
        <w:tc>
          <w:tcPr>
            <w:tcW w:w="1248" w:type="dxa"/>
            <w:tcBorders>
              <w:top w:val="nil"/>
              <w:left w:val="nil"/>
              <w:bottom w:val="single" w:sz="2" w:space="0" w:color="auto"/>
              <w:right w:val="nil"/>
            </w:tcBorders>
            <w:shd w:val="clear" w:color="auto" w:fill="FFFFFF"/>
            <w:vAlign w:val="bottom"/>
          </w:tcPr>
          <w:p w14:paraId="21E6C40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3,259</w:t>
            </w:r>
          </w:p>
        </w:tc>
        <w:tc>
          <w:tcPr>
            <w:tcW w:w="1248" w:type="dxa"/>
            <w:tcBorders>
              <w:top w:val="nil"/>
              <w:left w:val="nil"/>
              <w:bottom w:val="single" w:sz="2" w:space="0" w:color="auto"/>
              <w:right w:val="nil"/>
            </w:tcBorders>
            <w:shd w:val="clear" w:color="auto" w:fill="FFFFFF"/>
            <w:vAlign w:val="bottom"/>
          </w:tcPr>
          <w:p w14:paraId="2CFA76A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1248" w:type="dxa"/>
            <w:tcBorders>
              <w:top w:val="nil"/>
              <w:left w:val="nil"/>
              <w:bottom w:val="single" w:sz="2" w:space="0" w:color="auto"/>
              <w:right w:val="nil"/>
            </w:tcBorders>
            <w:shd w:val="clear" w:color="auto" w:fill="FFFFFF"/>
            <w:vAlign w:val="bottom"/>
          </w:tcPr>
          <w:p w14:paraId="1FA72DD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3,259</w:t>
            </w:r>
          </w:p>
        </w:tc>
      </w:tr>
      <w:tr w:rsidR="002E375F" w14:paraId="12935AF4" w14:textId="77777777">
        <w:tc>
          <w:tcPr>
            <w:tcW w:w="4722" w:type="dxa"/>
            <w:tcBorders>
              <w:top w:val="nil"/>
              <w:left w:val="nil"/>
              <w:bottom w:val="nil"/>
              <w:right w:val="nil"/>
            </w:tcBorders>
            <w:shd w:val="clear" w:color="auto" w:fill="FFFFFF"/>
            <w:vAlign w:val="bottom"/>
          </w:tcPr>
          <w:p w14:paraId="141EC47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Net Transactions with Owners as Owners</w:t>
            </w:r>
          </w:p>
        </w:tc>
        <w:tc>
          <w:tcPr>
            <w:tcW w:w="567" w:type="dxa"/>
            <w:tcBorders>
              <w:top w:val="nil"/>
              <w:left w:val="nil"/>
              <w:bottom w:val="nil"/>
              <w:right w:val="nil"/>
            </w:tcBorders>
            <w:shd w:val="clear" w:color="auto" w:fill="FFFFFF"/>
            <w:vAlign w:val="bottom"/>
          </w:tcPr>
          <w:p w14:paraId="7B64118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single" w:sz="2" w:space="0" w:color="auto"/>
              <w:right w:val="nil"/>
            </w:tcBorders>
            <w:shd w:val="clear" w:color="auto" w:fill="FFFFFF"/>
            <w:vAlign w:val="bottom"/>
          </w:tcPr>
          <w:p w14:paraId="49012B0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801</w:t>
            </w:r>
          </w:p>
        </w:tc>
        <w:tc>
          <w:tcPr>
            <w:tcW w:w="1248" w:type="dxa"/>
            <w:tcBorders>
              <w:top w:val="nil"/>
              <w:left w:val="nil"/>
              <w:bottom w:val="single" w:sz="2" w:space="0" w:color="auto"/>
              <w:right w:val="nil"/>
            </w:tcBorders>
            <w:shd w:val="clear" w:color="auto" w:fill="FFFFFF"/>
            <w:vAlign w:val="bottom"/>
          </w:tcPr>
          <w:p w14:paraId="4CDC945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1248" w:type="dxa"/>
            <w:tcBorders>
              <w:top w:val="nil"/>
              <w:left w:val="nil"/>
              <w:bottom w:val="single" w:sz="2" w:space="0" w:color="auto"/>
              <w:right w:val="nil"/>
            </w:tcBorders>
            <w:shd w:val="clear" w:color="auto" w:fill="FFFFFF"/>
            <w:vAlign w:val="bottom"/>
          </w:tcPr>
          <w:p w14:paraId="4534B86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801</w:t>
            </w:r>
          </w:p>
        </w:tc>
      </w:tr>
      <w:tr w:rsidR="002E375F" w14:paraId="1AEADEA0" w14:textId="77777777">
        <w:tc>
          <w:tcPr>
            <w:tcW w:w="4722" w:type="dxa"/>
            <w:tcBorders>
              <w:top w:val="nil"/>
              <w:left w:val="nil"/>
              <w:bottom w:val="nil"/>
              <w:right w:val="nil"/>
            </w:tcBorders>
            <w:shd w:val="clear" w:color="auto" w:fill="FFFFFF"/>
            <w:vAlign w:val="bottom"/>
          </w:tcPr>
          <w:p w14:paraId="3A150F1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Balance as at 30 June 2020</w:t>
            </w:r>
          </w:p>
        </w:tc>
        <w:tc>
          <w:tcPr>
            <w:tcW w:w="567" w:type="dxa"/>
            <w:tcBorders>
              <w:top w:val="nil"/>
              <w:left w:val="nil"/>
              <w:bottom w:val="nil"/>
              <w:right w:val="nil"/>
            </w:tcBorders>
            <w:shd w:val="clear" w:color="auto" w:fill="FFFFFF"/>
            <w:vAlign w:val="bottom"/>
          </w:tcPr>
          <w:p w14:paraId="54EFE38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single" w:sz="2" w:space="0" w:color="auto"/>
              <w:right w:val="nil"/>
            </w:tcBorders>
            <w:shd w:val="clear" w:color="auto" w:fill="FFFFFF"/>
            <w:vAlign w:val="bottom"/>
          </w:tcPr>
          <w:p w14:paraId="11F7AE0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303,051</w:t>
            </w:r>
          </w:p>
        </w:tc>
        <w:tc>
          <w:tcPr>
            <w:tcW w:w="1248" w:type="dxa"/>
            <w:tcBorders>
              <w:top w:val="nil"/>
              <w:left w:val="nil"/>
              <w:bottom w:val="single" w:sz="2" w:space="0" w:color="auto"/>
              <w:right w:val="nil"/>
            </w:tcBorders>
            <w:shd w:val="clear" w:color="auto" w:fill="FFFFFF"/>
            <w:vAlign w:val="bottom"/>
          </w:tcPr>
          <w:p w14:paraId="65DBCDB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20,640</w:t>
            </w:r>
          </w:p>
        </w:tc>
        <w:tc>
          <w:tcPr>
            <w:tcW w:w="1248" w:type="dxa"/>
            <w:tcBorders>
              <w:top w:val="nil"/>
              <w:left w:val="nil"/>
              <w:bottom w:val="single" w:sz="2" w:space="0" w:color="auto"/>
              <w:right w:val="nil"/>
            </w:tcBorders>
            <w:shd w:val="clear" w:color="auto" w:fill="FFFFFF"/>
            <w:vAlign w:val="bottom"/>
          </w:tcPr>
          <w:p w14:paraId="3C6F751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323,691</w:t>
            </w:r>
          </w:p>
        </w:tc>
      </w:tr>
    </w:tbl>
    <w:p w14:paraId="3F6B649C"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15FF8F43" w14:textId="77777777" w:rsidR="002E375F" w:rsidRDefault="00EB2569" w:rsidP="00F45CE1">
      <w:pPr>
        <w:pStyle w:val="Heading2"/>
        <w:spacing w:before="0"/>
        <w:rPr>
          <w:rFonts w:ascii="Times New Roman" w:hAnsi="Times New Roman" w:cs="Times New Roman"/>
        </w:rPr>
      </w:pPr>
      <w:r>
        <w:lastRenderedPageBreak/>
        <w:t>Department of Communities, Disability Services and Seniors</w:t>
      </w:r>
    </w:p>
    <w:p w14:paraId="0827C7F9" w14:textId="77777777" w:rsidR="002E375F" w:rsidRDefault="00EB2569" w:rsidP="00F45CE1">
      <w:pPr>
        <w:pStyle w:val="Heading2"/>
        <w:spacing w:before="0"/>
        <w:rPr>
          <w:rFonts w:ascii="Times New Roman" w:hAnsi="Times New Roman" w:cs="Times New Roman"/>
        </w:rPr>
      </w:pPr>
      <w:r>
        <w:t>Statement of Cash Flows - Controlled</w:t>
      </w:r>
    </w:p>
    <w:p w14:paraId="792F4BA2" w14:textId="77777777" w:rsidR="002E375F" w:rsidRDefault="00EB2569" w:rsidP="00F45CE1">
      <w:pPr>
        <w:pStyle w:val="Heading2"/>
        <w:spacing w:before="0"/>
        <w:rPr>
          <w:rFonts w:ascii="Times New Roman" w:hAnsi="Times New Roman" w:cs="Times New Roman"/>
        </w:rPr>
      </w:pPr>
      <w:r>
        <w:t>for the year ended 30 June 2020</w:t>
      </w:r>
    </w:p>
    <w:p w14:paraId="26757E30" w14:textId="77777777" w:rsidR="002E375F" w:rsidRDefault="002E375F">
      <w:pPr>
        <w:autoSpaceDE w:val="0"/>
        <w:autoSpaceDN w:val="0"/>
        <w:adjustRightInd w:val="0"/>
        <w:spacing w:after="0" w:line="240" w:lineRule="auto"/>
        <w:rPr>
          <w:rFonts w:ascii="Times New Roman" w:hAnsi="Times New Roman" w:cs="Times New Roman"/>
          <w:sz w:val="24"/>
          <w:szCs w:val="24"/>
        </w:rPr>
      </w:pPr>
    </w:p>
    <w:tbl>
      <w:tblPr>
        <w:tblW w:w="9033" w:type="dxa"/>
        <w:tblLayout w:type="fixed"/>
        <w:tblCellMar>
          <w:left w:w="0" w:type="dxa"/>
          <w:right w:w="0" w:type="dxa"/>
        </w:tblCellMar>
        <w:tblLook w:val="0000" w:firstRow="0" w:lastRow="0" w:firstColumn="0" w:lastColumn="0" w:noHBand="0" w:noVBand="0"/>
      </w:tblPr>
      <w:tblGrid>
        <w:gridCol w:w="355"/>
        <w:gridCol w:w="4254"/>
        <w:gridCol w:w="567"/>
        <w:gridCol w:w="964"/>
        <w:gridCol w:w="964"/>
        <w:gridCol w:w="964"/>
        <w:gridCol w:w="965"/>
      </w:tblGrid>
      <w:tr w:rsidR="002E375F" w14:paraId="37AE11F0" w14:textId="77777777" w:rsidTr="00B55A2A">
        <w:tc>
          <w:tcPr>
            <w:tcW w:w="4609" w:type="dxa"/>
            <w:gridSpan w:val="2"/>
            <w:tcBorders>
              <w:top w:val="nil"/>
              <w:left w:val="nil"/>
              <w:bottom w:val="nil"/>
              <w:right w:val="nil"/>
            </w:tcBorders>
            <w:shd w:val="clear" w:color="auto" w:fill="FFFFFF"/>
            <w:vAlign w:val="bottom"/>
          </w:tcPr>
          <w:p w14:paraId="0476C67E" w14:textId="77777777" w:rsidR="002E375F" w:rsidRDefault="002E375F" w:rsidP="001C442D">
            <w:pPr>
              <w:pStyle w:val="Heading2"/>
            </w:pPr>
          </w:p>
        </w:tc>
        <w:tc>
          <w:tcPr>
            <w:tcW w:w="567" w:type="dxa"/>
            <w:tcBorders>
              <w:top w:val="nil"/>
              <w:left w:val="nil"/>
              <w:bottom w:val="nil"/>
              <w:right w:val="nil"/>
            </w:tcBorders>
            <w:shd w:val="clear" w:color="auto" w:fill="FFFFFF"/>
            <w:vAlign w:val="bottom"/>
          </w:tcPr>
          <w:p w14:paraId="5BA97516" w14:textId="77777777" w:rsidR="002E375F" w:rsidRDefault="00EB2569" w:rsidP="001C442D">
            <w:pPr>
              <w:pStyle w:val="Heading2"/>
            </w:pPr>
            <w:r>
              <w:rPr>
                <w:rFonts w:ascii="Arial" w:hAnsi="Arial" w:cs="Arial"/>
                <w:b/>
                <w:bCs/>
                <w:sz w:val="18"/>
                <w:szCs w:val="18"/>
              </w:rPr>
              <w:t>Note</w:t>
            </w:r>
          </w:p>
        </w:tc>
        <w:tc>
          <w:tcPr>
            <w:tcW w:w="964" w:type="dxa"/>
            <w:tcBorders>
              <w:top w:val="nil"/>
              <w:left w:val="nil"/>
              <w:bottom w:val="nil"/>
              <w:right w:val="nil"/>
            </w:tcBorders>
            <w:shd w:val="clear" w:color="auto" w:fill="FFFFFF"/>
            <w:vAlign w:val="bottom"/>
          </w:tcPr>
          <w:p w14:paraId="0EFDB85E" w14:textId="77777777" w:rsidR="002E375F" w:rsidRDefault="00EB2569" w:rsidP="00862FE1">
            <w:pPr>
              <w:pStyle w:val="Heading2"/>
              <w:jc w:val="right"/>
            </w:pPr>
            <w:r>
              <w:rPr>
                <w:rFonts w:ascii="Arial" w:hAnsi="Arial" w:cs="Arial"/>
                <w:b/>
                <w:bCs/>
                <w:sz w:val="18"/>
                <w:szCs w:val="18"/>
              </w:rPr>
              <w:t>Actual</w:t>
            </w:r>
            <w:r>
              <w:rPr>
                <w:rFonts w:ascii="Arial" w:hAnsi="Arial" w:cs="Arial"/>
                <w:b/>
                <w:bCs/>
                <w:sz w:val="18"/>
                <w:szCs w:val="18"/>
              </w:rPr>
              <w:b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3696ACCA" w14:textId="77777777" w:rsidR="002E375F" w:rsidRDefault="00EB2569" w:rsidP="00862FE1">
            <w:pPr>
              <w:pStyle w:val="Heading2"/>
              <w:jc w:val="right"/>
            </w:pPr>
            <w:r>
              <w:rPr>
                <w:rFonts w:ascii="Arial" w:hAnsi="Arial" w:cs="Arial"/>
                <w:b/>
                <w:bCs/>
                <w:sz w:val="18"/>
                <w:szCs w:val="18"/>
              </w:rPr>
              <w:t>Original Budget^</w:t>
            </w:r>
            <w:r>
              <w:rPr>
                <w:rFonts w:ascii="Arial" w:hAnsi="Arial" w:cs="Arial"/>
                <w:sz w:val="18"/>
                <w:szCs w:val="18"/>
              </w:rPr>
              <w:br/>
              <w:t>2020</w:t>
            </w:r>
            <w:r>
              <w:rPr>
                <w:rFonts w:ascii="Arial" w:hAnsi="Arial" w:cs="Arial"/>
                <w:sz w:val="18"/>
                <w:szCs w:val="18"/>
              </w:rPr>
              <w:br/>
              <w:t>$'000</w:t>
            </w:r>
          </w:p>
        </w:tc>
        <w:tc>
          <w:tcPr>
            <w:tcW w:w="964" w:type="dxa"/>
            <w:tcBorders>
              <w:top w:val="nil"/>
              <w:left w:val="nil"/>
              <w:bottom w:val="nil"/>
              <w:right w:val="nil"/>
            </w:tcBorders>
            <w:shd w:val="clear" w:color="auto" w:fill="FFFFFF"/>
            <w:vAlign w:val="bottom"/>
          </w:tcPr>
          <w:p w14:paraId="4D6F9587" w14:textId="77777777" w:rsidR="002E375F" w:rsidRDefault="00EB2569" w:rsidP="00862FE1">
            <w:pPr>
              <w:pStyle w:val="Heading2"/>
              <w:jc w:val="right"/>
            </w:pPr>
            <w:r>
              <w:rPr>
                <w:rFonts w:ascii="Arial" w:hAnsi="Arial" w:cs="Arial"/>
                <w:b/>
                <w:bCs/>
                <w:sz w:val="18"/>
                <w:szCs w:val="18"/>
              </w:rPr>
              <w:t xml:space="preserve">Budget Variance* </w:t>
            </w:r>
            <w:r>
              <w:rPr>
                <w:rFonts w:ascii="Arial" w:hAnsi="Arial" w:cs="Arial"/>
                <w:sz w:val="18"/>
                <w:szCs w:val="18"/>
              </w:rPr>
              <w:br/>
              <w:t>2020</w:t>
            </w:r>
            <w:r>
              <w:rPr>
                <w:rFonts w:ascii="Arial" w:hAnsi="Arial" w:cs="Arial"/>
                <w:sz w:val="18"/>
                <w:szCs w:val="18"/>
              </w:rPr>
              <w:br/>
              <w:t>$'000</w:t>
            </w:r>
          </w:p>
        </w:tc>
        <w:tc>
          <w:tcPr>
            <w:tcW w:w="965" w:type="dxa"/>
            <w:tcBorders>
              <w:top w:val="nil"/>
              <w:left w:val="nil"/>
              <w:bottom w:val="nil"/>
              <w:right w:val="nil"/>
            </w:tcBorders>
            <w:shd w:val="clear" w:color="auto" w:fill="FFFFFF"/>
            <w:vAlign w:val="bottom"/>
          </w:tcPr>
          <w:p w14:paraId="4CC83535" w14:textId="77777777" w:rsidR="002E375F" w:rsidRDefault="00EB2569" w:rsidP="00862FE1">
            <w:pPr>
              <w:pStyle w:val="Heading2"/>
              <w:jc w:val="right"/>
            </w:pPr>
            <w:r>
              <w:rPr>
                <w:rFonts w:ascii="Arial" w:hAnsi="Arial" w:cs="Arial"/>
                <w:b/>
                <w:bCs/>
                <w:sz w:val="18"/>
                <w:szCs w:val="18"/>
              </w:rPr>
              <w:t>Actual</w:t>
            </w:r>
            <w:r>
              <w:rPr>
                <w:rFonts w:ascii="Arial" w:hAnsi="Arial" w:cs="Arial"/>
                <w:sz w:val="18"/>
                <w:szCs w:val="18"/>
              </w:rPr>
              <w:br/>
              <w:t>2019</w:t>
            </w:r>
            <w:r>
              <w:rPr>
                <w:rFonts w:ascii="Arial" w:hAnsi="Arial" w:cs="Arial"/>
                <w:sz w:val="18"/>
                <w:szCs w:val="18"/>
              </w:rPr>
              <w:br/>
              <w:t>$'000</w:t>
            </w:r>
          </w:p>
        </w:tc>
      </w:tr>
      <w:tr w:rsidR="002E375F" w14:paraId="23C60731" w14:textId="77777777" w:rsidTr="00B55A2A">
        <w:tc>
          <w:tcPr>
            <w:tcW w:w="9033" w:type="dxa"/>
            <w:gridSpan w:val="7"/>
            <w:tcBorders>
              <w:top w:val="nil"/>
              <w:left w:val="nil"/>
              <w:bottom w:val="nil"/>
              <w:right w:val="nil"/>
            </w:tcBorders>
            <w:shd w:val="clear" w:color="auto" w:fill="FFFFFF"/>
            <w:vAlign w:val="bottom"/>
          </w:tcPr>
          <w:p w14:paraId="2BF2FC4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Cash Flows from Operating Activities</w:t>
            </w:r>
          </w:p>
        </w:tc>
      </w:tr>
      <w:tr w:rsidR="002E375F" w14:paraId="1B35F10D" w14:textId="77777777" w:rsidTr="00B55A2A">
        <w:tc>
          <w:tcPr>
            <w:tcW w:w="4609" w:type="dxa"/>
            <w:gridSpan w:val="2"/>
            <w:tcBorders>
              <w:top w:val="nil"/>
              <w:left w:val="nil"/>
              <w:bottom w:val="nil"/>
              <w:right w:val="nil"/>
            </w:tcBorders>
            <w:shd w:val="clear" w:color="auto" w:fill="FFFFFF"/>
            <w:vAlign w:val="bottom"/>
          </w:tcPr>
          <w:p w14:paraId="7F0EA7E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i/>
                <w:iCs/>
                <w:sz w:val="18"/>
                <w:szCs w:val="18"/>
              </w:rPr>
              <w:t>Inflows:</w:t>
            </w:r>
          </w:p>
        </w:tc>
        <w:tc>
          <w:tcPr>
            <w:tcW w:w="567" w:type="dxa"/>
            <w:tcBorders>
              <w:top w:val="nil"/>
              <w:left w:val="nil"/>
              <w:bottom w:val="nil"/>
              <w:right w:val="nil"/>
            </w:tcBorders>
            <w:shd w:val="clear" w:color="auto" w:fill="FFFFFF"/>
            <w:vAlign w:val="bottom"/>
          </w:tcPr>
          <w:p w14:paraId="704B7512"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9D72A0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E73229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2028D23"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5" w:type="dxa"/>
            <w:tcBorders>
              <w:top w:val="nil"/>
              <w:left w:val="nil"/>
              <w:bottom w:val="nil"/>
              <w:right w:val="nil"/>
            </w:tcBorders>
            <w:shd w:val="clear" w:color="auto" w:fill="FFFFFF"/>
            <w:vAlign w:val="bottom"/>
          </w:tcPr>
          <w:p w14:paraId="46ED5DD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6DFC1592" w14:textId="77777777" w:rsidTr="00B55A2A">
        <w:tc>
          <w:tcPr>
            <w:tcW w:w="4609" w:type="dxa"/>
            <w:gridSpan w:val="2"/>
            <w:tcBorders>
              <w:top w:val="nil"/>
              <w:left w:val="nil"/>
              <w:bottom w:val="nil"/>
              <w:right w:val="nil"/>
            </w:tcBorders>
            <w:shd w:val="clear" w:color="auto" w:fill="FFFFFF"/>
            <w:vAlign w:val="bottom"/>
          </w:tcPr>
          <w:p w14:paraId="7F6D416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Service appropriation receipts</w:t>
            </w:r>
          </w:p>
        </w:tc>
        <w:tc>
          <w:tcPr>
            <w:tcW w:w="567" w:type="dxa"/>
            <w:tcBorders>
              <w:top w:val="nil"/>
              <w:left w:val="nil"/>
              <w:bottom w:val="nil"/>
              <w:right w:val="nil"/>
            </w:tcBorders>
            <w:shd w:val="clear" w:color="auto" w:fill="FFFFFF"/>
            <w:vAlign w:val="bottom"/>
          </w:tcPr>
          <w:p w14:paraId="1D7424A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BADFE2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363,347</w:t>
            </w:r>
          </w:p>
        </w:tc>
        <w:tc>
          <w:tcPr>
            <w:tcW w:w="964" w:type="dxa"/>
            <w:tcBorders>
              <w:top w:val="nil"/>
              <w:left w:val="nil"/>
              <w:bottom w:val="nil"/>
              <w:right w:val="nil"/>
            </w:tcBorders>
            <w:shd w:val="clear" w:color="auto" w:fill="FFFFFF"/>
            <w:vAlign w:val="bottom"/>
          </w:tcPr>
          <w:p w14:paraId="2CFB9A2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361,571</w:t>
            </w:r>
          </w:p>
        </w:tc>
        <w:tc>
          <w:tcPr>
            <w:tcW w:w="964" w:type="dxa"/>
            <w:tcBorders>
              <w:top w:val="nil"/>
              <w:left w:val="nil"/>
              <w:bottom w:val="nil"/>
              <w:right w:val="nil"/>
            </w:tcBorders>
            <w:shd w:val="clear" w:color="auto" w:fill="FFFFFF"/>
            <w:vAlign w:val="bottom"/>
          </w:tcPr>
          <w:p w14:paraId="4B54787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1,776</w:t>
            </w:r>
          </w:p>
        </w:tc>
        <w:tc>
          <w:tcPr>
            <w:tcW w:w="965" w:type="dxa"/>
            <w:tcBorders>
              <w:top w:val="nil"/>
              <w:left w:val="nil"/>
              <w:bottom w:val="nil"/>
              <w:right w:val="nil"/>
            </w:tcBorders>
            <w:shd w:val="clear" w:color="auto" w:fill="FFFFFF"/>
            <w:vAlign w:val="bottom"/>
          </w:tcPr>
          <w:p w14:paraId="029D777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932,747</w:t>
            </w:r>
          </w:p>
        </w:tc>
      </w:tr>
      <w:tr w:rsidR="002E375F" w14:paraId="6EEC9BA9" w14:textId="77777777" w:rsidTr="00B55A2A">
        <w:tc>
          <w:tcPr>
            <w:tcW w:w="4609" w:type="dxa"/>
            <w:gridSpan w:val="2"/>
            <w:tcBorders>
              <w:top w:val="nil"/>
              <w:left w:val="nil"/>
              <w:bottom w:val="nil"/>
              <w:right w:val="nil"/>
            </w:tcBorders>
            <w:shd w:val="clear" w:color="auto" w:fill="FFFFFF"/>
            <w:vAlign w:val="bottom"/>
          </w:tcPr>
          <w:p w14:paraId="7AD474F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User charges and fees</w:t>
            </w:r>
          </w:p>
        </w:tc>
        <w:tc>
          <w:tcPr>
            <w:tcW w:w="567" w:type="dxa"/>
            <w:tcBorders>
              <w:top w:val="nil"/>
              <w:left w:val="nil"/>
              <w:bottom w:val="nil"/>
              <w:right w:val="nil"/>
            </w:tcBorders>
            <w:shd w:val="clear" w:color="auto" w:fill="FFFFFF"/>
            <w:vAlign w:val="bottom"/>
          </w:tcPr>
          <w:p w14:paraId="4398A42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1DEB72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7,181</w:t>
            </w:r>
          </w:p>
        </w:tc>
        <w:tc>
          <w:tcPr>
            <w:tcW w:w="964" w:type="dxa"/>
            <w:tcBorders>
              <w:top w:val="nil"/>
              <w:left w:val="nil"/>
              <w:bottom w:val="nil"/>
              <w:right w:val="nil"/>
            </w:tcBorders>
            <w:shd w:val="clear" w:color="auto" w:fill="FFFFFF"/>
            <w:vAlign w:val="bottom"/>
          </w:tcPr>
          <w:p w14:paraId="6825091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8,170</w:t>
            </w:r>
          </w:p>
        </w:tc>
        <w:tc>
          <w:tcPr>
            <w:tcW w:w="964" w:type="dxa"/>
            <w:tcBorders>
              <w:top w:val="nil"/>
              <w:left w:val="nil"/>
              <w:bottom w:val="nil"/>
              <w:right w:val="nil"/>
            </w:tcBorders>
            <w:shd w:val="clear" w:color="auto" w:fill="FFFFFF"/>
            <w:vAlign w:val="bottom"/>
          </w:tcPr>
          <w:p w14:paraId="6FDB955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(989)</w:t>
            </w:r>
          </w:p>
        </w:tc>
        <w:tc>
          <w:tcPr>
            <w:tcW w:w="965" w:type="dxa"/>
            <w:tcBorders>
              <w:top w:val="nil"/>
              <w:left w:val="nil"/>
              <w:bottom w:val="nil"/>
              <w:right w:val="nil"/>
            </w:tcBorders>
            <w:shd w:val="clear" w:color="auto" w:fill="FFFFFF"/>
            <w:vAlign w:val="bottom"/>
          </w:tcPr>
          <w:p w14:paraId="55FD3BD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16,648</w:t>
            </w:r>
          </w:p>
        </w:tc>
      </w:tr>
      <w:tr w:rsidR="002E375F" w14:paraId="52A3FC60" w14:textId="77777777" w:rsidTr="00B55A2A">
        <w:tc>
          <w:tcPr>
            <w:tcW w:w="4609" w:type="dxa"/>
            <w:gridSpan w:val="2"/>
            <w:tcBorders>
              <w:top w:val="nil"/>
              <w:left w:val="nil"/>
              <w:bottom w:val="nil"/>
              <w:right w:val="nil"/>
            </w:tcBorders>
            <w:shd w:val="clear" w:color="auto" w:fill="FFFFFF"/>
            <w:vAlign w:val="bottom"/>
          </w:tcPr>
          <w:p w14:paraId="061CA15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Grants and other contributions</w:t>
            </w:r>
          </w:p>
        </w:tc>
        <w:tc>
          <w:tcPr>
            <w:tcW w:w="567" w:type="dxa"/>
            <w:tcBorders>
              <w:top w:val="nil"/>
              <w:left w:val="nil"/>
              <w:bottom w:val="nil"/>
              <w:right w:val="nil"/>
            </w:tcBorders>
            <w:shd w:val="clear" w:color="auto" w:fill="FFFFFF"/>
            <w:vAlign w:val="bottom"/>
          </w:tcPr>
          <w:p w14:paraId="1365BB9B"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0DAE39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13,311</w:t>
            </w:r>
          </w:p>
        </w:tc>
        <w:tc>
          <w:tcPr>
            <w:tcW w:w="964" w:type="dxa"/>
            <w:tcBorders>
              <w:top w:val="nil"/>
              <w:left w:val="nil"/>
              <w:bottom w:val="nil"/>
              <w:right w:val="nil"/>
            </w:tcBorders>
            <w:shd w:val="clear" w:color="auto" w:fill="FFFFFF"/>
            <w:vAlign w:val="bottom"/>
          </w:tcPr>
          <w:p w14:paraId="285A70E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12,088</w:t>
            </w:r>
          </w:p>
        </w:tc>
        <w:tc>
          <w:tcPr>
            <w:tcW w:w="964" w:type="dxa"/>
            <w:tcBorders>
              <w:top w:val="nil"/>
              <w:left w:val="nil"/>
              <w:bottom w:val="nil"/>
              <w:right w:val="nil"/>
            </w:tcBorders>
            <w:shd w:val="clear" w:color="auto" w:fill="FFFFFF"/>
            <w:vAlign w:val="bottom"/>
          </w:tcPr>
          <w:p w14:paraId="30AAEFB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1,223</w:t>
            </w:r>
          </w:p>
        </w:tc>
        <w:tc>
          <w:tcPr>
            <w:tcW w:w="965" w:type="dxa"/>
            <w:tcBorders>
              <w:top w:val="nil"/>
              <w:left w:val="nil"/>
              <w:bottom w:val="nil"/>
              <w:right w:val="nil"/>
            </w:tcBorders>
            <w:shd w:val="clear" w:color="auto" w:fill="FFFFFF"/>
            <w:vAlign w:val="bottom"/>
          </w:tcPr>
          <w:p w14:paraId="28BC15F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22,125</w:t>
            </w:r>
          </w:p>
        </w:tc>
      </w:tr>
      <w:tr w:rsidR="002E375F" w14:paraId="7DCA795D" w14:textId="77777777" w:rsidTr="00B55A2A">
        <w:tc>
          <w:tcPr>
            <w:tcW w:w="4609" w:type="dxa"/>
            <w:gridSpan w:val="2"/>
            <w:tcBorders>
              <w:top w:val="nil"/>
              <w:left w:val="nil"/>
              <w:bottom w:val="nil"/>
              <w:right w:val="nil"/>
            </w:tcBorders>
            <w:shd w:val="clear" w:color="auto" w:fill="FFFFFF"/>
            <w:vAlign w:val="bottom"/>
          </w:tcPr>
          <w:p w14:paraId="7815BF9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GST input tax credits received from ATO</w:t>
            </w:r>
          </w:p>
        </w:tc>
        <w:tc>
          <w:tcPr>
            <w:tcW w:w="567" w:type="dxa"/>
            <w:tcBorders>
              <w:top w:val="nil"/>
              <w:left w:val="nil"/>
              <w:bottom w:val="nil"/>
              <w:right w:val="nil"/>
            </w:tcBorders>
            <w:shd w:val="clear" w:color="auto" w:fill="FFFFFF"/>
            <w:vAlign w:val="bottom"/>
          </w:tcPr>
          <w:p w14:paraId="756335ED"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A18C8E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20,625</w:t>
            </w:r>
          </w:p>
        </w:tc>
        <w:tc>
          <w:tcPr>
            <w:tcW w:w="964" w:type="dxa"/>
            <w:tcBorders>
              <w:top w:val="nil"/>
              <w:left w:val="nil"/>
              <w:bottom w:val="nil"/>
              <w:right w:val="nil"/>
            </w:tcBorders>
            <w:shd w:val="clear" w:color="auto" w:fill="FFFFFF"/>
            <w:vAlign w:val="bottom"/>
          </w:tcPr>
          <w:p w14:paraId="23DFE68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5F9B0A0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20,625</w:t>
            </w:r>
          </w:p>
        </w:tc>
        <w:tc>
          <w:tcPr>
            <w:tcW w:w="965" w:type="dxa"/>
            <w:tcBorders>
              <w:top w:val="nil"/>
              <w:left w:val="nil"/>
              <w:bottom w:val="nil"/>
              <w:right w:val="nil"/>
            </w:tcBorders>
            <w:shd w:val="clear" w:color="auto" w:fill="FFFFFF"/>
            <w:vAlign w:val="bottom"/>
          </w:tcPr>
          <w:p w14:paraId="59DC919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75,882</w:t>
            </w:r>
          </w:p>
        </w:tc>
      </w:tr>
      <w:tr w:rsidR="002E375F" w14:paraId="081C4399" w14:textId="77777777" w:rsidTr="00B55A2A">
        <w:tc>
          <w:tcPr>
            <w:tcW w:w="4609" w:type="dxa"/>
            <w:gridSpan w:val="2"/>
            <w:tcBorders>
              <w:top w:val="nil"/>
              <w:left w:val="nil"/>
              <w:bottom w:val="nil"/>
              <w:right w:val="nil"/>
            </w:tcBorders>
            <w:shd w:val="clear" w:color="auto" w:fill="FFFFFF"/>
            <w:vAlign w:val="bottom"/>
          </w:tcPr>
          <w:p w14:paraId="5B9EDC5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GST collected from customers</w:t>
            </w:r>
          </w:p>
        </w:tc>
        <w:tc>
          <w:tcPr>
            <w:tcW w:w="567" w:type="dxa"/>
            <w:tcBorders>
              <w:top w:val="nil"/>
              <w:left w:val="nil"/>
              <w:bottom w:val="nil"/>
              <w:right w:val="nil"/>
            </w:tcBorders>
            <w:shd w:val="clear" w:color="auto" w:fill="FFFFFF"/>
            <w:vAlign w:val="bottom"/>
          </w:tcPr>
          <w:p w14:paraId="7878FE7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4C68F1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1,934</w:t>
            </w:r>
          </w:p>
        </w:tc>
        <w:tc>
          <w:tcPr>
            <w:tcW w:w="964" w:type="dxa"/>
            <w:tcBorders>
              <w:top w:val="nil"/>
              <w:left w:val="nil"/>
              <w:bottom w:val="nil"/>
              <w:right w:val="nil"/>
            </w:tcBorders>
            <w:shd w:val="clear" w:color="auto" w:fill="FFFFFF"/>
            <w:vAlign w:val="bottom"/>
          </w:tcPr>
          <w:p w14:paraId="606C555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37140C8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1,934</w:t>
            </w:r>
          </w:p>
        </w:tc>
        <w:tc>
          <w:tcPr>
            <w:tcW w:w="965" w:type="dxa"/>
            <w:tcBorders>
              <w:top w:val="nil"/>
              <w:left w:val="nil"/>
              <w:bottom w:val="nil"/>
              <w:right w:val="nil"/>
            </w:tcBorders>
            <w:shd w:val="clear" w:color="auto" w:fill="FFFFFF"/>
            <w:vAlign w:val="bottom"/>
          </w:tcPr>
          <w:p w14:paraId="173284C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1,908</w:t>
            </w:r>
          </w:p>
        </w:tc>
      </w:tr>
      <w:tr w:rsidR="002E375F" w14:paraId="4360E65D" w14:textId="77777777" w:rsidTr="00B55A2A">
        <w:tc>
          <w:tcPr>
            <w:tcW w:w="4609" w:type="dxa"/>
            <w:gridSpan w:val="2"/>
            <w:tcBorders>
              <w:top w:val="nil"/>
              <w:left w:val="nil"/>
              <w:bottom w:val="nil"/>
              <w:right w:val="nil"/>
            </w:tcBorders>
            <w:shd w:val="clear" w:color="auto" w:fill="FFFFFF"/>
            <w:vAlign w:val="bottom"/>
          </w:tcPr>
          <w:p w14:paraId="3F5A09B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Interest receipts</w:t>
            </w:r>
          </w:p>
        </w:tc>
        <w:tc>
          <w:tcPr>
            <w:tcW w:w="567" w:type="dxa"/>
            <w:tcBorders>
              <w:top w:val="nil"/>
              <w:left w:val="nil"/>
              <w:bottom w:val="nil"/>
              <w:right w:val="nil"/>
            </w:tcBorders>
            <w:shd w:val="clear" w:color="auto" w:fill="FFFFFF"/>
            <w:vAlign w:val="bottom"/>
          </w:tcPr>
          <w:p w14:paraId="7C348A9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6B601D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w:t>
            </w:r>
          </w:p>
        </w:tc>
        <w:tc>
          <w:tcPr>
            <w:tcW w:w="964" w:type="dxa"/>
            <w:tcBorders>
              <w:top w:val="nil"/>
              <w:left w:val="nil"/>
              <w:bottom w:val="nil"/>
              <w:right w:val="nil"/>
            </w:tcBorders>
            <w:shd w:val="clear" w:color="auto" w:fill="FFFFFF"/>
            <w:vAlign w:val="bottom"/>
          </w:tcPr>
          <w:p w14:paraId="0F71BBD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60</w:t>
            </w:r>
          </w:p>
        </w:tc>
        <w:tc>
          <w:tcPr>
            <w:tcW w:w="964" w:type="dxa"/>
            <w:tcBorders>
              <w:top w:val="nil"/>
              <w:left w:val="nil"/>
              <w:bottom w:val="nil"/>
              <w:right w:val="nil"/>
            </w:tcBorders>
            <w:shd w:val="clear" w:color="auto" w:fill="FFFFFF"/>
            <w:vAlign w:val="bottom"/>
          </w:tcPr>
          <w:p w14:paraId="193F46E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(45)</w:t>
            </w:r>
          </w:p>
        </w:tc>
        <w:tc>
          <w:tcPr>
            <w:tcW w:w="965" w:type="dxa"/>
            <w:tcBorders>
              <w:top w:val="nil"/>
              <w:left w:val="nil"/>
              <w:bottom w:val="nil"/>
              <w:right w:val="nil"/>
            </w:tcBorders>
            <w:shd w:val="clear" w:color="auto" w:fill="FFFFFF"/>
            <w:vAlign w:val="bottom"/>
          </w:tcPr>
          <w:p w14:paraId="2B8FB6B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60</w:t>
            </w:r>
          </w:p>
        </w:tc>
      </w:tr>
      <w:tr w:rsidR="002E375F" w14:paraId="5B408A99" w14:textId="77777777" w:rsidTr="00B55A2A">
        <w:tc>
          <w:tcPr>
            <w:tcW w:w="4609" w:type="dxa"/>
            <w:gridSpan w:val="2"/>
            <w:tcBorders>
              <w:top w:val="nil"/>
              <w:left w:val="nil"/>
              <w:bottom w:val="nil"/>
              <w:right w:val="nil"/>
            </w:tcBorders>
            <w:shd w:val="clear" w:color="auto" w:fill="FFFFFF"/>
            <w:vAlign w:val="bottom"/>
          </w:tcPr>
          <w:p w14:paraId="777268D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w:t>
            </w:r>
          </w:p>
        </w:tc>
        <w:tc>
          <w:tcPr>
            <w:tcW w:w="567" w:type="dxa"/>
            <w:tcBorders>
              <w:top w:val="nil"/>
              <w:left w:val="nil"/>
              <w:bottom w:val="nil"/>
              <w:right w:val="nil"/>
            </w:tcBorders>
            <w:shd w:val="clear" w:color="auto" w:fill="FFFFFF"/>
            <w:vAlign w:val="bottom"/>
          </w:tcPr>
          <w:p w14:paraId="7B2D890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CEF9C5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18,038</w:t>
            </w:r>
          </w:p>
        </w:tc>
        <w:tc>
          <w:tcPr>
            <w:tcW w:w="964" w:type="dxa"/>
            <w:tcBorders>
              <w:top w:val="nil"/>
              <w:left w:val="nil"/>
              <w:bottom w:val="nil"/>
              <w:right w:val="nil"/>
            </w:tcBorders>
            <w:shd w:val="clear" w:color="auto" w:fill="FFFFFF"/>
            <w:vAlign w:val="bottom"/>
          </w:tcPr>
          <w:p w14:paraId="2F4E007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278,586</w:t>
            </w:r>
          </w:p>
        </w:tc>
        <w:tc>
          <w:tcPr>
            <w:tcW w:w="964" w:type="dxa"/>
            <w:tcBorders>
              <w:top w:val="nil"/>
              <w:left w:val="nil"/>
              <w:bottom w:val="nil"/>
              <w:right w:val="nil"/>
            </w:tcBorders>
            <w:shd w:val="clear" w:color="auto" w:fill="FFFFFF"/>
            <w:vAlign w:val="bottom"/>
          </w:tcPr>
          <w:p w14:paraId="5E73971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(260,548)</w:t>
            </w:r>
          </w:p>
        </w:tc>
        <w:tc>
          <w:tcPr>
            <w:tcW w:w="965" w:type="dxa"/>
            <w:tcBorders>
              <w:top w:val="nil"/>
              <w:left w:val="nil"/>
              <w:bottom w:val="nil"/>
              <w:right w:val="nil"/>
            </w:tcBorders>
            <w:shd w:val="clear" w:color="auto" w:fill="FFFFFF"/>
            <w:vAlign w:val="bottom"/>
          </w:tcPr>
          <w:p w14:paraId="13771A8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24,630</w:t>
            </w:r>
          </w:p>
        </w:tc>
      </w:tr>
      <w:tr w:rsidR="002E375F" w14:paraId="76C4A3DA" w14:textId="77777777" w:rsidTr="00B55A2A">
        <w:tc>
          <w:tcPr>
            <w:tcW w:w="4609" w:type="dxa"/>
            <w:gridSpan w:val="2"/>
            <w:tcBorders>
              <w:top w:val="nil"/>
              <w:left w:val="nil"/>
              <w:bottom w:val="nil"/>
              <w:right w:val="nil"/>
            </w:tcBorders>
            <w:shd w:val="clear" w:color="auto" w:fill="FFFFFF"/>
            <w:vAlign w:val="bottom"/>
          </w:tcPr>
          <w:p w14:paraId="5611F13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i/>
                <w:iCs/>
                <w:sz w:val="18"/>
                <w:szCs w:val="18"/>
              </w:rPr>
              <w:t>Outflows:</w:t>
            </w:r>
          </w:p>
        </w:tc>
        <w:tc>
          <w:tcPr>
            <w:tcW w:w="567" w:type="dxa"/>
            <w:tcBorders>
              <w:top w:val="nil"/>
              <w:left w:val="nil"/>
              <w:bottom w:val="nil"/>
              <w:right w:val="nil"/>
            </w:tcBorders>
            <w:shd w:val="clear" w:color="auto" w:fill="FFFFFF"/>
            <w:vAlign w:val="bottom"/>
          </w:tcPr>
          <w:p w14:paraId="095F987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368934D"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DE7BFC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EB5D23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5" w:type="dxa"/>
            <w:tcBorders>
              <w:top w:val="nil"/>
              <w:left w:val="nil"/>
              <w:bottom w:val="nil"/>
              <w:right w:val="nil"/>
            </w:tcBorders>
            <w:shd w:val="clear" w:color="auto" w:fill="FFFFFF"/>
            <w:vAlign w:val="bottom"/>
          </w:tcPr>
          <w:p w14:paraId="304F8C43"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75DDA59D" w14:textId="77777777" w:rsidTr="00B55A2A">
        <w:tc>
          <w:tcPr>
            <w:tcW w:w="4609" w:type="dxa"/>
            <w:gridSpan w:val="2"/>
            <w:tcBorders>
              <w:top w:val="nil"/>
              <w:left w:val="nil"/>
              <w:bottom w:val="nil"/>
              <w:right w:val="nil"/>
            </w:tcBorders>
            <w:shd w:val="clear" w:color="auto" w:fill="FFFFFF"/>
            <w:vAlign w:val="bottom"/>
          </w:tcPr>
          <w:p w14:paraId="70CEE74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Employee expenses</w:t>
            </w:r>
          </w:p>
        </w:tc>
        <w:tc>
          <w:tcPr>
            <w:tcW w:w="567" w:type="dxa"/>
            <w:tcBorders>
              <w:top w:val="nil"/>
              <w:left w:val="nil"/>
              <w:bottom w:val="nil"/>
              <w:right w:val="nil"/>
            </w:tcBorders>
            <w:shd w:val="clear" w:color="auto" w:fill="FFFFFF"/>
            <w:vAlign w:val="bottom"/>
          </w:tcPr>
          <w:p w14:paraId="4C8B0C52"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D647FE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(205,861)</w:t>
            </w:r>
          </w:p>
        </w:tc>
        <w:tc>
          <w:tcPr>
            <w:tcW w:w="964" w:type="dxa"/>
            <w:tcBorders>
              <w:top w:val="nil"/>
              <w:left w:val="nil"/>
              <w:bottom w:val="nil"/>
              <w:right w:val="nil"/>
            </w:tcBorders>
            <w:shd w:val="clear" w:color="auto" w:fill="FFFFFF"/>
            <w:vAlign w:val="bottom"/>
          </w:tcPr>
          <w:p w14:paraId="638C94A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(189,666)</w:t>
            </w:r>
          </w:p>
        </w:tc>
        <w:tc>
          <w:tcPr>
            <w:tcW w:w="964" w:type="dxa"/>
            <w:tcBorders>
              <w:top w:val="nil"/>
              <w:left w:val="nil"/>
              <w:bottom w:val="nil"/>
              <w:right w:val="nil"/>
            </w:tcBorders>
            <w:shd w:val="clear" w:color="auto" w:fill="FFFFFF"/>
            <w:vAlign w:val="bottom"/>
          </w:tcPr>
          <w:p w14:paraId="232F46D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(16,195)</w:t>
            </w:r>
          </w:p>
        </w:tc>
        <w:tc>
          <w:tcPr>
            <w:tcW w:w="965" w:type="dxa"/>
            <w:tcBorders>
              <w:top w:val="nil"/>
              <w:left w:val="nil"/>
              <w:bottom w:val="nil"/>
              <w:right w:val="nil"/>
            </w:tcBorders>
            <w:shd w:val="clear" w:color="auto" w:fill="FFFFFF"/>
            <w:vAlign w:val="bottom"/>
          </w:tcPr>
          <w:p w14:paraId="67BDC28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(248,569)</w:t>
            </w:r>
          </w:p>
        </w:tc>
      </w:tr>
      <w:tr w:rsidR="002E375F" w14:paraId="04B4F3B5" w14:textId="77777777" w:rsidTr="00B55A2A">
        <w:tc>
          <w:tcPr>
            <w:tcW w:w="4609" w:type="dxa"/>
            <w:gridSpan w:val="2"/>
            <w:tcBorders>
              <w:top w:val="nil"/>
              <w:left w:val="nil"/>
              <w:bottom w:val="nil"/>
              <w:right w:val="nil"/>
            </w:tcBorders>
            <w:shd w:val="clear" w:color="auto" w:fill="FFFFFF"/>
            <w:vAlign w:val="bottom"/>
          </w:tcPr>
          <w:p w14:paraId="532764A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Supplies and services</w:t>
            </w:r>
          </w:p>
        </w:tc>
        <w:tc>
          <w:tcPr>
            <w:tcW w:w="567" w:type="dxa"/>
            <w:tcBorders>
              <w:top w:val="nil"/>
              <w:left w:val="nil"/>
              <w:bottom w:val="nil"/>
              <w:right w:val="nil"/>
            </w:tcBorders>
            <w:shd w:val="clear" w:color="auto" w:fill="FFFFFF"/>
            <w:vAlign w:val="bottom"/>
          </w:tcPr>
          <w:p w14:paraId="294E4FBD"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C55C80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(171,440)</w:t>
            </w:r>
          </w:p>
        </w:tc>
        <w:tc>
          <w:tcPr>
            <w:tcW w:w="964" w:type="dxa"/>
            <w:tcBorders>
              <w:top w:val="nil"/>
              <w:left w:val="nil"/>
              <w:bottom w:val="nil"/>
              <w:right w:val="nil"/>
            </w:tcBorders>
            <w:shd w:val="clear" w:color="auto" w:fill="FFFFFF"/>
            <w:vAlign w:val="bottom"/>
          </w:tcPr>
          <w:p w14:paraId="41E84BA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(445,949)</w:t>
            </w:r>
          </w:p>
        </w:tc>
        <w:tc>
          <w:tcPr>
            <w:tcW w:w="964" w:type="dxa"/>
            <w:tcBorders>
              <w:top w:val="nil"/>
              <w:left w:val="nil"/>
              <w:bottom w:val="nil"/>
              <w:right w:val="nil"/>
            </w:tcBorders>
            <w:shd w:val="clear" w:color="auto" w:fill="FFFFFF"/>
            <w:vAlign w:val="bottom"/>
          </w:tcPr>
          <w:p w14:paraId="07AB109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274,509</w:t>
            </w:r>
          </w:p>
        </w:tc>
        <w:tc>
          <w:tcPr>
            <w:tcW w:w="965" w:type="dxa"/>
            <w:tcBorders>
              <w:top w:val="nil"/>
              <w:left w:val="nil"/>
              <w:bottom w:val="nil"/>
              <w:right w:val="nil"/>
            </w:tcBorders>
            <w:shd w:val="clear" w:color="auto" w:fill="FFFFFF"/>
            <w:vAlign w:val="bottom"/>
          </w:tcPr>
          <w:p w14:paraId="48A889A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(705,165)</w:t>
            </w:r>
          </w:p>
        </w:tc>
      </w:tr>
      <w:tr w:rsidR="002E375F" w14:paraId="18E844C0" w14:textId="77777777" w:rsidTr="00B55A2A">
        <w:tc>
          <w:tcPr>
            <w:tcW w:w="4609" w:type="dxa"/>
            <w:gridSpan w:val="2"/>
            <w:tcBorders>
              <w:top w:val="nil"/>
              <w:left w:val="nil"/>
              <w:bottom w:val="nil"/>
              <w:right w:val="nil"/>
            </w:tcBorders>
            <w:shd w:val="clear" w:color="auto" w:fill="FFFFFF"/>
            <w:vAlign w:val="bottom"/>
          </w:tcPr>
          <w:p w14:paraId="2CF610C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Grants and subsidies</w:t>
            </w:r>
          </w:p>
        </w:tc>
        <w:tc>
          <w:tcPr>
            <w:tcW w:w="567" w:type="dxa"/>
            <w:tcBorders>
              <w:top w:val="nil"/>
              <w:left w:val="nil"/>
              <w:bottom w:val="nil"/>
              <w:right w:val="nil"/>
            </w:tcBorders>
            <w:shd w:val="clear" w:color="auto" w:fill="FFFFFF"/>
            <w:vAlign w:val="bottom"/>
          </w:tcPr>
          <w:p w14:paraId="76EEEB6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6C995F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(28,024)</w:t>
            </w:r>
          </w:p>
        </w:tc>
        <w:tc>
          <w:tcPr>
            <w:tcW w:w="964" w:type="dxa"/>
            <w:tcBorders>
              <w:top w:val="nil"/>
              <w:left w:val="nil"/>
              <w:bottom w:val="nil"/>
              <w:right w:val="nil"/>
            </w:tcBorders>
            <w:shd w:val="clear" w:color="auto" w:fill="FFFFFF"/>
            <w:vAlign w:val="bottom"/>
          </w:tcPr>
          <w:p w14:paraId="3E8B5D4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(13,258)</w:t>
            </w:r>
          </w:p>
        </w:tc>
        <w:tc>
          <w:tcPr>
            <w:tcW w:w="964" w:type="dxa"/>
            <w:tcBorders>
              <w:top w:val="nil"/>
              <w:left w:val="nil"/>
              <w:bottom w:val="nil"/>
              <w:right w:val="nil"/>
            </w:tcBorders>
            <w:shd w:val="clear" w:color="auto" w:fill="FFFFFF"/>
            <w:vAlign w:val="bottom"/>
          </w:tcPr>
          <w:p w14:paraId="0386553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(14,766)</w:t>
            </w:r>
          </w:p>
        </w:tc>
        <w:tc>
          <w:tcPr>
            <w:tcW w:w="965" w:type="dxa"/>
            <w:tcBorders>
              <w:top w:val="nil"/>
              <w:left w:val="nil"/>
              <w:bottom w:val="nil"/>
              <w:right w:val="nil"/>
            </w:tcBorders>
            <w:shd w:val="clear" w:color="auto" w:fill="FFFFFF"/>
            <w:vAlign w:val="bottom"/>
          </w:tcPr>
          <w:p w14:paraId="53810D4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(23,867)</w:t>
            </w:r>
          </w:p>
        </w:tc>
      </w:tr>
      <w:tr w:rsidR="002E375F" w14:paraId="0581C27C" w14:textId="77777777" w:rsidTr="00B55A2A">
        <w:tc>
          <w:tcPr>
            <w:tcW w:w="4609" w:type="dxa"/>
            <w:gridSpan w:val="2"/>
            <w:tcBorders>
              <w:top w:val="nil"/>
              <w:left w:val="nil"/>
              <w:bottom w:val="nil"/>
              <w:right w:val="nil"/>
            </w:tcBorders>
            <w:shd w:val="clear" w:color="auto" w:fill="FFFFFF"/>
            <w:vAlign w:val="bottom"/>
          </w:tcPr>
          <w:p w14:paraId="21A2444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GST paid to suppliers</w:t>
            </w:r>
          </w:p>
        </w:tc>
        <w:tc>
          <w:tcPr>
            <w:tcW w:w="567" w:type="dxa"/>
            <w:tcBorders>
              <w:top w:val="nil"/>
              <w:left w:val="nil"/>
              <w:bottom w:val="nil"/>
              <w:right w:val="nil"/>
            </w:tcBorders>
            <w:shd w:val="clear" w:color="auto" w:fill="FFFFFF"/>
            <w:vAlign w:val="bottom"/>
          </w:tcPr>
          <w:p w14:paraId="692333E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68B47B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(20,772)</w:t>
            </w:r>
          </w:p>
        </w:tc>
        <w:tc>
          <w:tcPr>
            <w:tcW w:w="964" w:type="dxa"/>
            <w:tcBorders>
              <w:top w:val="nil"/>
              <w:left w:val="nil"/>
              <w:bottom w:val="nil"/>
              <w:right w:val="nil"/>
            </w:tcBorders>
            <w:shd w:val="clear" w:color="auto" w:fill="FFFFFF"/>
            <w:vAlign w:val="bottom"/>
          </w:tcPr>
          <w:p w14:paraId="284BEC3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03B0AEB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(20,772)</w:t>
            </w:r>
          </w:p>
        </w:tc>
        <w:tc>
          <w:tcPr>
            <w:tcW w:w="965" w:type="dxa"/>
            <w:tcBorders>
              <w:top w:val="nil"/>
              <w:left w:val="nil"/>
              <w:bottom w:val="nil"/>
              <w:right w:val="nil"/>
            </w:tcBorders>
            <w:shd w:val="clear" w:color="auto" w:fill="FFFFFF"/>
            <w:vAlign w:val="bottom"/>
          </w:tcPr>
          <w:p w14:paraId="2C2AEAE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(74,467)</w:t>
            </w:r>
          </w:p>
        </w:tc>
      </w:tr>
      <w:tr w:rsidR="002E375F" w14:paraId="5B096ED0" w14:textId="77777777" w:rsidTr="00B55A2A">
        <w:tc>
          <w:tcPr>
            <w:tcW w:w="4609" w:type="dxa"/>
            <w:gridSpan w:val="2"/>
            <w:tcBorders>
              <w:top w:val="nil"/>
              <w:left w:val="nil"/>
              <w:bottom w:val="nil"/>
              <w:right w:val="nil"/>
            </w:tcBorders>
            <w:shd w:val="clear" w:color="auto" w:fill="FFFFFF"/>
            <w:vAlign w:val="bottom"/>
          </w:tcPr>
          <w:p w14:paraId="5E0ED57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GST remitted to ATO</w:t>
            </w:r>
          </w:p>
        </w:tc>
        <w:tc>
          <w:tcPr>
            <w:tcW w:w="567" w:type="dxa"/>
            <w:tcBorders>
              <w:top w:val="nil"/>
              <w:left w:val="nil"/>
              <w:bottom w:val="nil"/>
              <w:right w:val="nil"/>
            </w:tcBorders>
            <w:shd w:val="clear" w:color="auto" w:fill="FFFFFF"/>
            <w:vAlign w:val="bottom"/>
          </w:tcPr>
          <w:p w14:paraId="7A209FA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098DC6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(1,934)</w:t>
            </w:r>
          </w:p>
        </w:tc>
        <w:tc>
          <w:tcPr>
            <w:tcW w:w="964" w:type="dxa"/>
            <w:tcBorders>
              <w:top w:val="nil"/>
              <w:left w:val="nil"/>
              <w:bottom w:val="nil"/>
              <w:right w:val="nil"/>
            </w:tcBorders>
            <w:shd w:val="clear" w:color="auto" w:fill="FFFFFF"/>
            <w:vAlign w:val="bottom"/>
          </w:tcPr>
          <w:p w14:paraId="134CFBA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0B5FA03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(1,934)</w:t>
            </w:r>
          </w:p>
        </w:tc>
        <w:tc>
          <w:tcPr>
            <w:tcW w:w="965" w:type="dxa"/>
            <w:tcBorders>
              <w:top w:val="nil"/>
              <w:left w:val="nil"/>
              <w:bottom w:val="nil"/>
              <w:right w:val="nil"/>
            </w:tcBorders>
            <w:shd w:val="clear" w:color="auto" w:fill="FFFFFF"/>
            <w:vAlign w:val="bottom"/>
          </w:tcPr>
          <w:p w14:paraId="6E91662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(1,908)</w:t>
            </w:r>
          </w:p>
        </w:tc>
      </w:tr>
      <w:tr w:rsidR="002E375F" w14:paraId="65C3712B" w14:textId="77777777" w:rsidTr="00B55A2A">
        <w:tc>
          <w:tcPr>
            <w:tcW w:w="4609" w:type="dxa"/>
            <w:gridSpan w:val="2"/>
            <w:tcBorders>
              <w:top w:val="nil"/>
              <w:left w:val="nil"/>
              <w:bottom w:val="nil"/>
              <w:right w:val="nil"/>
            </w:tcBorders>
            <w:shd w:val="clear" w:color="auto" w:fill="FFFFFF"/>
            <w:vAlign w:val="bottom"/>
          </w:tcPr>
          <w:p w14:paraId="13ED10A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w:t>
            </w:r>
          </w:p>
        </w:tc>
        <w:tc>
          <w:tcPr>
            <w:tcW w:w="567" w:type="dxa"/>
            <w:tcBorders>
              <w:top w:val="nil"/>
              <w:left w:val="nil"/>
              <w:bottom w:val="nil"/>
              <w:right w:val="nil"/>
            </w:tcBorders>
            <w:shd w:val="clear" w:color="auto" w:fill="FFFFFF"/>
            <w:vAlign w:val="bottom"/>
          </w:tcPr>
          <w:p w14:paraId="08A5CB5D"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5B7774B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(1,048)</w:t>
            </w:r>
          </w:p>
        </w:tc>
        <w:tc>
          <w:tcPr>
            <w:tcW w:w="964" w:type="dxa"/>
            <w:tcBorders>
              <w:top w:val="nil"/>
              <w:left w:val="nil"/>
              <w:bottom w:val="single" w:sz="2" w:space="0" w:color="auto"/>
              <w:right w:val="nil"/>
            </w:tcBorders>
            <w:shd w:val="clear" w:color="auto" w:fill="FFFFFF"/>
            <w:vAlign w:val="bottom"/>
          </w:tcPr>
          <w:p w14:paraId="10C4963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(2,083)</w:t>
            </w:r>
          </w:p>
        </w:tc>
        <w:tc>
          <w:tcPr>
            <w:tcW w:w="964" w:type="dxa"/>
            <w:tcBorders>
              <w:top w:val="nil"/>
              <w:left w:val="nil"/>
              <w:bottom w:val="single" w:sz="2" w:space="0" w:color="auto"/>
              <w:right w:val="nil"/>
            </w:tcBorders>
            <w:shd w:val="clear" w:color="auto" w:fill="FFFFFF"/>
            <w:vAlign w:val="bottom"/>
          </w:tcPr>
          <w:p w14:paraId="60C2EB9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1,035</w:t>
            </w:r>
          </w:p>
        </w:tc>
        <w:tc>
          <w:tcPr>
            <w:tcW w:w="965" w:type="dxa"/>
            <w:tcBorders>
              <w:top w:val="nil"/>
              <w:left w:val="nil"/>
              <w:bottom w:val="single" w:sz="2" w:space="0" w:color="auto"/>
              <w:right w:val="nil"/>
            </w:tcBorders>
            <w:shd w:val="clear" w:color="auto" w:fill="FFFFFF"/>
            <w:vAlign w:val="bottom"/>
          </w:tcPr>
          <w:p w14:paraId="30D490C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5F627415" w14:textId="77777777" w:rsidTr="00B55A2A">
        <w:tc>
          <w:tcPr>
            <w:tcW w:w="4609" w:type="dxa"/>
            <w:gridSpan w:val="2"/>
            <w:tcBorders>
              <w:top w:val="nil"/>
              <w:left w:val="nil"/>
              <w:bottom w:val="nil"/>
              <w:right w:val="nil"/>
            </w:tcBorders>
            <w:shd w:val="clear" w:color="auto" w:fill="FFFFFF"/>
            <w:vAlign w:val="bottom"/>
          </w:tcPr>
          <w:p w14:paraId="15D96C0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Net Cash Provided by (Used in) Operating Activities</w:t>
            </w:r>
            <w:r>
              <w:rPr>
                <w:rFonts w:ascii="Arial" w:hAnsi="Arial" w:cs="Arial"/>
                <w:b/>
                <w:bCs/>
                <w:sz w:val="18"/>
                <w:szCs w:val="18"/>
                <w:vertAlign w:val="superscript"/>
              </w:rPr>
              <w:t>#</w:t>
            </w:r>
          </w:p>
        </w:tc>
        <w:tc>
          <w:tcPr>
            <w:tcW w:w="567" w:type="dxa"/>
            <w:tcBorders>
              <w:top w:val="nil"/>
              <w:left w:val="nil"/>
              <w:bottom w:val="nil"/>
              <w:right w:val="nil"/>
            </w:tcBorders>
            <w:shd w:val="clear" w:color="auto" w:fill="FFFFFF"/>
            <w:vAlign w:val="bottom"/>
          </w:tcPr>
          <w:p w14:paraId="5111B6C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2F9E14F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(4,628)</w:t>
            </w:r>
          </w:p>
        </w:tc>
        <w:tc>
          <w:tcPr>
            <w:tcW w:w="964" w:type="dxa"/>
            <w:tcBorders>
              <w:top w:val="nil"/>
              <w:left w:val="nil"/>
              <w:bottom w:val="single" w:sz="2" w:space="0" w:color="auto"/>
              <w:right w:val="nil"/>
            </w:tcBorders>
            <w:shd w:val="clear" w:color="auto" w:fill="FFFFFF"/>
            <w:vAlign w:val="bottom"/>
          </w:tcPr>
          <w:p w14:paraId="5E97EAD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9,519</w:t>
            </w:r>
          </w:p>
        </w:tc>
        <w:tc>
          <w:tcPr>
            <w:tcW w:w="964" w:type="dxa"/>
            <w:tcBorders>
              <w:top w:val="nil"/>
              <w:left w:val="nil"/>
              <w:bottom w:val="single" w:sz="2" w:space="0" w:color="auto"/>
              <w:right w:val="nil"/>
            </w:tcBorders>
            <w:shd w:val="clear" w:color="auto" w:fill="FFFFFF"/>
            <w:vAlign w:val="bottom"/>
          </w:tcPr>
          <w:p w14:paraId="0518945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(14,147)</w:t>
            </w:r>
          </w:p>
        </w:tc>
        <w:tc>
          <w:tcPr>
            <w:tcW w:w="965" w:type="dxa"/>
            <w:tcBorders>
              <w:top w:val="nil"/>
              <w:left w:val="nil"/>
              <w:bottom w:val="single" w:sz="2" w:space="0" w:color="auto"/>
              <w:right w:val="nil"/>
            </w:tcBorders>
            <w:shd w:val="clear" w:color="auto" w:fill="FFFFFF"/>
            <w:vAlign w:val="bottom"/>
          </w:tcPr>
          <w:p w14:paraId="1AFFB8D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20,024</w:t>
            </w:r>
          </w:p>
        </w:tc>
      </w:tr>
      <w:tr w:rsidR="002E375F" w14:paraId="701B3FDE" w14:textId="77777777" w:rsidTr="00B55A2A">
        <w:tc>
          <w:tcPr>
            <w:tcW w:w="9033" w:type="dxa"/>
            <w:gridSpan w:val="7"/>
            <w:tcBorders>
              <w:top w:val="nil"/>
              <w:left w:val="nil"/>
              <w:bottom w:val="nil"/>
              <w:right w:val="nil"/>
            </w:tcBorders>
            <w:shd w:val="clear" w:color="auto" w:fill="FFFFFF"/>
            <w:vAlign w:val="bottom"/>
          </w:tcPr>
          <w:p w14:paraId="5F0C260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Cash Flows from Investing Activities</w:t>
            </w:r>
          </w:p>
        </w:tc>
      </w:tr>
      <w:tr w:rsidR="002E375F" w14:paraId="5AA7BB54" w14:textId="77777777" w:rsidTr="00B55A2A">
        <w:tc>
          <w:tcPr>
            <w:tcW w:w="4609" w:type="dxa"/>
            <w:gridSpan w:val="2"/>
            <w:tcBorders>
              <w:top w:val="nil"/>
              <w:left w:val="nil"/>
              <w:bottom w:val="nil"/>
              <w:right w:val="nil"/>
            </w:tcBorders>
            <w:shd w:val="clear" w:color="auto" w:fill="FFFFFF"/>
            <w:vAlign w:val="bottom"/>
          </w:tcPr>
          <w:p w14:paraId="606E0E6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i/>
                <w:iCs/>
                <w:sz w:val="18"/>
                <w:szCs w:val="18"/>
              </w:rPr>
              <w:t>Inflows:</w:t>
            </w:r>
          </w:p>
        </w:tc>
        <w:tc>
          <w:tcPr>
            <w:tcW w:w="567" w:type="dxa"/>
            <w:tcBorders>
              <w:top w:val="nil"/>
              <w:left w:val="nil"/>
              <w:bottom w:val="nil"/>
              <w:right w:val="nil"/>
            </w:tcBorders>
            <w:shd w:val="clear" w:color="auto" w:fill="FFFFFF"/>
            <w:vAlign w:val="bottom"/>
          </w:tcPr>
          <w:p w14:paraId="792A53E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7E2061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51037F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A3F942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5" w:type="dxa"/>
            <w:tcBorders>
              <w:top w:val="nil"/>
              <w:left w:val="nil"/>
              <w:bottom w:val="nil"/>
              <w:right w:val="nil"/>
            </w:tcBorders>
            <w:shd w:val="clear" w:color="auto" w:fill="FFFFFF"/>
            <w:vAlign w:val="bottom"/>
          </w:tcPr>
          <w:p w14:paraId="3423C0C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700534A7" w14:textId="77777777" w:rsidTr="00B55A2A">
        <w:tc>
          <w:tcPr>
            <w:tcW w:w="4609" w:type="dxa"/>
            <w:gridSpan w:val="2"/>
            <w:tcBorders>
              <w:top w:val="nil"/>
              <w:left w:val="nil"/>
              <w:bottom w:val="nil"/>
              <w:right w:val="nil"/>
            </w:tcBorders>
            <w:shd w:val="clear" w:color="auto" w:fill="FFFFFF"/>
            <w:vAlign w:val="bottom"/>
          </w:tcPr>
          <w:p w14:paraId="6FCA7D5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Sales of property, plant and equipment</w:t>
            </w:r>
          </w:p>
        </w:tc>
        <w:tc>
          <w:tcPr>
            <w:tcW w:w="567" w:type="dxa"/>
            <w:tcBorders>
              <w:top w:val="nil"/>
              <w:left w:val="nil"/>
              <w:bottom w:val="nil"/>
              <w:right w:val="nil"/>
            </w:tcBorders>
            <w:shd w:val="clear" w:color="auto" w:fill="FFFFFF"/>
            <w:vAlign w:val="bottom"/>
          </w:tcPr>
          <w:p w14:paraId="4636C40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E0A0EB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1,089</w:t>
            </w:r>
          </w:p>
        </w:tc>
        <w:tc>
          <w:tcPr>
            <w:tcW w:w="964" w:type="dxa"/>
            <w:tcBorders>
              <w:top w:val="nil"/>
              <w:left w:val="nil"/>
              <w:bottom w:val="nil"/>
              <w:right w:val="nil"/>
            </w:tcBorders>
            <w:shd w:val="clear" w:color="auto" w:fill="FFFFFF"/>
            <w:vAlign w:val="bottom"/>
          </w:tcPr>
          <w:p w14:paraId="22E4413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29A71C5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1,089</w:t>
            </w:r>
          </w:p>
        </w:tc>
        <w:tc>
          <w:tcPr>
            <w:tcW w:w="965" w:type="dxa"/>
            <w:tcBorders>
              <w:top w:val="nil"/>
              <w:left w:val="nil"/>
              <w:bottom w:val="nil"/>
              <w:right w:val="nil"/>
            </w:tcBorders>
            <w:shd w:val="clear" w:color="auto" w:fill="FFFFFF"/>
            <w:vAlign w:val="bottom"/>
          </w:tcPr>
          <w:p w14:paraId="0AF83B3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49C5AE1F" w14:textId="77777777" w:rsidTr="00B55A2A">
        <w:tc>
          <w:tcPr>
            <w:tcW w:w="4609" w:type="dxa"/>
            <w:gridSpan w:val="2"/>
            <w:tcBorders>
              <w:top w:val="nil"/>
              <w:left w:val="nil"/>
              <w:bottom w:val="nil"/>
              <w:right w:val="nil"/>
            </w:tcBorders>
            <w:shd w:val="clear" w:color="auto" w:fill="FFFFFF"/>
            <w:vAlign w:val="bottom"/>
          </w:tcPr>
          <w:p w14:paraId="12C1CBE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i/>
                <w:iCs/>
                <w:sz w:val="18"/>
                <w:szCs w:val="18"/>
              </w:rPr>
              <w:t>Outflows:</w:t>
            </w:r>
          </w:p>
        </w:tc>
        <w:tc>
          <w:tcPr>
            <w:tcW w:w="567" w:type="dxa"/>
            <w:tcBorders>
              <w:top w:val="nil"/>
              <w:left w:val="nil"/>
              <w:bottom w:val="nil"/>
              <w:right w:val="nil"/>
            </w:tcBorders>
            <w:shd w:val="clear" w:color="auto" w:fill="FFFFFF"/>
            <w:vAlign w:val="bottom"/>
          </w:tcPr>
          <w:p w14:paraId="2FB9143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A4A83D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7B179F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EA1F4C3"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5" w:type="dxa"/>
            <w:tcBorders>
              <w:top w:val="nil"/>
              <w:left w:val="nil"/>
              <w:bottom w:val="nil"/>
              <w:right w:val="nil"/>
            </w:tcBorders>
            <w:shd w:val="clear" w:color="auto" w:fill="FFFFFF"/>
            <w:vAlign w:val="bottom"/>
          </w:tcPr>
          <w:p w14:paraId="2637E7D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46D20027" w14:textId="77777777" w:rsidTr="00B55A2A">
        <w:tc>
          <w:tcPr>
            <w:tcW w:w="4609" w:type="dxa"/>
            <w:gridSpan w:val="2"/>
            <w:tcBorders>
              <w:top w:val="nil"/>
              <w:left w:val="nil"/>
              <w:bottom w:val="nil"/>
              <w:right w:val="nil"/>
            </w:tcBorders>
            <w:shd w:val="clear" w:color="auto" w:fill="FFFFFF"/>
            <w:vAlign w:val="bottom"/>
          </w:tcPr>
          <w:p w14:paraId="3FB5A9A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Payments for property, plant and equipment</w:t>
            </w:r>
          </w:p>
        </w:tc>
        <w:tc>
          <w:tcPr>
            <w:tcW w:w="567" w:type="dxa"/>
            <w:tcBorders>
              <w:top w:val="nil"/>
              <w:left w:val="nil"/>
              <w:bottom w:val="nil"/>
              <w:right w:val="nil"/>
            </w:tcBorders>
            <w:shd w:val="clear" w:color="auto" w:fill="FFFFFF"/>
            <w:vAlign w:val="bottom"/>
          </w:tcPr>
          <w:p w14:paraId="3739ABE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A84A70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(12,115)</w:t>
            </w:r>
          </w:p>
        </w:tc>
        <w:tc>
          <w:tcPr>
            <w:tcW w:w="964" w:type="dxa"/>
            <w:tcBorders>
              <w:top w:val="nil"/>
              <w:left w:val="nil"/>
              <w:bottom w:val="nil"/>
              <w:right w:val="nil"/>
            </w:tcBorders>
            <w:shd w:val="clear" w:color="auto" w:fill="FFFFFF"/>
            <w:vAlign w:val="bottom"/>
          </w:tcPr>
          <w:p w14:paraId="0E08261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(20,010)</w:t>
            </w:r>
          </w:p>
        </w:tc>
        <w:tc>
          <w:tcPr>
            <w:tcW w:w="964" w:type="dxa"/>
            <w:tcBorders>
              <w:top w:val="nil"/>
              <w:left w:val="nil"/>
              <w:bottom w:val="nil"/>
              <w:right w:val="nil"/>
            </w:tcBorders>
            <w:shd w:val="clear" w:color="auto" w:fill="FFFFFF"/>
            <w:vAlign w:val="bottom"/>
          </w:tcPr>
          <w:p w14:paraId="69A9E77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7,895</w:t>
            </w:r>
          </w:p>
        </w:tc>
        <w:tc>
          <w:tcPr>
            <w:tcW w:w="965" w:type="dxa"/>
            <w:tcBorders>
              <w:top w:val="nil"/>
              <w:left w:val="nil"/>
              <w:bottom w:val="nil"/>
              <w:right w:val="nil"/>
            </w:tcBorders>
            <w:shd w:val="clear" w:color="auto" w:fill="FFFFFF"/>
            <w:vAlign w:val="bottom"/>
          </w:tcPr>
          <w:p w14:paraId="3621B96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(17,080)</w:t>
            </w:r>
          </w:p>
        </w:tc>
      </w:tr>
      <w:tr w:rsidR="002E375F" w14:paraId="51B90042" w14:textId="77777777" w:rsidTr="00B55A2A">
        <w:tc>
          <w:tcPr>
            <w:tcW w:w="4609" w:type="dxa"/>
            <w:gridSpan w:val="2"/>
            <w:tcBorders>
              <w:top w:val="nil"/>
              <w:left w:val="nil"/>
              <w:bottom w:val="nil"/>
              <w:right w:val="nil"/>
            </w:tcBorders>
            <w:shd w:val="clear" w:color="auto" w:fill="FFFFFF"/>
            <w:vAlign w:val="bottom"/>
          </w:tcPr>
          <w:p w14:paraId="015CB54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Payments for intangible assets</w:t>
            </w:r>
          </w:p>
        </w:tc>
        <w:tc>
          <w:tcPr>
            <w:tcW w:w="567" w:type="dxa"/>
            <w:tcBorders>
              <w:top w:val="nil"/>
              <w:left w:val="nil"/>
              <w:bottom w:val="nil"/>
              <w:right w:val="nil"/>
            </w:tcBorders>
            <w:shd w:val="clear" w:color="auto" w:fill="FFFFFF"/>
            <w:vAlign w:val="bottom"/>
          </w:tcPr>
          <w:p w14:paraId="5CA442B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249FFDA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(1,078)</w:t>
            </w:r>
          </w:p>
        </w:tc>
        <w:tc>
          <w:tcPr>
            <w:tcW w:w="964" w:type="dxa"/>
            <w:tcBorders>
              <w:top w:val="nil"/>
              <w:left w:val="nil"/>
              <w:bottom w:val="single" w:sz="2" w:space="0" w:color="auto"/>
              <w:right w:val="nil"/>
            </w:tcBorders>
            <w:shd w:val="clear" w:color="auto" w:fill="FFFFFF"/>
            <w:vAlign w:val="bottom"/>
          </w:tcPr>
          <w:p w14:paraId="28D21A0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1F3D40C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(1,078)</w:t>
            </w:r>
          </w:p>
        </w:tc>
        <w:tc>
          <w:tcPr>
            <w:tcW w:w="965" w:type="dxa"/>
            <w:tcBorders>
              <w:top w:val="nil"/>
              <w:left w:val="nil"/>
              <w:bottom w:val="single" w:sz="2" w:space="0" w:color="auto"/>
              <w:right w:val="nil"/>
            </w:tcBorders>
            <w:shd w:val="clear" w:color="auto" w:fill="FFFFFF"/>
            <w:vAlign w:val="bottom"/>
          </w:tcPr>
          <w:p w14:paraId="0BEB020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(588)</w:t>
            </w:r>
          </w:p>
        </w:tc>
      </w:tr>
      <w:tr w:rsidR="002E375F" w14:paraId="23CE12C6" w14:textId="77777777" w:rsidTr="00B55A2A">
        <w:tc>
          <w:tcPr>
            <w:tcW w:w="4609" w:type="dxa"/>
            <w:gridSpan w:val="2"/>
            <w:tcBorders>
              <w:top w:val="nil"/>
              <w:left w:val="nil"/>
              <w:bottom w:val="nil"/>
              <w:right w:val="nil"/>
            </w:tcBorders>
            <w:shd w:val="clear" w:color="auto" w:fill="FFFFFF"/>
            <w:vAlign w:val="bottom"/>
          </w:tcPr>
          <w:p w14:paraId="414BD5A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Net Cash (Used in) Provided by Investing Activities</w:t>
            </w:r>
          </w:p>
        </w:tc>
        <w:tc>
          <w:tcPr>
            <w:tcW w:w="567" w:type="dxa"/>
            <w:tcBorders>
              <w:top w:val="nil"/>
              <w:left w:val="nil"/>
              <w:bottom w:val="nil"/>
              <w:right w:val="nil"/>
            </w:tcBorders>
            <w:shd w:val="clear" w:color="auto" w:fill="FFFFFF"/>
            <w:vAlign w:val="bottom"/>
          </w:tcPr>
          <w:p w14:paraId="154FE37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34D66C3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(12,104)</w:t>
            </w:r>
          </w:p>
        </w:tc>
        <w:tc>
          <w:tcPr>
            <w:tcW w:w="964" w:type="dxa"/>
            <w:tcBorders>
              <w:top w:val="nil"/>
              <w:left w:val="nil"/>
              <w:bottom w:val="single" w:sz="2" w:space="0" w:color="auto"/>
              <w:right w:val="nil"/>
            </w:tcBorders>
            <w:shd w:val="clear" w:color="auto" w:fill="FFFFFF"/>
            <w:vAlign w:val="bottom"/>
          </w:tcPr>
          <w:p w14:paraId="2101D92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(20,010)</w:t>
            </w:r>
          </w:p>
        </w:tc>
        <w:tc>
          <w:tcPr>
            <w:tcW w:w="964" w:type="dxa"/>
            <w:tcBorders>
              <w:top w:val="nil"/>
              <w:left w:val="nil"/>
              <w:bottom w:val="single" w:sz="2" w:space="0" w:color="auto"/>
              <w:right w:val="nil"/>
            </w:tcBorders>
            <w:shd w:val="clear" w:color="auto" w:fill="FFFFFF"/>
            <w:vAlign w:val="bottom"/>
          </w:tcPr>
          <w:p w14:paraId="5EF4E4A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7,906</w:t>
            </w:r>
          </w:p>
        </w:tc>
        <w:tc>
          <w:tcPr>
            <w:tcW w:w="965" w:type="dxa"/>
            <w:tcBorders>
              <w:top w:val="nil"/>
              <w:left w:val="nil"/>
              <w:bottom w:val="single" w:sz="2" w:space="0" w:color="auto"/>
              <w:right w:val="nil"/>
            </w:tcBorders>
            <w:shd w:val="clear" w:color="auto" w:fill="FFFFFF"/>
            <w:vAlign w:val="bottom"/>
          </w:tcPr>
          <w:p w14:paraId="73F547B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(17,668)</w:t>
            </w:r>
          </w:p>
        </w:tc>
      </w:tr>
      <w:tr w:rsidR="002E375F" w14:paraId="76E6D071" w14:textId="77777777" w:rsidTr="00B55A2A">
        <w:tc>
          <w:tcPr>
            <w:tcW w:w="9033" w:type="dxa"/>
            <w:gridSpan w:val="7"/>
            <w:tcBorders>
              <w:top w:val="nil"/>
              <w:left w:val="nil"/>
              <w:bottom w:val="nil"/>
              <w:right w:val="nil"/>
            </w:tcBorders>
            <w:shd w:val="clear" w:color="auto" w:fill="FFFFFF"/>
            <w:vAlign w:val="bottom"/>
          </w:tcPr>
          <w:p w14:paraId="33B30C2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Cash Flows from Financing Activities</w:t>
            </w:r>
          </w:p>
        </w:tc>
      </w:tr>
      <w:tr w:rsidR="002E375F" w14:paraId="02B47DD3" w14:textId="77777777" w:rsidTr="00B55A2A">
        <w:tc>
          <w:tcPr>
            <w:tcW w:w="4609" w:type="dxa"/>
            <w:gridSpan w:val="2"/>
            <w:tcBorders>
              <w:top w:val="nil"/>
              <w:left w:val="nil"/>
              <w:bottom w:val="nil"/>
              <w:right w:val="nil"/>
            </w:tcBorders>
            <w:shd w:val="clear" w:color="auto" w:fill="FFFFFF"/>
            <w:vAlign w:val="bottom"/>
          </w:tcPr>
          <w:p w14:paraId="0FD784C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i/>
                <w:iCs/>
                <w:sz w:val="18"/>
                <w:szCs w:val="18"/>
              </w:rPr>
              <w:t>Inflows:</w:t>
            </w:r>
          </w:p>
        </w:tc>
        <w:tc>
          <w:tcPr>
            <w:tcW w:w="567" w:type="dxa"/>
            <w:tcBorders>
              <w:top w:val="nil"/>
              <w:left w:val="nil"/>
              <w:bottom w:val="nil"/>
              <w:right w:val="nil"/>
            </w:tcBorders>
            <w:shd w:val="clear" w:color="auto" w:fill="FFFFFF"/>
            <w:vAlign w:val="bottom"/>
          </w:tcPr>
          <w:p w14:paraId="5A0E68C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5D6EFB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1B618C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1E0EB5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5" w:type="dxa"/>
            <w:tcBorders>
              <w:top w:val="nil"/>
              <w:left w:val="nil"/>
              <w:bottom w:val="nil"/>
              <w:right w:val="nil"/>
            </w:tcBorders>
            <w:shd w:val="clear" w:color="auto" w:fill="FFFFFF"/>
            <w:vAlign w:val="bottom"/>
          </w:tcPr>
          <w:p w14:paraId="3CB18E7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1C6D2133" w14:textId="77777777" w:rsidTr="00B55A2A">
        <w:tc>
          <w:tcPr>
            <w:tcW w:w="4609" w:type="dxa"/>
            <w:gridSpan w:val="2"/>
            <w:tcBorders>
              <w:top w:val="nil"/>
              <w:left w:val="nil"/>
              <w:bottom w:val="nil"/>
              <w:right w:val="nil"/>
            </w:tcBorders>
            <w:shd w:val="clear" w:color="auto" w:fill="FFFFFF"/>
            <w:vAlign w:val="bottom"/>
          </w:tcPr>
          <w:p w14:paraId="614BB96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Equity injections</w:t>
            </w:r>
          </w:p>
        </w:tc>
        <w:tc>
          <w:tcPr>
            <w:tcW w:w="567" w:type="dxa"/>
            <w:tcBorders>
              <w:top w:val="nil"/>
              <w:left w:val="nil"/>
              <w:bottom w:val="nil"/>
              <w:right w:val="nil"/>
            </w:tcBorders>
            <w:shd w:val="clear" w:color="auto" w:fill="FFFFFF"/>
            <w:vAlign w:val="bottom"/>
          </w:tcPr>
          <w:p w14:paraId="311495A3"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DBD6A4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5,565</w:t>
            </w:r>
          </w:p>
        </w:tc>
        <w:tc>
          <w:tcPr>
            <w:tcW w:w="964" w:type="dxa"/>
            <w:tcBorders>
              <w:top w:val="nil"/>
              <w:left w:val="nil"/>
              <w:bottom w:val="nil"/>
              <w:right w:val="nil"/>
            </w:tcBorders>
            <w:shd w:val="clear" w:color="auto" w:fill="FFFFFF"/>
            <w:vAlign w:val="bottom"/>
          </w:tcPr>
          <w:p w14:paraId="66A3EEE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3A0FFE9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5,565</w:t>
            </w:r>
          </w:p>
        </w:tc>
        <w:tc>
          <w:tcPr>
            <w:tcW w:w="965" w:type="dxa"/>
            <w:tcBorders>
              <w:top w:val="nil"/>
              <w:left w:val="nil"/>
              <w:bottom w:val="nil"/>
              <w:right w:val="nil"/>
            </w:tcBorders>
            <w:shd w:val="clear" w:color="auto" w:fill="FFFFFF"/>
            <w:vAlign w:val="bottom"/>
          </w:tcPr>
          <w:p w14:paraId="12A699F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3A5EAF4C" w14:textId="77777777" w:rsidTr="00B55A2A">
        <w:tc>
          <w:tcPr>
            <w:tcW w:w="4609" w:type="dxa"/>
            <w:gridSpan w:val="2"/>
            <w:tcBorders>
              <w:top w:val="nil"/>
              <w:left w:val="nil"/>
              <w:bottom w:val="nil"/>
              <w:right w:val="nil"/>
            </w:tcBorders>
            <w:shd w:val="clear" w:color="auto" w:fill="FFFFFF"/>
            <w:vAlign w:val="bottom"/>
          </w:tcPr>
          <w:p w14:paraId="219F692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i/>
                <w:iCs/>
                <w:sz w:val="18"/>
                <w:szCs w:val="18"/>
              </w:rPr>
              <w:t>Outflows:</w:t>
            </w:r>
          </w:p>
        </w:tc>
        <w:tc>
          <w:tcPr>
            <w:tcW w:w="567" w:type="dxa"/>
            <w:tcBorders>
              <w:top w:val="nil"/>
              <w:left w:val="nil"/>
              <w:bottom w:val="nil"/>
              <w:right w:val="nil"/>
            </w:tcBorders>
            <w:shd w:val="clear" w:color="auto" w:fill="FFFFFF"/>
            <w:vAlign w:val="bottom"/>
          </w:tcPr>
          <w:p w14:paraId="7B92163E"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E6C4C4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BB5F35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E44298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5" w:type="dxa"/>
            <w:tcBorders>
              <w:top w:val="nil"/>
              <w:left w:val="nil"/>
              <w:bottom w:val="nil"/>
              <w:right w:val="nil"/>
            </w:tcBorders>
            <w:shd w:val="clear" w:color="auto" w:fill="FFFFFF"/>
            <w:vAlign w:val="bottom"/>
          </w:tcPr>
          <w:p w14:paraId="77F9848B"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0263E450" w14:textId="77777777" w:rsidTr="00B55A2A">
        <w:tc>
          <w:tcPr>
            <w:tcW w:w="4609" w:type="dxa"/>
            <w:gridSpan w:val="2"/>
            <w:tcBorders>
              <w:top w:val="nil"/>
              <w:left w:val="nil"/>
              <w:bottom w:val="nil"/>
              <w:right w:val="nil"/>
            </w:tcBorders>
            <w:shd w:val="clear" w:color="auto" w:fill="FFFFFF"/>
            <w:vAlign w:val="bottom"/>
          </w:tcPr>
          <w:p w14:paraId="5D77D88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Equity withdrawals</w:t>
            </w:r>
          </w:p>
        </w:tc>
        <w:tc>
          <w:tcPr>
            <w:tcW w:w="567" w:type="dxa"/>
            <w:tcBorders>
              <w:top w:val="nil"/>
              <w:left w:val="nil"/>
              <w:bottom w:val="nil"/>
              <w:right w:val="nil"/>
            </w:tcBorders>
            <w:shd w:val="clear" w:color="auto" w:fill="FFFFFF"/>
            <w:vAlign w:val="bottom"/>
          </w:tcPr>
          <w:p w14:paraId="59BB0F7B"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784DCA5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5B58FBB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3,259</w:t>
            </w:r>
          </w:p>
        </w:tc>
        <w:tc>
          <w:tcPr>
            <w:tcW w:w="964" w:type="dxa"/>
            <w:tcBorders>
              <w:top w:val="nil"/>
              <w:left w:val="nil"/>
              <w:bottom w:val="single" w:sz="2" w:space="0" w:color="auto"/>
              <w:right w:val="nil"/>
            </w:tcBorders>
            <w:shd w:val="clear" w:color="auto" w:fill="FFFFFF"/>
            <w:vAlign w:val="bottom"/>
          </w:tcPr>
          <w:p w14:paraId="7FBE9D6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(3,259)</w:t>
            </w:r>
          </w:p>
        </w:tc>
        <w:tc>
          <w:tcPr>
            <w:tcW w:w="965" w:type="dxa"/>
            <w:tcBorders>
              <w:top w:val="nil"/>
              <w:left w:val="nil"/>
              <w:bottom w:val="single" w:sz="2" w:space="0" w:color="auto"/>
              <w:right w:val="nil"/>
            </w:tcBorders>
            <w:shd w:val="clear" w:color="auto" w:fill="FFFFFF"/>
            <w:vAlign w:val="bottom"/>
          </w:tcPr>
          <w:p w14:paraId="4EAA9D5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(6,390)</w:t>
            </w:r>
          </w:p>
        </w:tc>
      </w:tr>
      <w:tr w:rsidR="002E375F" w14:paraId="72E7C374" w14:textId="77777777" w:rsidTr="00B55A2A">
        <w:tc>
          <w:tcPr>
            <w:tcW w:w="4609" w:type="dxa"/>
            <w:gridSpan w:val="2"/>
            <w:tcBorders>
              <w:top w:val="nil"/>
              <w:left w:val="nil"/>
              <w:bottom w:val="nil"/>
              <w:right w:val="nil"/>
            </w:tcBorders>
            <w:shd w:val="clear" w:color="auto" w:fill="FFFFFF"/>
            <w:vAlign w:val="bottom"/>
          </w:tcPr>
          <w:p w14:paraId="4D3A774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Net Cash Provided by (Used in) Financing Activities</w:t>
            </w:r>
          </w:p>
        </w:tc>
        <w:tc>
          <w:tcPr>
            <w:tcW w:w="567" w:type="dxa"/>
            <w:tcBorders>
              <w:top w:val="nil"/>
              <w:left w:val="nil"/>
              <w:bottom w:val="nil"/>
              <w:right w:val="nil"/>
            </w:tcBorders>
            <w:shd w:val="clear" w:color="auto" w:fill="FFFFFF"/>
            <w:vAlign w:val="bottom"/>
          </w:tcPr>
          <w:p w14:paraId="56FEAAB2"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02E75F9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5,565</w:t>
            </w:r>
          </w:p>
        </w:tc>
        <w:tc>
          <w:tcPr>
            <w:tcW w:w="964" w:type="dxa"/>
            <w:tcBorders>
              <w:top w:val="nil"/>
              <w:left w:val="nil"/>
              <w:bottom w:val="single" w:sz="2" w:space="0" w:color="auto"/>
              <w:right w:val="nil"/>
            </w:tcBorders>
            <w:shd w:val="clear" w:color="auto" w:fill="FFFFFF"/>
            <w:vAlign w:val="bottom"/>
          </w:tcPr>
          <w:p w14:paraId="014AA6B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3,259</w:t>
            </w:r>
          </w:p>
        </w:tc>
        <w:tc>
          <w:tcPr>
            <w:tcW w:w="964" w:type="dxa"/>
            <w:tcBorders>
              <w:top w:val="nil"/>
              <w:left w:val="nil"/>
              <w:bottom w:val="single" w:sz="2" w:space="0" w:color="auto"/>
              <w:right w:val="nil"/>
            </w:tcBorders>
            <w:shd w:val="clear" w:color="auto" w:fill="FFFFFF"/>
            <w:vAlign w:val="bottom"/>
          </w:tcPr>
          <w:p w14:paraId="27EA1D7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2,306</w:t>
            </w:r>
          </w:p>
        </w:tc>
        <w:tc>
          <w:tcPr>
            <w:tcW w:w="965" w:type="dxa"/>
            <w:tcBorders>
              <w:top w:val="nil"/>
              <w:left w:val="nil"/>
              <w:bottom w:val="single" w:sz="2" w:space="0" w:color="auto"/>
              <w:right w:val="nil"/>
            </w:tcBorders>
            <w:shd w:val="clear" w:color="auto" w:fill="FFFFFF"/>
            <w:vAlign w:val="bottom"/>
          </w:tcPr>
          <w:p w14:paraId="5B7A039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(6,390)</w:t>
            </w:r>
          </w:p>
        </w:tc>
      </w:tr>
      <w:tr w:rsidR="002E375F" w14:paraId="5679AC3E" w14:textId="77777777" w:rsidTr="00B55A2A">
        <w:tc>
          <w:tcPr>
            <w:tcW w:w="4609" w:type="dxa"/>
            <w:gridSpan w:val="2"/>
            <w:tcBorders>
              <w:top w:val="nil"/>
              <w:left w:val="nil"/>
              <w:bottom w:val="nil"/>
              <w:right w:val="nil"/>
            </w:tcBorders>
            <w:shd w:val="clear" w:color="auto" w:fill="FFFFFF"/>
            <w:vAlign w:val="bottom"/>
          </w:tcPr>
          <w:p w14:paraId="40421F5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Net (decrease) in cash and cash equivalents</w:t>
            </w:r>
          </w:p>
        </w:tc>
        <w:tc>
          <w:tcPr>
            <w:tcW w:w="567" w:type="dxa"/>
            <w:tcBorders>
              <w:top w:val="nil"/>
              <w:left w:val="nil"/>
              <w:bottom w:val="nil"/>
              <w:right w:val="nil"/>
            </w:tcBorders>
            <w:shd w:val="clear" w:color="auto" w:fill="FFFFFF"/>
            <w:vAlign w:val="bottom"/>
          </w:tcPr>
          <w:p w14:paraId="43B9438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56002E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(11,167)</w:t>
            </w:r>
          </w:p>
        </w:tc>
        <w:tc>
          <w:tcPr>
            <w:tcW w:w="964" w:type="dxa"/>
            <w:tcBorders>
              <w:top w:val="nil"/>
              <w:left w:val="nil"/>
              <w:bottom w:val="nil"/>
              <w:right w:val="nil"/>
            </w:tcBorders>
            <w:shd w:val="clear" w:color="auto" w:fill="FFFFFF"/>
            <w:vAlign w:val="bottom"/>
          </w:tcPr>
          <w:p w14:paraId="3F5C63F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(7,232)</w:t>
            </w:r>
          </w:p>
        </w:tc>
        <w:tc>
          <w:tcPr>
            <w:tcW w:w="964" w:type="dxa"/>
            <w:tcBorders>
              <w:top w:val="nil"/>
              <w:left w:val="nil"/>
              <w:bottom w:val="nil"/>
              <w:right w:val="nil"/>
            </w:tcBorders>
            <w:shd w:val="clear" w:color="auto" w:fill="FFFFFF"/>
            <w:vAlign w:val="bottom"/>
          </w:tcPr>
          <w:p w14:paraId="56739A8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(3,935)</w:t>
            </w:r>
          </w:p>
        </w:tc>
        <w:tc>
          <w:tcPr>
            <w:tcW w:w="965" w:type="dxa"/>
            <w:tcBorders>
              <w:top w:val="nil"/>
              <w:left w:val="nil"/>
              <w:bottom w:val="nil"/>
              <w:right w:val="nil"/>
            </w:tcBorders>
            <w:shd w:val="clear" w:color="auto" w:fill="FFFFFF"/>
            <w:vAlign w:val="bottom"/>
          </w:tcPr>
          <w:p w14:paraId="2BFAFAF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(4,034)</w:t>
            </w:r>
          </w:p>
        </w:tc>
      </w:tr>
      <w:tr w:rsidR="002E375F" w14:paraId="2E41CB86" w14:textId="77777777" w:rsidTr="00B55A2A">
        <w:tc>
          <w:tcPr>
            <w:tcW w:w="4609" w:type="dxa"/>
            <w:gridSpan w:val="2"/>
            <w:tcBorders>
              <w:top w:val="nil"/>
              <w:left w:val="nil"/>
              <w:bottom w:val="nil"/>
              <w:right w:val="nil"/>
            </w:tcBorders>
            <w:shd w:val="clear" w:color="auto" w:fill="FFFFFF"/>
            <w:vAlign w:val="bottom"/>
          </w:tcPr>
          <w:p w14:paraId="14D1A55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Cash and Cash Equivalents - Opening balance</w:t>
            </w:r>
          </w:p>
        </w:tc>
        <w:tc>
          <w:tcPr>
            <w:tcW w:w="567" w:type="dxa"/>
            <w:tcBorders>
              <w:top w:val="nil"/>
              <w:left w:val="nil"/>
              <w:bottom w:val="nil"/>
              <w:right w:val="nil"/>
            </w:tcBorders>
            <w:shd w:val="clear" w:color="auto" w:fill="FFFFFF"/>
            <w:vAlign w:val="bottom"/>
          </w:tcPr>
          <w:p w14:paraId="49BF98E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565A6BA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83,208</w:t>
            </w:r>
          </w:p>
        </w:tc>
        <w:tc>
          <w:tcPr>
            <w:tcW w:w="964" w:type="dxa"/>
            <w:tcBorders>
              <w:top w:val="nil"/>
              <w:left w:val="nil"/>
              <w:bottom w:val="single" w:sz="2" w:space="0" w:color="auto"/>
              <w:right w:val="nil"/>
            </w:tcBorders>
            <w:shd w:val="clear" w:color="auto" w:fill="FFFFFF"/>
            <w:vAlign w:val="bottom"/>
          </w:tcPr>
          <w:p w14:paraId="65E1B2C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29,279</w:t>
            </w:r>
          </w:p>
        </w:tc>
        <w:tc>
          <w:tcPr>
            <w:tcW w:w="964" w:type="dxa"/>
            <w:tcBorders>
              <w:top w:val="nil"/>
              <w:left w:val="nil"/>
              <w:bottom w:val="single" w:sz="2" w:space="0" w:color="auto"/>
              <w:right w:val="nil"/>
            </w:tcBorders>
            <w:shd w:val="clear" w:color="auto" w:fill="FFFFFF"/>
            <w:vAlign w:val="bottom"/>
          </w:tcPr>
          <w:p w14:paraId="1E952BF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53,929</w:t>
            </w:r>
          </w:p>
        </w:tc>
        <w:tc>
          <w:tcPr>
            <w:tcW w:w="965" w:type="dxa"/>
            <w:tcBorders>
              <w:top w:val="nil"/>
              <w:left w:val="nil"/>
              <w:bottom w:val="single" w:sz="2" w:space="0" w:color="auto"/>
              <w:right w:val="nil"/>
            </w:tcBorders>
            <w:shd w:val="clear" w:color="auto" w:fill="FFFFFF"/>
            <w:vAlign w:val="bottom"/>
          </w:tcPr>
          <w:p w14:paraId="5BC4F6E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87,242</w:t>
            </w:r>
          </w:p>
        </w:tc>
      </w:tr>
      <w:tr w:rsidR="002E375F" w14:paraId="41569224" w14:textId="77777777" w:rsidTr="00B55A2A">
        <w:tc>
          <w:tcPr>
            <w:tcW w:w="4609" w:type="dxa"/>
            <w:gridSpan w:val="2"/>
            <w:tcBorders>
              <w:top w:val="nil"/>
              <w:left w:val="nil"/>
              <w:bottom w:val="nil"/>
              <w:right w:val="nil"/>
            </w:tcBorders>
            <w:shd w:val="clear" w:color="auto" w:fill="FFFFFF"/>
            <w:vAlign w:val="bottom"/>
          </w:tcPr>
          <w:p w14:paraId="2D299CF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Cash and Cash Equivalents - Closing balance</w:t>
            </w:r>
          </w:p>
        </w:tc>
        <w:tc>
          <w:tcPr>
            <w:tcW w:w="567" w:type="dxa"/>
            <w:tcBorders>
              <w:top w:val="nil"/>
              <w:left w:val="nil"/>
              <w:bottom w:val="nil"/>
              <w:right w:val="nil"/>
            </w:tcBorders>
            <w:shd w:val="clear" w:color="auto" w:fill="FFFFFF"/>
            <w:vAlign w:val="bottom"/>
          </w:tcPr>
          <w:p w14:paraId="30775592"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8"/>
                <w:szCs w:val="18"/>
              </w:rPr>
              <w:t>C1</w:t>
            </w:r>
          </w:p>
        </w:tc>
        <w:tc>
          <w:tcPr>
            <w:tcW w:w="964" w:type="dxa"/>
            <w:tcBorders>
              <w:top w:val="nil"/>
              <w:left w:val="nil"/>
              <w:bottom w:val="single" w:sz="2" w:space="0" w:color="auto"/>
              <w:right w:val="nil"/>
            </w:tcBorders>
            <w:shd w:val="clear" w:color="auto" w:fill="FFFFFF"/>
            <w:vAlign w:val="bottom"/>
          </w:tcPr>
          <w:p w14:paraId="6D1A917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72,041</w:t>
            </w:r>
          </w:p>
        </w:tc>
        <w:tc>
          <w:tcPr>
            <w:tcW w:w="964" w:type="dxa"/>
            <w:tcBorders>
              <w:top w:val="nil"/>
              <w:left w:val="nil"/>
              <w:bottom w:val="single" w:sz="2" w:space="0" w:color="auto"/>
              <w:right w:val="nil"/>
            </w:tcBorders>
            <w:shd w:val="clear" w:color="auto" w:fill="FFFFFF"/>
            <w:vAlign w:val="bottom"/>
          </w:tcPr>
          <w:p w14:paraId="2F4B4A6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22,047</w:t>
            </w:r>
          </w:p>
        </w:tc>
        <w:tc>
          <w:tcPr>
            <w:tcW w:w="964" w:type="dxa"/>
            <w:tcBorders>
              <w:top w:val="nil"/>
              <w:left w:val="nil"/>
              <w:bottom w:val="single" w:sz="2" w:space="0" w:color="auto"/>
              <w:right w:val="nil"/>
            </w:tcBorders>
            <w:shd w:val="clear" w:color="auto" w:fill="FFFFFF"/>
            <w:vAlign w:val="bottom"/>
          </w:tcPr>
          <w:p w14:paraId="76718EC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49,994</w:t>
            </w:r>
          </w:p>
        </w:tc>
        <w:tc>
          <w:tcPr>
            <w:tcW w:w="965" w:type="dxa"/>
            <w:tcBorders>
              <w:top w:val="nil"/>
              <w:left w:val="nil"/>
              <w:bottom w:val="single" w:sz="2" w:space="0" w:color="auto"/>
              <w:right w:val="nil"/>
            </w:tcBorders>
            <w:shd w:val="clear" w:color="auto" w:fill="FFFFFF"/>
            <w:vAlign w:val="bottom"/>
          </w:tcPr>
          <w:p w14:paraId="7D8062A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83,208</w:t>
            </w:r>
          </w:p>
        </w:tc>
      </w:tr>
      <w:tr w:rsidR="002E375F" w14:paraId="787BCEC0" w14:textId="77777777" w:rsidTr="00B55A2A">
        <w:tc>
          <w:tcPr>
            <w:tcW w:w="355" w:type="dxa"/>
            <w:tcBorders>
              <w:top w:val="nil"/>
              <w:left w:val="nil"/>
              <w:bottom w:val="nil"/>
              <w:right w:val="nil"/>
            </w:tcBorders>
            <w:shd w:val="clear" w:color="auto" w:fill="FFFFFF"/>
          </w:tcPr>
          <w:p w14:paraId="31313C55" w14:textId="77777777" w:rsidR="002E375F" w:rsidRDefault="00EB2569">
            <w:pPr>
              <w:autoSpaceDE w:val="0"/>
              <w:autoSpaceDN w:val="0"/>
              <w:adjustRightInd w:val="0"/>
              <w:spacing w:after="0" w:line="240" w:lineRule="auto"/>
              <w:ind w:right="255"/>
              <w:rPr>
                <w:rFonts w:ascii="Times New Roman" w:hAnsi="Times New Roman" w:cs="Times New Roman"/>
                <w:sz w:val="24"/>
                <w:szCs w:val="24"/>
              </w:rPr>
            </w:pPr>
            <w:r>
              <w:rPr>
                <w:rFonts w:ascii="Arial" w:hAnsi="Arial" w:cs="Arial"/>
                <w:sz w:val="18"/>
                <w:szCs w:val="18"/>
              </w:rPr>
              <w:t>*</w:t>
            </w:r>
            <w:r>
              <w:rPr>
                <w:rFonts w:ascii="Arial" w:hAnsi="Arial" w:cs="Arial"/>
                <w:sz w:val="18"/>
                <w:szCs w:val="18"/>
              </w:rPr>
              <w:br/>
              <w:t>^</w:t>
            </w:r>
            <w:r>
              <w:rPr>
                <w:rFonts w:ascii="Arial" w:hAnsi="Arial" w:cs="Arial"/>
                <w:sz w:val="18"/>
                <w:szCs w:val="18"/>
              </w:rPr>
              <w:br/>
              <w:t>#</w:t>
            </w:r>
          </w:p>
        </w:tc>
        <w:tc>
          <w:tcPr>
            <w:tcW w:w="8678" w:type="dxa"/>
            <w:gridSpan w:val="6"/>
            <w:tcBorders>
              <w:top w:val="nil"/>
              <w:left w:val="nil"/>
              <w:bottom w:val="nil"/>
              <w:right w:val="nil"/>
            </w:tcBorders>
            <w:shd w:val="clear" w:color="auto" w:fill="FFFFFF"/>
            <w:vAlign w:val="bottom"/>
          </w:tcPr>
          <w:p w14:paraId="48E446C5" w14:textId="77777777" w:rsidR="00DD2CED" w:rsidRDefault="00EB2569" w:rsidP="00AE1BB2">
            <w:pPr>
              <w:autoSpaceDE w:val="0"/>
              <w:autoSpaceDN w:val="0"/>
              <w:adjustRightInd w:val="0"/>
              <w:spacing w:after="0" w:line="240" w:lineRule="auto"/>
              <w:jc w:val="both"/>
              <w:rPr>
                <w:rFonts w:ascii="Times New Roman" w:hAnsi="Times New Roman" w:cs="Times New Roman"/>
                <w:sz w:val="24"/>
                <w:szCs w:val="24"/>
              </w:rPr>
            </w:pPr>
            <w:r>
              <w:rPr>
                <w:rFonts w:ascii="Arial" w:hAnsi="Arial" w:cs="Arial"/>
                <w:i/>
                <w:iCs/>
                <w:sz w:val="16"/>
                <w:szCs w:val="16"/>
              </w:rPr>
              <w:t>An explanation of major variances is included at Note E1-3.</w:t>
            </w:r>
            <w:r>
              <w:rPr>
                <w:rFonts w:ascii="Arial" w:hAnsi="Arial" w:cs="Arial"/>
                <w:sz w:val="16"/>
                <w:szCs w:val="16"/>
              </w:rPr>
              <w:br/>
            </w:r>
            <w:r>
              <w:rPr>
                <w:rFonts w:ascii="Arial" w:hAnsi="Arial" w:cs="Arial"/>
                <w:i/>
                <w:iCs/>
                <w:sz w:val="16"/>
                <w:szCs w:val="16"/>
              </w:rPr>
              <w:t>These figures represent budgeted figures as published in the latest Service Delivery Statement tabled in Parliament.</w:t>
            </w:r>
            <w:r>
              <w:rPr>
                <w:rFonts w:ascii="Arial" w:hAnsi="Arial" w:cs="Arial"/>
                <w:sz w:val="16"/>
                <w:szCs w:val="16"/>
              </w:rPr>
              <w:br/>
            </w:r>
            <w:r>
              <w:rPr>
                <w:rFonts w:ascii="Arial" w:hAnsi="Arial" w:cs="Arial"/>
                <w:i/>
                <w:iCs/>
                <w:sz w:val="16"/>
                <w:szCs w:val="16"/>
              </w:rPr>
              <w:t>Reconciliation is shown on the following page.</w:t>
            </w:r>
          </w:p>
        </w:tc>
      </w:tr>
    </w:tbl>
    <w:p w14:paraId="40B79E20"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5F3A0D8F" w14:textId="77777777" w:rsidR="002E375F" w:rsidRDefault="00EB2569" w:rsidP="00F45CE1">
      <w:pPr>
        <w:pStyle w:val="Heading2"/>
        <w:spacing w:before="0"/>
        <w:rPr>
          <w:rFonts w:ascii="Times New Roman" w:hAnsi="Times New Roman" w:cs="Times New Roman"/>
        </w:rPr>
      </w:pPr>
      <w:r>
        <w:lastRenderedPageBreak/>
        <w:t>Department of Communities, Disability Services and Seniors</w:t>
      </w:r>
    </w:p>
    <w:p w14:paraId="51272248" w14:textId="77777777" w:rsidR="002E375F" w:rsidRDefault="00EB2569" w:rsidP="00F45CE1">
      <w:pPr>
        <w:pStyle w:val="Heading2"/>
        <w:spacing w:before="0"/>
        <w:rPr>
          <w:rFonts w:ascii="Times New Roman" w:hAnsi="Times New Roman" w:cs="Times New Roman"/>
        </w:rPr>
      </w:pPr>
      <w:r>
        <w:t>Statement of Cash Flows - Controlled</w:t>
      </w:r>
    </w:p>
    <w:p w14:paraId="655AFD3E" w14:textId="77777777" w:rsidR="002E375F" w:rsidRDefault="00EB2569" w:rsidP="00F45CE1">
      <w:pPr>
        <w:pStyle w:val="Heading2"/>
        <w:spacing w:before="0"/>
        <w:rPr>
          <w:rFonts w:ascii="Times New Roman" w:hAnsi="Times New Roman" w:cs="Times New Roman"/>
        </w:rPr>
      </w:pPr>
      <w:r>
        <w:t>for the year ended 30 June 2020</w:t>
      </w:r>
    </w:p>
    <w:p w14:paraId="6EB23299"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454C1A2F" w14:textId="77777777" w:rsidR="009A0597" w:rsidRDefault="009A0597" w:rsidP="001C442D">
      <w:pPr>
        <w:pStyle w:val="Heading2"/>
        <w:rPr>
          <w:rFonts w:ascii="Times New Roman" w:hAnsi="Times New Roman" w:cs="Times New Roman"/>
          <w:sz w:val="24"/>
          <w:szCs w:val="24"/>
        </w:rPr>
      </w:pPr>
      <w:r>
        <w:t>Notes to the Statement of Cash Flows</w:t>
      </w:r>
    </w:p>
    <w:p w14:paraId="139547A2" w14:textId="77777777" w:rsidR="009A0597" w:rsidRDefault="009A0597" w:rsidP="001C442D">
      <w:pPr>
        <w:pStyle w:val="Heading2"/>
        <w:rPr>
          <w:rFonts w:ascii="Times New Roman" w:hAnsi="Times New Roman" w:cs="Times New Roman"/>
          <w:sz w:val="24"/>
          <w:szCs w:val="24"/>
        </w:rPr>
      </w:pPr>
      <w:r>
        <w:rPr>
          <w:sz w:val="18"/>
          <w:szCs w:val="18"/>
        </w:rPr>
        <w:t>Reconciliation of Operating Result to Net Cash Provided by Operating Activities</w:t>
      </w:r>
    </w:p>
    <w:tbl>
      <w:tblPr>
        <w:tblW w:w="0" w:type="auto"/>
        <w:tblLayout w:type="fixed"/>
        <w:tblCellMar>
          <w:left w:w="0" w:type="dxa"/>
          <w:right w:w="0" w:type="dxa"/>
        </w:tblCellMar>
        <w:tblLook w:val="0000" w:firstRow="0" w:lastRow="0" w:firstColumn="0" w:lastColumn="0" w:noHBand="0" w:noVBand="0"/>
      </w:tblPr>
      <w:tblGrid>
        <w:gridCol w:w="6537"/>
        <w:gridCol w:w="567"/>
        <w:gridCol w:w="964"/>
        <w:gridCol w:w="964"/>
      </w:tblGrid>
      <w:tr w:rsidR="002E375F" w:rsidRPr="009A0597" w14:paraId="760009B9" w14:textId="77777777">
        <w:tc>
          <w:tcPr>
            <w:tcW w:w="6537" w:type="dxa"/>
            <w:tcBorders>
              <w:top w:val="nil"/>
              <w:left w:val="nil"/>
              <w:bottom w:val="nil"/>
              <w:right w:val="nil"/>
            </w:tcBorders>
            <w:shd w:val="clear" w:color="auto" w:fill="FFFFFF"/>
            <w:vAlign w:val="bottom"/>
          </w:tcPr>
          <w:p w14:paraId="60E9BB0F" w14:textId="77777777" w:rsidR="002E375F" w:rsidRPr="00862FE1" w:rsidRDefault="002E375F" w:rsidP="005A3B27">
            <w:pPr>
              <w:pStyle w:val="Heading2"/>
              <w:rPr>
                <w:rFonts w:ascii="Arial" w:hAnsi="Arial" w:cs="Arial"/>
                <w:b/>
                <w:sz w:val="18"/>
                <w:szCs w:val="18"/>
              </w:rPr>
            </w:pPr>
          </w:p>
        </w:tc>
        <w:tc>
          <w:tcPr>
            <w:tcW w:w="567" w:type="dxa"/>
            <w:tcBorders>
              <w:top w:val="nil"/>
              <w:left w:val="nil"/>
              <w:bottom w:val="nil"/>
              <w:right w:val="nil"/>
            </w:tcBorders>
            <w:shd w:val="clear" w:color="auto" w:fill="FFFFFF"/>
            <w:vAlign w:val="bottom"/>
          </w:tcPr>
          <w:p w14:paraId="01BA2AE9" w14:textId="77777777" w:rsidR="002E375F" w:rsidRPr="00862FE1" w:rsidRDefault="00EB2569" w:rsidP="00E46D04">
            <w:pPr>
              <w:pStyle w:val="Heading2"/>
              <w:rPr>
                <w:rFonts w:ascii="Arial" w:hAnsi="Arial" w:cs="Arial"/>
                <w:b/>
                <w:sz w:val="18"/>
                <w:szCs w:val="18"/>
              </w:rPr>
            </w:pPr>
            <w:r w:rsidRPr="00862FE1">
              <w:rPr>
                <w:rFonts w:ascii="Arial" w:hAnsi="Arial" w:cs="Arial"/>
                <w:b/>
                <w:sz w:val="18"/>
                <w:szCs w:val="18"/>
              </w:rPr>
              <w:t>Note</w:t>
            </w:r>
          </w:p>
        </w:tc>
        <w:tc>
          <w:tcPr>
            <w:tcW w:w="964" w:type="dxa"/>
            <w:tcBorders>
              <w:top w:val="nil"/>
              <w:left w:val="nil"/>
              <w:bottom w:val="nil"/>
              <w:right w:val="nil"/>
            </w:tcBorders>
            <w:shd w:val="clear" w:color="auto" w:fill="FFFFFF"/>
            <w:vAlign w:val="bottom"/>
          </w:tcPr>
          <w:p w14:paraId="5E0CD4CE" w14:textId="77777777" w:rsidR="002E375F" w:rsidRPr="00862FE1" w:rsidRDefault="00EB2569" w:rsidP="00862FE1">
            <w:pPr>
              <w:pStyle w:val="Heading2"/>
              <w:jc w:val="right"/>
              <w:rPr>
                <w:rFonts w:ascii="Arial" w:hAnsi="Arial" w:cs="Arial"/>
                <w:b/>
                <w:sz w:val="18"/>
                <w:szCs w:val="18"/>
              </w:rPr>
            </w:pPr>
            <w:r w:rsidRPr="00862FE1">
              <w:rPr>
                <w:rFonts w:ascii="Arial" w:hAnsi="Arial" w:cs="Arial"/>
                <w:b/>
                <w:sz w:val="18"/>
                <w:szCs w:val="18"/>
              </w:rPr>
              <w:t>2020</w:t>
            </w:r>
            <w:r w:rsidRPr="00862FE1">
              <w:rPr>
                <w:rFonts w:ascii="Arial" w:hAnsi="Arial" w:cs="Arial"/>
                <w:b/>
                <w:sz w:val="18"/>
                <w:szCs w:val="18"/>
              </w:rPr>
              <w:br/>
              <w:t>$'000</w:t>
            </w:r>
          </w:p>
        </w:tc>
        <w:tc>
          <w:tcPr>
            <w:tcW w:w="964" w:type="dxa"/>
            <w:tcBorders>
              <w:top w:val="nil"/>
              <w:left w:val="nil"/>
              <w:bottom w:val="nil"/>
              <w:right w:val="nil"/>
            </w:tcBorders>
            <w:shd w:val="clear" w:color="auto" w:fill="FFFFFF"/>
            <w:vAlign w:val="bottom"/>
          </w:tcPr>
          <w:p w14:paraId="2D4CCA77" w14:textId="77777777" w:rsidR="002E375F" w:rsidRPr="00862FE1" w:rsidRDefault="00EB2569" w:rsidP="00862FE1">
            <w:pPr>
              <w:pStyle w:val="Heading2"/>
              <w:jc w:val="right"/>
              <w:rPr>
                <w:rFonts w:ascii="Arial" w:hAnsi="Arial" w:cs="Arial"/>
                <w:sz w:val="18"/>
                <w:szCs w:val="18"/>
              </w:rPr>
            </w:pPr>
            <w:r w:rsidRPr="00862FE1">
              <w:rPr>
                <w:rFonts w:ascii="Arial" w:hAnsi="Arial" w:cs="Arial"/>
                <w:sz w:val="18"/>
                <w:szCs w:val="18"/>
              </w:rPr>
              <w:t>2019</w:t>
            </w:r>
            <w:r w:rsidRPr="00862FE1">
              <w:rPr>
                <w:rFonts w:ascii="Arial" w:hAnsi="Arial" w:cs="Arial"/>
                <w:sz w:val="18"/>
                <w:szCs w:val="18"/>
              </w:rPr>
              <w:br/>
              <w:t>$'000</w:t>
            </w:r>
          </w:p>
        </w:tc>
      </w:tr>
      <w:tr w:rsidR="002E375F" w14:paraId="0B51C7BB" w14:textId="77777777">
        <w:tc>
          <w:tcPr>
            <w:tcW w:w="6537" w:type="dxa"/>
            <w:tcBorders>
              <w:top w:val="nil"/>
              <w:left w:val="nil"/>
              <w:bottom w:val="nil"/>
              <w:right w:val="nil"/>
            </w:tcBorders>
            <w:shd w:val="clear" w:color="auto" w:fill="FFFFFF"/>
            <w:vAlign w:val="bottom"/>
          </w:tcPr>
          <w:p w14:paraId="7A81FDE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Operating Result for the Year</w:t>
            </w:r>
          </w:p>
        </w:tc>
        <w:tc>
          <w:tcPr>
            <w:tcW w:w="567" w:type="dxa"/>
            <w:tcBorders>
              <w:top w:val="nil"/>
              <w:left w:val="nil"/>
              <w:bottom w:val="nil"/>
              <w:right w:val="nil"/>
            </w:tcBorders>
            <w:shd w:val="clear" w:color="auto" w:fill="FFFFFF"/>
            <w:vAlign w:val="bottom"/>
          </w:tcPr>
          <w:p w14:paraId="67F5B4B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822ED2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7,447</w:t>
            </w:r>
          </w:p>
        </w:tc>
        <w:tc>
          <w:tcPr>
            <w:tcW w:w="964" w:type="dxa"/>
            <w:tcBorders>
              <w:top w:val="nil"/>
              <w:left w:val="nil"/>
              <w:bottom w:val="nil"/>
              <w:right w:val="nil"/>
            </w:tcBorders>
            <w:shd w:val="clear" w:color="auto" w:fill="FFFFFF"/>
            <w:vAlign w:val="bottom"/>
          </w:tcPr>
          <w:p w14:paraId="4EF0EA1A" w14:textId="77777777" w:rsidR="002E375F" w:rsidRPr="007726EE" w:rsidRDefault="00EB2569">
            <w:pPr>
              <w:autoSpaceDE w:val="0"/>
              <w:autoSpaceDN w:val="0"/>
              <w:adjustRightInd w:val="0"/>
              <w:spacing w:after="0" w:line="240" w:lineRule="auto"/>
              <w:jc w:val="right"/>
              <w:rPr>
                <w:rFonts w:ascii="Times New Roman" w:hAnsi="Times New Roman" w:cs="Times New Roman"/>
                <w:sz w:val="24"/>
                <w:szCs w:val="24"/>
              </w:rPr>
            </w:pPr>
            <w:r w:rsidRPr="007726EE">
              <w:rPr>
                <w:rFonts w:ascii="Arial" w:hAnsi="Arial" w:cs="Arial"/>
                <w:sz w:val="18"/>
                <w:szCs w:val="18"/>
              </w:rPr>
              <w:t>11,300</w:t>
            </w:r>
          </w:p>
        </w:tc>
      </w:tr>
      <w:tr w:rsidR="002E375F" w14:paraId="1CF5FB8B" w14:textId="77777777">
        <w:tc>
          <w:tcPr>
            <w:tcW w:w="6537" w:type="dxa"/>
            <w:tcBorders>
              <w:top w:val="nil"/>
              <w:left w:val="nil"/>
              <w:bottom w:val="nil"/>
              <w:right w:val="nil"/>
            </w:tcBorders>
            <w:shd w:val="clear" w:color="auto" w:fill="FFFFFF"/>
            <w:vAlign w:val="bottom"/>
          </w:tcPr>
          <w:p w14:paraId="5B68141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i/>
                <w:iCs/>
                <w:sz w:val="18"/>
                <w:szCs w:val="18"/>
              </w:rPr>
              <w:t>Non-cash items included in operating result</w:t>
            </w:r>
          </w:p>
        </w:tc>
        <w:tc>
          <w:tcPr>
            <w:tcW w:w="567" w:type="dxa"/>
            <w:tcBorders>
              <w:top w:val="nil"/>
              <w:left w:val="nil"/>
              <w:bottom w:val="nil"/>
              <w:right w:val="nil"/>
            </w:tcBorders>
            <w:shd w:val="clear" w:color="auto" w:fill="FFFFFF"/>
            <w:vAlign w:val="bottom"/>
          </w:tcPr>
          <w:p w14:paraId="42D6C6C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494FB77"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27FD40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393BC34F" w14:textId="77777777">
        <w:tc>
          <w:tcPr>
            <w:tcW w:w="6537" w:type="dxa"/>
            <w:tcBorders>
              <w:top w:val="nil"/>
              <w:left w:val="nil"/>
              <w:bottom w:val="nil"/>
              <w:right w:val="nil"/>
            </w:tcBorders>
            <w:shd w:val="clear" w:color="auto" w:fill="FFFFFF"/>
            <w:vAlign w:val="bottom"/>
          </w:tcPr>
          <w:p w14:paraId="23BFC5A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Reversal of revaluation decrement</w:t>
            </w:r>
          </w:p>
        </w:tc>
        <w:tc>
          <w:tcPr>
            <w:tcW w:w="567" w:type="dxa"/>
            <w:tcBorders>
              <w:top w:val="nil"/>
              <w:left w:val="nil"/>
              <w:bottom w:val="nil"/>
              <w:right w:val="nil"/>
            </w:tcBorders>
            <w:shd w:val="clear" w:color="auto" w:fill="FFFFFF"/>
            <w:vAlign w:val="bottom"/>
          </w:tcPr>
          <w:p w14:paraId="0F0EA6C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0211DF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(6,410)</w:t>
            </w:r>
          </w:p>
        </w:tc>
        <w:tc>
          <w:tcPr>
            <w:tcW w:w="964" w:type="dxa"/>
            <w:tcBorders>
              <w:top w:val="nil"/>
              <w:left w:val="nil"/>
              <w:bottom w:val="nil"/>
              <w:right w:val="nil"/>
            </w:tcBorders>
            <w:shd w:val="clear" w:color="auto" w:fill="FFFFFF"/>
            <w:vAlign w:val="bottom"/>
          </w:tcPr>
          <w:p w14:paraId="5186BE3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(3,551)</w:t>
            </w:r>
          </w:p>
        </w:tc>
      </w:tr>
      <w:tr w:rsidR="002E375F" w14:paraId="741A116F" w14:textId="77777777">
        <w:tc>
          <w:tcPr>
            <w:tcW w:w="6537" w:type="dxa"/>
            <w:tcBorders>
              <w:top w:val="nil"/>
              <w:left w:val="nil"/>
              <w:bottom w:val="nil"/>
              <w:right w:val="nil"/>
            </w:tcBorders>
            <w:shd w:val="clear" w:color="auto" w:fill="FFFFFF"/>
            <w:vAlign w:val="bottom"/>
          </w:tcPr>
          <w:p w14:paraId="44C06F3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Revaluation decrement</w:t>
            </w:r>
          </w:p>
        </w:tc>
        <w:tc>
          <w:tcPr>
            <w:tcW w:w="567" w:type="dxa"/>
            <w:tcBorders>
              <w:top w:val="nil"/>
              <w:left w:val="nil"/>
              <w:bottom w:val="nil"/>
              <w:right w:val="nil"/>
            </w:tcBorders>
            <w:shd w:val="clear" w:color="auto" w:fill="FFFFFF"/>
            <w:vAlign w:val="bottom"/>
          </w:tcPr>
          <w:p w14:paraId="257654D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7A16BC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16AFDF6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1,035</w:t>
            </w:r>
          </w:p>
        </w:tc>
      </w:tr>
      <w:tr w:rsidR="002E375F" w14:paraId="424A2CD4" w14:textId="77777777">
        <w:tc>
          <w:tcPr>
            <w:tcW w:w="6537" w:type="dxa"/>
            <w:tcBorders>
              <w:top w:val="nil"/>
              <w:left w:val="nil"/>
              <w:bottom w:val="nil"/>
              <w:right w:val="nil"/>
            </w:tcBorders>
            <w:shd w:val="clear" w:color="auto" w:fill="FFFFFF"/>
            <w:vAlign w:val="bottom"/>
          </w:tcPr>
          <w:p w14:paraId="271BD72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Depreciation and amortisation expense</w:t>
            </w:r>
          </w:p>
        </w:tc>
        <w:tc>
          <w:tcPr>
            <w:tcW w:w="567" w:type="dxa"/>
            <w:tcBorders>
              <w:top w:val="nil"/>
              <w:left w:val="nil"/>
              <w:bottom w:val="nil"/>
              <w:right w:val="nil"/>
            </w:tcBorders>
            <w:shd w:val="clear" w:color="auto" w:fill="FFFFFF"/>
            <w:vAlign w:val="bottom"/>
          </w:tcPr>
          <w:p w14:paraId="721A729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BAB399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5,907</w:t>
            </w:r>
          </w:p>
        </w:tc>
        <w:tc>
          <w:tcPr>
            <w:tcW w:w="964" w:type="dxa"/>
            <w:tcBorders>
              <w:top w:val="nil"/>
              <w:left w:val="nil"/>
              <w:bottom w:val="nil"/>
              <w:right w:val="nil"/>
            </w:tcBorders>
            <w:shd w:val="clear" w:color="auto" w:fill="FFFFFF"/>
            <w:vAlign w:val="bottom"/>
          </w:tcPr>
          <w:p w14:paraId="72CD1FC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8,333</w:t>
            </w:r>
          </w:p>
        </w:tc>
      </w:tr>
      <w:tr w:rsidR="002E375F" w14:paraId="19EF4A29" w14:textId="77777777">
        <w:tc>
          <w:tcPr>
            <w:tcW w:w="6537" w:type="dxa"/>
            <w:tcBorders>
              <w:top w:val="nil"/>
              <w:left w:val="nil"/>
              <w:bottom w:val="nil"/>
              <w:right w:val="nil"/>
            </w:tcBorders>
            <w:shd w:val="clear" w:color="auto" w:fill="FFFFFF"/>
            <w:vAlign w:val="bottom"/>
          </w:tcPr>
          <w:p w14:paraId="32A698C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Donated assets and services received</w:t>
            </w:r>
          </w:p>
        </w:tc>
        <w:tc>
          <w:tcPr>
            <w:tcW w:w="567" w:type="dxa"/>
            <w:tcBorders>
              <w:top w:val="nil"/>
              <w:left w:val="nil"/>
              <w:bottom w:val="nil"/>
              <w:right w:val="nil"/>
            </w:tcBorders>
            <w:shd w:val="clear" w:color="auto" w:fill="FFFFFF"/>
            <w:vAlign w:val="bottom"/>
          </w:tcPr>
          <w:p w14:paraId="3C3F18D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BA93CE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0691943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(3,069)</w:t>
            </w:r>
          </w:p>
        </w:tc>
      </w:tr>
      <w:tr w:rsidR="002E375F" w14:paraId="78089C4B" w14:textId="77777777">
        <w:tc>
          <w:tcPr>
            <w:tcW w:w="6537" w:type="dxa"/>
            <w:tcBorders>
              <w:top w:val="nil"/>
              <w:left w:val="nil"/>
              <w:bottom w:val="nil"/>
              <w:right w:val="nil"/>
            </w:tcBorders>
            <w:shd w:val="clear" w:color="auto" w:fill="FFFFFF"/>
            <w:vAlign w:val="bottom"/>
          </w:tcPr>
          <w:p w14:paraId="0BFCD46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Loss (gain) on disposal of non-current assets</w:t>
            </w:r>
          </w:p>
        </w:tc>
        <w:tc>
          <w:tcPr>
            <w:tcW w:w="567" w:type="dxa"/>
            <w:tcBorders>
              <w:top w:val="nil"/>
              <w:left w:val="nil"/>
              <w:bottom w:val="nil"/>
              <w:right w:val="nil"/>
            </w:tcBorders>
            <w:shd w:val="clear" w:color="auto" w:fill="FFFFFF"/>
            <w:vAlign w:val="bottom"/>
          </w:tcPr>
          <w:p w14:paraId="7D6C134E"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62D8C8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1,308</w:t>
            </w:r>
          </w:p>
        </w:tc>
        <w:tc>
          <w:tcPr>
            <w:tcW w:w="964" w:type="dxa"/>
            <w:tcBorders>
              <w:top w:val="nil"/>
              <w:left w:val="nil"/>
              <w:bottom w:val="nil"/>
              <w:right w:val="nil"/>
            </w:tcBorders>
            <w:shd w:val="clear" w:color="auto" w:fill="FFFFFF"/>
            <w:vAlign w:val="bottom"/>
          </w:tcPr>
          <w:p w14:paraId="0C74CDD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41</w:t>
            </w:r>
          </w:p>
        </w:tc>
      </w:tr>
      <w:tr w:rsidR="002E375F" w14:paraId="1403A020" w14:textId="77777777">
        <w:tc>
          <w:tcPr>
            <w:tcW w:w="6537" w:type="dxa"/>
            <w:tcBorders>
              <w:top w:val="nil"/>
              <w:left w:val="nil"/>
              <w:bottom w:val="nil"/>
              <w:right w:val="nil"/>
            </w:tcBorders>
            <w:shd w:val="clear" w:color="auto" w:fill="FFFFFF"/>
            <w:vAlign w:val="bottom"/>
          </w:tcPr>
          <w:p w14:paraId="7D60F37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Impairment losses</w:t>
            </w:r>
          </w:p>
        </w:tc>
        <w:tc>
          <w:tcPr>
            <w:tcW w:w="567" w:type="dxa"/>
            <w:tcBorders>
              <w:top w:val="nil"/>
              <w:left w:val="nil"/>
              <w:bottom w:val="nil"/>
              <w:right w:val="nil"/>
            </w:tcBorders>
            <w:shd w:val="clear" w:color="auto" w:fill="FFFFFF"/>
            <w:vAlign w:val="bottom"/>
          </w:tcPr>
          <w:p w14:paraId="0B69E133"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7F10C7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1,477</w:t>
            </w:r>
          </w:p>
        </w:tc>
        <w:tc>
          <w:tcPr>
            <w:tcW w:w="964" w:type="dxa"/>
            <w:tcBorders>
              <w:top w:val="nil"/>
              <w:left w:val="nil"/>
              <w:bottom w:val="nil"/>
              <w:right w:val="nil"/>
            </w:tcBorders>
            <w:shd w:val="clear" w:color="auto" w:fill="FFFFFF"/>
            <w:vAlign w:val="bottom"/>
          </w:tcPr>
          <w:p w14:paraId="7577E7C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59580B9F" w14:textId="77777777">
        <w:tc>
          <w:tcPr>
            <w:tcW w:w="6537" w:type="dxa"/>
            <w:tcBorders>
              <w:top w:val="nil"/>
              <w:left w:val="nil"/>
              <w:bottom w:val="nil"/>
              <w:right w:val="nil"/>
            </w:tcBorders>
            <w:shd w:val="clear" w:color="auto" w:fill="FFFFFF"/>
            <w:vAlign w:val="bottom"/>
          </w:tcPr>
          <w:p w14:paraId="6A22B59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i/>
                <w:iCs/>
                <w:sz w:val="18"/>
                <w:szCs w:val="18"/>
              </w:rPr>
              <w:t>Changes in assets and liabilities</w:t>
            </w:r>
          </w:p>
        </w:tc>
        <w:tc>
          <w:tcPr>
            <w:tcW w:w="567" w:type="dxa"/>
            <w:tcBorders>
              <w:top w:val="nil"/>
              <w:left w:val="nil"/>
              <w:bottom w:val="nil"/>
              <w:right w:val="nil"/>
            </w:tcBorders>
            <w:shd w:val="clear" w:color="auto" w:fill="FFFFFF"/>
            <w:vAlign w:val="bottom"/>
          </w:tcPr>
          <w:p w14:paraId="509CD352"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B63C17D"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D02A3F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08AF1313" w14:textId="77777777">
        <w:tc>
          <w:tcPr>
            <w:tcW w:w="6537" w:type="dxa"/>
            <w:tcBorders>
              <w:top w:val="nil"/>
              <w:left w:val="nil"/>
              <w:bottom w:val="nil"/>
              <w:right w:val="nil"/>
            </w:tcBorders>
            <w:shd w:val="clear" w:color="auto" w:fill="FFFFFF"/>
            <w:vAlign w:val="bottom"/>
          </w:tcPr>
          <w:p w14:paraId="21C2C00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(Increase) decrease in GST input tax credits receivable</w:t>
            </w:r>
          </w:p>
        </w:tc>
        <w:tc>
          <w:tcPr>
            <w:tcW w:w="567" w:type="dxa"/>
            <w:tcBorders>
              <w:top w:val="nil"/>
              <w:left w:val="nil"/>
              <w:bottom w:val="nil"/>
              <w:right w:val="nil"/>
            </w:tcBorders>
            <w:shd w:val="clear" w:color="auto" w:fill="FFFFFF"/>
            <w:vAlign w:val="bottom"/>
          </w:tcPr>
          <w:p w14:paraId="474CE01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B3EE57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(148)</w:t>
            </w:r>
          </w:p>
        </w:tc>
        <w:tc>
          <w:tcPr>
            <w:tcW w:w="964" w:type="dxa"/>
            <w:tcBorders>
              <w:top w:val="nil"/>
              <w:left w:val="nil"/>
              <w:bottom w:val="nil"/>
              <w:right w:val="nil"/>
            </w:tcBorders>
            <w:shd w:val="clear" w:color="auto" w:fill="FFFFFF"/>
            <w:vAlign w:val="bottom"/>
          </w:tcPr>
          <w:p w14:paraId="66F60F1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1,415</w:t>
            </w:r>
          </w:p>
        </w:tc>
      </w:tr>
      <w:tr w:rsidR="002E375F" w14:paraId="788C2DE8" w14:textId="77777777">
        <w:tc>
          <w:tcPr>
            <w:tcW w:w="6537" w:type="dxa"/>
            <w:tcBorders>
              <w:top w:val="nil"/>
              <w:left w:val="nil"/>
              <w:bottom w:val="nil"/>
              <w:right w:val="nil"/>
            </w:tcBorders>
            <w:shd w:val="clear" w:color="auto" w:fill="FFFFFF"/>
            <w:vAlign w:val="bottom"/>
          </w:tcPr>
          <w:p w14:paraId="3F7B683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(Increase) decrease in trade receivables</w:t>
            </w:r>
          </w:p>
        </w:tc>
        <w:tc>
          <w:tcPr>
            <w:tcW w:w="567" w:type="dxa"/>
            <w:tcBorders>
              <w:top w:val="nil"/>
              <w:left w:val="nil"/>
              <w:bottom w:val="nil"/>
              <w:right w:val="nil"/>
            </w:tcBorders>
            <w:shd w:val="clear" w:color="auto" w:fill="FFFFFF"/>
            <w:vAlign w:val="bottom"/>
          </w:tcPr>
          <w:p w14:paraId="7C59D52D"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D541F5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11,293</w:t>
            </w:r>
          </w:p>
        </w:tc>
        <w:tc>
          <w:tcPr>
            <w:tcW w:w="964" w:type="dxa"/>
            <w:tcBorders>
              <w:top w:val="nil"/>
              <w:left w:val="nil"/>
              <w:bottom w:val="nil"/>
              <w:right w:val="nil"/>
            </w:tcBorders>
            <w:shd w:val="clear" w:color="auto" w:fill="FFFFFF"/>
            <w:vAlign w:val="bottom"/>
          </w:tcPr>
          <w:p w14:paraId="3F42964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(5,110)</w:t>
            </w:r>
          </w:p>
        </w:tc>
      </w:tr>
      <w:tr w:rsidR="002E375F" w14:paraId="35309068" w14:textId="77777777">
        <w:tc>
          <w:tcPr>
            <w:tcW w:w="6537" w:type="dxa"/>
            <w:tcBorders>
              <w:top w:val="nil"/>
              <w:left w:val="nil"/>
              <w:bottom w:val="nil"/>
              <w:right w:val="nil"/>
            </w:tcBorders>
            <w:shd w:val="clear" w:color="auto" w:fill="FFFFFF"/>
            <w:vAlign w:val="bottom"/>
          </w:tcPr>
          <w:p w14:paraId="34CA10B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(Increase) decrease in other current receivables</w:t>
            </w:r>
          </w:p>
        </w:tc>
        <w:tc>
          <w:tcPr>
            <w:tcW w:w="567" w:type="dxa"/>
            <w:tcBorders>
              <w:top w:val="nil"/>
              <w:left w:val="nil"/>
              <w:bottom w:val="nil"/>
              <w:right w:val="nil"/>
            </w:tcBorders>
            <w:shd w:val="clear" w:color="auto" w:fill="FFFFFF"/>
            <w:vAlign w:val="bottom"/>
          </w:tcPr>
          <w:p w14:paraId="46F145C7"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10ECDB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6,389</w:t>
            </w:r>
          </w:p>
        </w:tc>
        <w:tc>
          <w:tcPr>
            <w:tcW w:w="964" w:type="dxa"/>
            <w:tcBorders>
              <w:top w:val="nil"/>
              <w:left w:val="nil"/>
              <w:bottom w:val="nil"/>
              <w:right w:val="nil"/>
            </w:tcBorders>
            <w:shd w:val="clear" w:color="auto" w:fill="FFFFFF"/>
            <w:vAlign w:val="bottom"/>
          </w:tcPr>
          <w:p w14:paraId="1FF5D67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(5,923)</w:t>
            </w:r>
          </w:p>
        </w:tc>
      </w:tr>
      <w:tr w:rsidR="002E375F" w14:paraId="3C0B7734" w14:textId="77777777">
        <w:tc>
          <w:tcPr>
            <w:tcW w:w="6537" w:type="dxa"/>
            <w:tcBorders>
              <w:top w:val="nil"/>
              <w:left w:val="nil"/>
              <w:bottom w:val="nil"/>
              <w:right w:val="nil"/>
            </w:tcBorders>
            <w:shd w:val="clear" w:color="auto" w:fill="FFFFFF"/>
            <w:vAlign w:val="bottom"/>
          </w:tcPr>
          <w:p w14:paraId="2320BA1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(Increase) decrease in other assets</w:t>
            </w:r>
          </w:p>
        </w:tc>
        <w:tc>
          <w:tcPr>
            <w:tcW w:w="567" w:type="dxa"/>
            <w:tcBorders>
              <w:top w:val="nil"/>
              <w:left w:val="nil"/>
              <w:bottom w:val="nil"/>
              <w:right w:val="nil"/>
            </w:tcBorders>
            <w:shd w:val="clear" w:color="auto" w:fill="FFFFFF"/>
            <w:vAlign w:val="bottom"/>
          </w:tcPr>
          <w:p w14:paraId="398F520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A49C7C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(2,364)</w:t>
            </w:r>
          </w:p>
        </w:tc>
        <w:tc>
          <w:tcPr>
            <w:tcW w:w="964" w:type="dxa"/>
            <w:tcBorders>
              <w:top w:val="nil"/>
              <w:left w:val="nil"/>
              <w:bottom w:val="nil"/>
              <w:right w:val="nil"/>
            </w:tcBorders>
            <w:shd w:val="clear" w:color="auto" w:fill="FFFFFF"/>
            <w:vAlign w:val="bottom"/>
          </w:tcPr>
          <w:p w14:paraId="0B8302B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w:t>
            </w:r>
          </w:p>
        </w:tc>
      </w:tr>
      <w:tr w:rsidR="002E375F" w14:paraId="436E3222" w14:textId="77777777">
        <w:tc>
          <w:tcPr>
            <w:tcW w:w="6537" w:type="dxa"/>
            <w:tcBorders>
              <w:top w:val="nil"/>
              <w:left w:val="nil"/>
              <w:bottom w:val="nil"/>
              <w:right w:val="nil"/>
            </w:tcBorders>
            <w:shd w:val="clear" w:color="auto" w:fill="FFFFFF"/>
            <w:vAlign w:val="bottom"/>
          </w:tcPr>
          <w:p w14:paraId="1EE8C82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(Increase) decrease in non-current receivables</w:t>
            </w:r>
          </w:p>
        </w:tc>
        <w:tc>
          <w:tcPr>
            <w:tcW w:w="567" w:type="dxa"/>
            <w:tcBorders>
              <w:top w:val="nil"/>
              <w:left w:val="nil"/>
              <w:bottom w:val="nil"/>
              <w:right w:val="nil"/>
            </w:tcBorders>
            <w:shd w:val="clear" w:color="auto" w:fill="FFFFFF"/>
            <w:vAlign w:val="bottom"/>
          </w:tcPr>
          <w:p w14:paraId="63526357"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AB9FA2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4,202</w:t>
            </w:r>
          </w:p>
        </w:tc>
        <w:tc>
          <w:tcPr>
            <w:tcW w:w="964" w:type="dxa"/>
            <w:tcBorders>
              <w:top w:val="nil"/>
              <w:left w:val="nil"/>
              <w:bottom w:val="nil"/>
              <w:right w:val="nil"/>
            </w:tcBorders>
            <w:shd w:val="clear" w:color="auto" w:fill="FFFFFF"/>
            <w:vAlign w:val="bottom"/>
          </w:tcPr>
          <w:p w14:paraId="7BBE026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(352)</w:t>
            </w:r>
          </w:p>
        </w:tc>
      </w:tr>
      <w:tr w:rsidR="002E375F" w14:paraId="540BD503" w14:textId="77777777">
        <w:tc>
          <w:tcPr>
            <w:tcW w:w="6537" w:type="dxa"/>
            <w:tcBorders>
              <w:top w:val="nil"/>
              <w:left w:val="nil"/>
              <w:bottom w:val="nil"/>
              <w:right w:val="nil"/>
            </w:tcBorders>
            <w:shd w:val="clear" w:color="auto" w:fill="FFFFFF"/>
            <w:vAlign w:val="bottom"/>
          </w:tcPr>
          <w:p w14:paraId="7586159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(Increase) decrease in right-of-use assets</w:t>
            </w:r>
          </w:p>
        </w:tc>
        <w:tc>
          <w:tcPr>
            <w:tcW w:w="567" w:type="dxa"/>
            <w:tcBorders>
              <w:top w:val="nil"/>
              <w:left w:val="nil"/>
              <w:bottom w:val="nil"/>
              <w:right w:val="nil"/>
            </w:tcBorders>
            <w:shd w:val="clear" w:color="auto" w:fill="FFFFFF"/>
            <w:vAlign w:val="bottom"/>
          </w:tcPr>
          <w:p w14:paraId="33F760DB"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44B761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(51)</w:t>
            </w:r>
          </w:p>
        </w:tc>
        <w:tc>
          <w:tcPr>
            <w:tcW w:w="964" w:type="dxa"/>
            <w:tcBorders>
              <w:top w:val="nil"/>
              <w:left w:val="nil"/>
              <w:bottom w:val="nil"/>
              <w:right w:val="nil"/>
            </w:tcBorders>
            <w:shd w:val="clear" w:color="auto" w:fill="FFFFFF"/>
            <w:vAlign w:val="bottom"/>
          </w:tcPr>
          <w:p w14:paraId="4DFF3E7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37C3409D" w14:textId="77777777">
        <w:tc>
          <w:tcPr>
            <w:tcW w:w="6537" w:type="dxa"/>
            <w:tcBorders>
              <w:top w:val="nil"/>
              <w:left w:val="nil"/>
              <w:bottom w:val="nil"/>
              <w:right w:val="nil"/>
            </w:tcBorders>
            <w:shd w:val="clear" w:color="auto" w:fill="FFFFFF"/>
            <w:vAlign w:val="bottom"/>
          </w:tcPr>
          <w:p w14:paraId="64F7AB0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Increase (decrease) in payables</w:t>
            </w:r>
          </w:p>
        </w:tc>
        <w:tc>
          <w:tcPr>
            <w:tcW w:w="567" w:type="dxa"/>
            <w:tcBorders>
              <w:top w:val="nil"/>
              <w:left w:val="nil"/>
              <w:bottom w:val="nil"/>
              <w:right w:val="nil"/>
            </w:tcBorders>
            <w:shd w:val="clear" w:color="auto" w:fill="FFFFFF"/>
            <w:vAlign w:val="bottom"/>
          </w:tcPr>
          <w:p w14:paraId="0C683A2E"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58CB10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(2,998)</w:t>
            </w:r>
          </w:p>
        </w:tc>
        <w:tc>
          <w:tcPr>
            <w:tcW w:w="964" w:type="dxa"/>
            <w:tcBorders>
              <w:top w:val="nil"/>
              <w:left w:val="nil"/>
              <w:bottom w:val="nil"/>
              <w:right w:val="nil"/>
            </w:tcBorders>
            <w:shd w:val="clear" w:color="auto" w:fill="FFFFFF"/>
            <w:vAlign w:val="bottom"/>
          </w:tcPr>
          <w:p w14:paraId="516F595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(13,990)</w:t>
            </w:r>
          </w:p>
        </w:tc>
      </w:tr>
      <w:tr w:rsidR="002E375F" w14:paraId="7D916B58" w14:textId="77777777">
        <w:tc>
          <w:tcPr>
            <w:tcW w:w="6537" w:type="dxa"/>
            <w:tcBorders>
              <w:top w:val="nil"/>
              <w:left w:val="nil"/>
              <w:bottom w:val="nil"/>
              <w:right w:val="nil"/>
            </w:tcBorders>
            <w:shd w:val="clear" w:color="auto" w:fill="FFFFFF"/>
            <w:vAlign w:val="bottom"/>
          </w:tcPr>
          <w:p w14:paraId="589290F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Increase (decrease) in accrued employee benefits</w:t>
            </w:r>
          </w:p>
        </w:tc>
        <w:tc>
          <w:tcPr>
            <w:tcW w:w="567" w:type="dxa"/>
            <w:tcBorders>
              <w:top w:val="nil"/>
              <w:left w:val="nil"/>
              <w:bottom w:val="nil"/>
              <w:right w:val="nil"/>
            </w:tcBorders>
            <w:shd w:val="clear" w:color="auto" w:fill="FFFFFF"/>
            <w:vAlign w:val="bottom"/>
          </w:tcPr>
          <w:p w14:paraId="09D11E7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68A8BE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(16,078)</w:t>
            </w:r>
          </w:p>
        </w:tc>
        <w:tc>
          <w:tcPr>
            <w:tcW w:w="964" w:type="dxa"/>
            <w:tcBorders>
              <w:top w:val="nil"/>
              <w:left w:val="nil"/>
              <w:bottom w:val="nil"/>
              <w:right w:val="nil"/>
            </w:tcBorders>
            <w:shd w:val="clear" w:color="auto" w:fill="FFFFFF"/>
            <w:vAlign w:val="bottom"/>
          </w:tcPr>
          <w:p w14:paraId="7C26F4F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14,134</w:t>
            </w:r>
          </w:p>
        </w:tc>
      </w:tr>
      <w:tr w:rsidR="002E375F" w14:paraId="46C3B4E9" w14:textId="77777777">
        <w:tc>
          <w:tcPr>
            <w:tcW w:w="6537" w:type="dxa"/>
            <w:tcBorders>
              <w:top w:val="nil"/>
              <w:left w:val="nil"/>
              <w:bottom w:val="nil"/>
              <w:right w:val="nil"/>
            </w:tcBorders>
            <w:shd w:val="clear" w:color="auto" w:fill="FFFFFF"/>
            <w:vAlign w:val="bottom"/>
          </w:tcPr>
          <w:p w14:paraId="4ECFFC4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Increase (decrease) in provisions</w:t>
            </w:r>
          </w:p>
        </w:tc>
        <w:tc>
          <w:tcPr>
            <w:tcW w:w="567" w:type="dxa"/>
            <w:tcBorders>
              <w:top w:val="nil"/>
              <w:left w:val="nil"/>
              <w:bottom w:val="nil"/>
              <w:right w:val="nil"/>
            </w:tcBorders>
            <w:shd w:val="clear" w:color="auto" w:fill="FFFFFF"/>
            <w:vAlign w:val="bottom"/>
          </w:tcPr>
          <w:p w14:paraId="1C0E7D53"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2EA95D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(1,644)</w:t>
            </w:r>
          </w:p>
        </w:tc>
        <w:tc>
          <w:tcPr>
            <w:tcW w:w="964" w:type="dxa"/>
            <w:tcBorders>
              <w:top w:val="nil"/>
              <w:left w:val="nil"/>
              <w:bottom w:val="nil"/>
              <w:right w:val="nil"/>
            </w:tcBorders>
            <w:shd w:val="clear" w:color="auto" w:fill="FFFFFF"/>
            <w:vAlign w:val="bottom"/>
          </w:tcPr>
          <w:p w14:paraId="2C835E4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3,262</w:t>
            </w:r>
          </w:p>
        </w:tc>
      </w:tr>
      <w:tr w:rsidR="002E375F" w14:paraId="1B01BE10" w14:textId="77777777">
        <w:tc>
          <w:tcPr>
            <w:tcW w:w="6537" w:type="dxa"/>
            <w:tcBorders>
              <w:top w:val="nil"/>
              <w:left w:val="nil"/>
              <w:bottom w:val="nil"/>
              <w:right w:val="nil"/>
            </w:tcBorders>
            <w:shd w:val="clear" w:color="auto" w:fill="FFFFFF"/>
            <w:vAlign w:val="bottom"/>
          </w:tcPr>
          <w:p w14:paraId="5D002B8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Increase (decrease) in other liabilities</w:t>
            </w:r>
          </w:p>
        </w:tc>
        <w:tc>
          <w:tcPr>
            <w:tcW w:w="567" w:type="dxa"/>
            <w:tcBorders>
              <w:top w:val="nil"/>
              <w:left w:val="nil"/>
              <w:bottom w:val="nil"/>
              <w:right w:val="nil"/>
            </w:tcBorders>
            <w:shd w:val="clear" w:color="auto" w:fill="FFFFFF"/>
            <w:vAlign w:val="bottom"/>
          </w:tcPr>
          <w:p w14:paraId="6A93C96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2A2D7C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(13,009)</w:t>
            </w:r>
          </w:p>
        </w:tc>
        <w:tc>
          <w:tcPr>
            <w:tcW w:w="964" w:type="dxa"/>
            <w:tcBorders>
              <w:top w:val="nil"/>
              <w:left w:val="nil"/>
              <w:bottom w:val="nil"/>
              <w:right w:val="nil"/>
            </w:tcBorders>
            <w:shd w:val="clear" w:color="auto" w:fill="FFFFFF"/>
            <w:vAlign w:val="bottom"/>
          </w:tcPr>
          <w:p w14:paraId="7C3BBE5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12,512</w:t>
            </w:r>
          </w:p>
        </w:tc>
      </w:tr>
      <w:tr w:rsidR="002E375F" w14:paraId="23C65896" w14:textId="77777777">
        <w:tc>
          <w:tcPr>
            <w:tcW w:w="6537" w:type="dxa"/>
            <w:tcBorders>
              <w:top w:val="nil"/>
              <w:left w:val="nil"/>
              <w:bottom w:val="nil"/>
              <w:right w:val="nil"/>
            </w:tcBorders>
            <w:shd w:val="clear" w:color="auto" w:fill="FFFFFF"/>
            <w:vAlign w:val="bottom"/>
          </w:tcPr>
          <w:p w14:paraId="2CE536F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Increase (decrease) in lease liabilities</w:t>
            </w:r>
          </w:p>
        </w:tc>
        <w:tc>
          <w:tcPr>
            <w:tcW w:w="567" w:type="dxa"/>
            <w:tcBorders>
              <w:top w:val="nil"/>
              <w:left w:val="nil"/>
              <w:bottom w:val="nil"/>
              <w:right w:val="nil"/>
            </w:tcBorders>
            <w:shd w:val="clear" w:color="auto" w:fill="FFFFFF"/>
            <w:vAlign w:val="bottom"/>
          </w:tcPr>
          <w:p w14:paraId="707A82A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26F4756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51</w:t>
            </w:r>
          </w:p>
        </w:tc>
        <w:tc>
          <w:tcPr>
            <w:tcW w:w="964" w:type="dxa"/>
            <w:tcBorders>
              <w:top w:val="nil"/>
              <w:left w:val="nil"/>
              <w:bottom w:val="single" w:sz="2" w:space="0" w:color="auto"/>
              <w:right w:val="nil"/>
            </w:tcBorders>
            <w:shd w:val="clear" w:color="auto" w:fill="FFFFFF"/>
            <w:vAlign w:val="bottom"/>
          </w:tcPr>
          <w:p w14:paraId="0B49A83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2CA5B232" w14:textId="77777777">
        <w:tc>
          <w:tcPr>
            <w:tcW w:w="6537" w:type="dxa"/>
            <w:tcBorders>
              <w:top w:val="nil"/>
              <w:left w:val="nil"/>
              <w:bottom w:val="nil"/>
              <w:right w:val="nil"/>
            </w:tcBorders>
            <w:shd w:val="clear" w:color="auto" w:fill="FFFFFF"/>
            <w:vAlign w:val="bottom"/>
          </w:tcPr>
          <w:p w14:paraId="0B4144D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Net Cash (Used in) Provided by Operating Activities</w:t>
            </w:r>
          </w:p>
        </w:tc>
        <w:tc>
          <w:tcPr>
            <w:tcW w:w="567" w:type="dxa"/>
            <w:tcBorders>
              <w:top w:val="nil"/>
              <w:left w:val="nil"/>
              <w:bottom w:val="nil"/>
              <w:right w:val="nil"/>
            </w:tcBorders>
            <w:shd w:val="clear" w:color="auto" w:fill="FFFFFF"/>
            <w:vAlign w:val="bottom"/>
          </w:tcPr>
          <w:p w14:paraId="61FAB77B"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6A5DDF8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(4,628)</w:t>
            </w:r>
          </w:p>
        </w:tc>
        <w:tc>
          <w:tcPr>
            <w:tcW w:w="964" w:type="dxa"/>
            <w:tcBorders>
              <w:top w:val="nil"/>
              <w:left w:val="nil"/>
              <w:bottom w:val="single" w:sz="2" w:space="0" w:color="auto"/>
              <w:right w:val="nil"/>
            </w:tcBorders>
            <w:shd w:val="clear" w:color="auto" w:fill="FFFFFF"/>
            <w:vAlign w:val="bottom"/>
          </w:tcPr>
          <w:p w14:paraId="2E55CCF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20,024</w:t>
            </w:r>
          </w:p>
        </w:tc>
      </w:tr>
    </w:tbl>
    <w:p w14:paraId="6BB1E90D"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23467D1A" w14:textId="77777777" w:rsidR="002E375F" w:rsidRDefault="00EB2569" w:rsidP="00F45CE1">
      <w:pPr>
        <w:pStyle w:val="Heading2"/>
        <w:spacing w:before="0"/>
        <w:rPr>
          <w:rFonts w:ascii="Times New Roman" w:hAnsi="Times New Roman" w:cs="Times New Roman"/>
          <w:sz w:val="24"/>
          <w:szCs w:val="24"/>
        </w:rPr>
      </w:pPr>
      <w:r>
        <w:lastRenderedPageBreak/>
        <w:t>Department of Communities, Disability Services and Seniors</w:t>
      </w:r>
    </w:p>
    <w:p w14:paraId="623A1F24" w14:textId="77777777" w:rsidR="002E375F" w:rsidRDefault="00EB2569" w:rsidP="00F45CE1">
      <w:pPr>
        <w:pStyle w:val="Heading2"/>
        <w:spacing w:before="0"/>
        <w:rPr>
          <w:rFonts w:ascii="Times New Roman" w:hAnsi="Times New Roman" w:cs="Times New Roman"/>
          <w:sz w:val="24"/>
          <w:szCs w:val="24"/>
        </w:rPr>
      </w:pPr>
      <w:r>
        <w:t>Income Statement - Administered</w:t>
      </w:r>
    </w:p>
    <w:p w14:paraId="6AC999F8" w14:textId="77777777" w:rsidR="002E375F" w:rsidRDefault="00EB2569" w:rsidP="00F45CE1">
      <w:pPr>
        <w:pStyle w:val="Heading2"/>
        <w:spacing w:before="0"/>
        <w:rPr>
          <w:rFonts w:ascii="Times New Roman" w:hAnsi="Times New Roman" w:cs="Times New Roman"/>
          <w:sz w:val="24"/>
          <w:szCs w:val="24"/>
        </w:rPr>
      </w:pPr>
      <w:r>
        <w:t>for the year ended 30 June 2020</w:t>
      </w:r>
    </w:p>
    <w:p w14:paraId="53249C87" w14:textId="77777777" w:rsidR="002E375F" w:rsidRDefault="002E375F">
      <w:pPr>
        <w:autoSpaceDE w:val="0"/>
        <w:autoSpaceDN w:val="0"/>
        <w:adjustRightInd w:val="0"/>
        <w:spacing w:after="0" w:line="240" w:lineRule="auto"/>
        <w:rPr>
          <w:rFonts w:ascii="Times New Roman" w:hAnsi="Times New Roman" w:cs="Times New Roman"/>
          <w:sz w:val="24"/>
          <w:szCs w:val="24"/>
        </w:rPr>
      </w:pPr>
    </w:p>
    <w:tbl>
      <w:tblPr>
        <w:tblW w:w="9033" w:type="dxa"/>
        <w:tblLayout w:type="fixed"/>
        <w:tblCellMar>
          <w:left w:w="0" w:type="dxa"/>
          <w:right w:w="0" w:type="dxa"/>
        </w:tblCellMar>
        <w:tblLook w:val="0000" w:firstRow="0" w:lastRow="0" w:firstColumn="0" w:lastColumn="0" w:noHBand="0" w:noVBand="0"/>
      </w:tblPr>
      <w:tblGrid>
        <w:gridCol w:w="340"/>
        <w:gridCol w:w="4269"/>
        <w:gridCol w:w="567"/>
        <w:gridCol w:w="964"/>
        <w:gridCol w:w="964"/>
        <w:gridCol w:w="964"/>
        <w:gridCol w:w="965"/>
      </w:tblGrid>
      <w:tr w:rsidR="002E375F" w14:paraId="43AA866C" w14:textId="77777777" w:rsidTr="00B55A2A">
        <w:tc>
          <w:tcPr>
            <w:tcW w:w="4609" w:type="dxa"/>
            <w:gridSpan w:val="2"/>
            <w:tcBorders>
              <w:top w:val="nil"/>
              <w:left w:val="nil"/>
              <w:bottom w:val="nil"/>
              <w:right w:val="nil"/>
            </w:tcBorders>
            <w:shd w:val="clear" w:color="auto" w:fill="FFFFFF"/>
            <w:vAlign w:val="bottom"/>
          </w:tcPr>
          <w:p w14:paraId="3E95D45D" w14:textId="77777777" w:rsidR="002E375F" w:rsidRDefault="002E375F" w:rsidP="001C442D">
            <w:pPr>
              <w:pStyle w:val="Heading2"/>
            </w:pPr>
          </w:p>
        </w:tc>
        <w:tc>
          <w:tcPr>
            <w:tcW w:w="567" w:type="dxa"/>
            <w:tcBorders>
              <w:top w:val="nil"/>
              <w:left w:val="nil"/>
              <w:bottom w:val="nil"/>
              <w:right w:val="nil"/>
            </w:tcBorders>
            <w:shd w:val="clear" w:color="auto" w:fill="FFFFFF"/>
            <w:vAlign w:val="bottom"/>
          </w:tcPr>
          <w:p w14:paraId="1500CE27" w14:textId="77777777" w:rsidR="002E375F" w:rsidRDefault="00EB2569" w:rsidP="001C442D">
            <w:pPr>
              <w:pStyle w:val="Heading2"/>
            </w:pPr>
            <w:r>
              <w:rPr>
                <w:rFonts w:ascii="Arial" w:hAnsi="Arial" w:cs="Arial"/>
                <w:b/>
                <w:bCs/>
                <w:sz w:val="18"/>
                <w:szCs w:val="18"/>
              </w:rPr>
              <w:t>Note</w:t>
            </w:r>
          </w:p>
        </w:tc>
        <w:tc>
          <w:tcPr>
            <w:tcW w:w="964" w:type="dxa"/>
            <w:tcBorders>
              <w:top w:val="nil"/>
              <w:left w:val="nil"/>
              <w:bottom w:val="nil"/>
              <w:right w:val="nil"/>
            </w:tcBorders>
            <w:shd w:val="clear" w:color="auto" w:fill="FFFFFF"/>
            <w:vAlign w:val="bottom"/>
          </w:tcPr>
          <w:p w14:paraId="5AF163E4" w14:textId="77777777" w:rsidR="002E375F" w:rsidRDefault="00EB2569" w:rsidP="00862FE1">
            <w:pPr>
              <w:pStyle w:val="Heading2"/>
              <w:jc w:val="right"/>
            </w:pPr>
            <w:r>
              <w:rPr>
                <w:rFonts w:ascii="Arial" w:hAnsi="Arial" w:cs="Arial"/>
                <w:b/>
                <w:bCs/>
                <w:sz w:val="18"/>
                <w:szCs w:val="18"/>
              </w:rPr>
              <w:t>Actual</w:t>
            </w:r>
            <w:r>
              <w:rPr>
                <w:rFonts w:ascii="Arial" w:hAnsi="Arial" w:cs="Arial"/>
                <w:b/>
                <w:bCs/>
                <w:sz w:val="18"/>
                <w:szCs w:val="18"/>
              </w:rPr>
              <w:b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799204BB" w14:textId="77777777" w:rsidR="002E375F" w:rsidRDefault="00EB2569" w:rsidP="00862FE1">
            <w:pPr>
              <w:pStyle w:val="Heading2"/>
              <w:jc w:val="right"/>
            </w:pPr>
            <w:r>
              <w:rPr>
                <w:rFonts w:ascii="Arial" w:hAnsi="Arial" w:cs="Arial"/>
                <w:b/>
                <w:bCs/>
                <w:sz w:val="18"/>
                <w:szCs w:val="18"/>
              </w:rPr>
              <w:t>Original Budget^</w:t>
            </w:r>
            <w:r>
              <w:rPr>
                <w:rFonts w:ascii="Arial" w:hAnsi="Arial" w:cs="Arial"/>
                <w:sz w:val="18"/>
                <w:szCs w:val="18"/>
              </w:rPr>
              <w:br/>
              <w:t>2020</w:t>
            </w:r>
            <w:r>
              <w:rPr>
                <w:rFonts w:ascii="Arial" w:hAnsi="Arial" w:cs="Arial"/>
                <w:sz w:val="18"/>
                <w:szCs w:val="18"/>
              </w:rPr>
              <w:br/>
              <w:t>$'000</w:t>
            </w:r>
          </w:p>
        </w:tc>
        <w:tc>
          <w:tcPr>
            <w:tcW w:w="964" w:type="dxa"/>
            <w:tcBorders>
              <w:top w:val="nil"/>
              <w:left w:val="nil"/>
              <w:bottom w:val="nil"/>
              <w:right w:val="nil"/>
            </w:tcBorders>
            <w:shd w:val="clear" w:color="auto" w:fill="FFFFFF"/>
            <w:vAlign w:val="bottom"/>
          </w:tcPr>
          <w:p w14:paraId="71CC7124" w14:textId="77777777" w:rsidR="002E375F" w:rsidRDefault="00EB2569" w:rsidP="00862FE1">
            <w:pPr>
              <w:pStyle w:val="Heading2"/>
              <w:jc w:val="right"/>
            </w:pPr>
            <w:r>
              <w:rPr>
                <w:rFonts w:ascii="Arial" w:hAnsi="Arial" w:cs="Arial"/>
                <w:b/>
                <w:bCs/>
                <w:sz w:val="18"/>
                <w:szCs w:val="18"/>
              </w:rPr>
              <w:t>Budget Variance*</w:t>
            </w:r>
            <w:r>
              <w:rPr>
                <w:rFonts w:ascii="Arial" w:hAnsi="Arial" w:cs="Arial"/>
                <w:sz w:val="18"/>
                <w:szCs w:val="18"/>
              </w:rPr>
              <w:br/>
              <w:t>2020</w:t>
            </w:r>
            <w:r>
              <w:rPr>
                <w:rFonts w:ascii="Arial" w:hAnsi="Arial" w:cs="Arial"/>
                <w:sz w:val="18"/>
                <w:szCs w:val="18"/>
              </w:rPr>
              <w:br/>
              <w:t>$'000</w:t>
            </w:r>
          </w:p>
        </w:tc>
        <w:tc>
          <w:tcPr>
            <w:tcW w:w="965" w:type="dxa"/>
            <w:tcBorders>
              <w:top w:val="nil"/>
              <w:left w:val="nil"/>
              <w:bottom w:val="nil"/>
              <w:right w:val="nil"/>
            </w:tcBorders>
            <w:shd w:val="clear" w:color="auto" w:fill="FFFFFF"/>
            <w:vAlign w:val="bottom"/>
          </w:tcPr>
          <w:p w14:paraId="4B1D71FB" w14:textId="77777777" w:rsidR="002E375F" w:rsidRDefault="00EB2569" w:rsidP="00862FE1">
            <w:pPr>
              <w:pStyle w:val="Heading2"/>
              <w:jc w:val="right"/>
            </w:pPr>
            <w:r>
              <w:rPr>
                <w:rFonts w:ascii="Arial" w:hAnsi="Arial" w:cs="Arial"/>
                <w:b/>
                <w:bCs/>
                <w:sz w:val="18"/>
                <w:szCs w:val="18"/>
              </w:rPr>
              <w:t>Actual</w:t>
            </w:r>
            <w:r>
              <w:rPr>
                <w:rFonts w:ascii="Arial" w:hAnsi="Arial" w:cs="Arial"/>
                <w:sz w:val="18"/>
                <w:szCs w:val="18"/>
              </w:rPr>
              <w:br/>
              <w:t>2019</w:t>
            </w:r>
            <w:r>
              <w:rPr>
                <w:rFonts w:ascii="Arial" w:hAnsi="Arial" w:cs="Arial"/>
                <w:sz w:val="18"/>
                <w:szCs w:val="18"/>
              </w:rPr>
              <w:br/>
              <w:t>$'000</w:t>
            </w:r>
          </w:p>
        </w:tc>
      </w:tr>
      <w:tr w:rsidR="002E375F" w14:paraId="674150F4" w14:textId="77777777" w:rsidTr="00B55A2A">
        <w:tc>
          <w:tcPr>
            <w:tcW w:w="4609" w:type="dxa"/>
            <w:gridSpan w:val="2"/>
            <w:tcBorders>
              <w:top w:val="nil"/>
              <w:left w:val="nil"/>
              <w:bottom w:val="nil"/>
              <w:right w:val="nil"/>
            </w:tcBorders>
            <w:shd w:val="clear" w:color="auto" w:fill="FFFFFF"/>
            <w:vAlign w:val="bottom"/>
          </w:tcPr>
          <w:p w14:paraId="7FF3A7B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Income from Continuing Operations</w:t>
            </w:r>
          </w:p>
        </w:tc>
        <w:tc>
          <w:tcPr>
            <w:tcW w:w="567" w:type="dxa"/>
            <w:tcBorders>
              <w:top w:val="nil"/>
              <w:left w:val="nil"/>
              <w:bottom w:val="nil"/>
              <w:right w:val="nil"/>
            </w:tcBorders>
            <w:shd w:val="clear" w:color="auto" w:fill="FFFFFF"/>
            <w:vAlign w:val="bottom"/>
          </w:tcPr>
          <w:p w14:paraId="4175E01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2228647"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1864D4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84F5D7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5" w:type="dxa"/>
            <w:tcBorders>
              <w:top w:val="nil"/>
              <w:left w:val="nil"/>
              <w:bottom w:val="nil"/>
              <w:right w:val="nil"/>
            </w:tcBorders>
            <w:shd w:val="clear" w:color="auto" w:fill="FFFFFF"/>
            <w:vAlign w:val="bottom"/>
          </w:tcPr>
          <w:p w14:paraId="17C121FB"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45746BE3" w14:textId="77777777" w:rsidTr="00B55A2A">
        <w:tc>
          <w:tcPr>
            <w:tcW w:w="4609" w:type="dxa"/>
            <w:gridSpan w:val="2"/>
            <w:tcBorders>
              <w:top w:val="nil"/>
              <w:left w:val="nil"/>
              <w:bottom w:val="nil"/>
              <w:right w:val="nil"/>
            </w:tcBorders>
            <w:shd w:val="clear" w:color="auto" w:fill="FFFFFF"/>
            <w:vAlign w:val="bottom"/>
          </w:tcPr>
          <w:p w14:paraId="4FCB986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Administered appropriation revenue</w:t>
            </w:r>
          </w:p>
        </w:tc>
        <w:tc>
          <w:tcPr>
            <w:tcW w:w="567" w:type="dxa"/>
            <w:tcBorders>
              <w:top w:val="nil"/>
              <w:left w:val="nil"/>
              <w:bottom w:val="nil"/>
              <w:right w:val="nil"/>
            </w:tcBorders>
            <w:shd w:val="clear" w:color="auto" w:fill="FFFFFF"/>
            <w:vAlign w:val="bottom"/>
          </w:tcPr>
          <w:p w14:paraId="50A17EC1"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G1-1</w:t>
            </w:r>
          </w:p>
        </w:tc>
        <w:tc>
          <w:tcPr>
            <w:tcW w:w="964" w:type="dxa"/>
            <w:tcBorders>
              <w:top w:val="nil"/>
              <w:left w:val="nil"/>
              <w:bottom w:val="nil"/>
              <w:right w:val="nil"/>
            </w:tcBorders>
            <w:shd w:val="clear" w:color="auto" w:fill="FFFFFF"/>
            <w:vAlign w:val="bottom"/>
          </w:tcPr>
          <w:p w14:paraId="5E8890D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2,313,108</w:t>
            </w:r>
          </w:p>
        </w:tc>
        <w:tc>
          <w:tcPr>
            <w:tcW w:w="964" w:type="dxa"/>
            <w:tcBorders>
              <w:top w:val="nil"/>
              <w:left w:val="nil"/>
              <w:bottom w:val="nil"/>
              <w:right w:val="nil"/>
            </w:tcBorders>
            <w:shd w:val="clear" w:color="auto" w:fill="FFFFFF"/>
            <w:vAlign w:val="bottom"/>
          </w:tcPr>
          <w:p w14:paraId="3828B8E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1,527,222</w:t>
            </w:r>
          </w:p>
        </w:tc>
        <w:tc>
          <w:tcPr>
            <w:tcW w:w="964" w:type="dxa"/>
            <w:tcBorders>
              <w:top w:val="nil"/>
              <w:left w:val="nil"/>
              <w:bottom w:val="nil"/>
              <w:right w:val="nil"/>
            </w:tcBorders>
            <w:shd w:val="clear" w:color="auto" w:fill="FFFFFF"/>
            <w:vAlign w:val="bottom"/>
          </w:tcPr>
          <w:p w14:paraId="0D4A765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785,886</w:t>
            </w:r>
          </w:p>
        </w:tc>
        <w:tc>
          <w:tcPr>
            <w:tcW w:w="965" w:type="dxa"/>
            <w:tcBorders>
              <w:top w:val="nil"/>
              <w:left w:val="nil"/>
              <w:bottom w:val="nil"/>
              <w:right w:val="nil"/>
            </w:tcBorders>
            <w:shd w:val="clear" w:color="auto" w:fill="FFFFFF"/>
            <w:vAlign w:val="bottom"/>
          </w:tcPr>
          <w:p w14:paraId="7CAAF48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1,579,496</w:t>
            </w:r>
          </w:p>
        </w:tc>
      </w:tr>
      <w:tr w:rsidR="002E375F" w14:paraId="5EC7AF1C" w14:textId="77777777" w:rsidTr="00B55A2A">
        <w:tc>
          <w:tcPr>
            <w:tcW w:w="4609" w:type="dxa"/>
            <w:gridSpan w:val="2"/>
            <w:tcBorders>
              <w:top w:val="nil"/>
              <w:left w:val="nil"/>
              <w:bottom w:val="nil"/>
              <w:right w:val="nil"/>
            </w:tcBorders>
            <w:shd w:val="clear" w:color="auto" w:fill="FFFFFF"/>
            <w:vAlign w:val="bottom"/>
          </w:tcPr>
          <w:p w14:paraId="1E5BB2D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Grants and other contributions</w:t>
            </w:r>
          </w:p>
        </w:tc>
        <w:tc>
          <w:tcPr>
            <w:tcW w:w="567" w:type="dxa"/>
            <w:tcBorders>
              <w:top w:val="nil"/>
              <w:left w:val="nil"/>
              <w:bottom w:val="nil"/>
              <w:right w:val="nil"/>
            </w:tcBorders>
            <w:shd w:val="clear" w:color="auto" w:fill="FFFFFF"/>
            <w:vAlign w:val="bottom"/>
          </w:tcPr>
          <w:p w14:paraId="3EE7BD1D"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G1-2</w:t>
            </w:r>
          </w:p>
        </w:tc>
        <w:tc>
          <w:tcPr>
            <w:tcW w:w="964" w:type="dxa"/>
            <w:tcBorders>
              <w:top w:val="nil"/>
              <w:left w:val="nil"/>
              <w:bottom w:val="single" w:sz="2" w:space="0" w:color="auto"/>
              <w:right w:val="nil"/>
            </w:tcBorders>
            <w:shd w:val="clear" w:color="auto" w:fill="FFFFFF"/>
            <w:vAlign w:val="bottom"/>
          </w:tcPr>
          <w:p w14:paraId="5B4EDC6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71,949</w:t>
            </w:r>
          </w:p>
        </w:tc>
        <w:tc>
          <w:tcPr>
            <w:tcW w:w="964" w:type="dxa"/>
            <w:tcBorders>
              <w:top w:val="nil"/>
              <w:left w:val="nil"/>
              <w:bottom w:val="single" w:sz="2" w:space="0" w:color="auto"/>
              <w:right w:val="nil"/>
            </w:tcBorders>
            <w:shd w:val="clear" w:color="auto" w:fill="FFFFFF"/>
            <w:vAlign w:val="bottom"/>
          </w:tcPr>
          <w:p w14:paraId="7B6B01B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69,273</w:t>
            </w:r>
          </w:p>
        </w:tc>
        <w:tc>
          <w:tcPr>
            <w:tcW w:w="964" w:type="dxa"/>
            <w:tcBorders>
              <w:top w:val="nil"/>
              <w:left w:val="nil"/>
              <w:bottom w:val="single" w:sz="2" w:space="0" w:color="auto"/>
              <w:right w:val="nil"/>
            </w:tcBorders>
            <w:shd w:val="clear" w:color="auto" w:fill="FFFFFF"/>
            <w:vAlign w:val="bottom"/>
          </w:tcPr>
          <w:p w14:paraId="532E75B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2,676</w:t>
            </w:r>
          </w:p>
        </w:tc>
        <w:tc>
          <w:tcPr>
            <w:tcW w:w="965" w:type="dxa"/>
            <w:tcBorders>
              <w:top w:val="nil"/>
              <w:left w:val="nil"/>
              <w:bottom w:val="single" w:sz="2" w:space="0" w:color="auto"/>
              <w:right w:val="nil"/>
            </w:tcBorders>
            <w:shd w:val="clear" w:color="auto" w:fill="FFFFFF"/>
            <w:vAlign w:val="bottom"/>
          </w:tcPr>
          <w:p w14:paraId="3866E76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8,260</w:t>
            </w:r>
          </w:p>
        </w:tc>
      </w:tr>
      <w:tr w:rsidR="002E375F" w14:paraId="13AD8078" w14:textId="77777777" w:rsidTr="00B55A2A">
        <w:tc>
          <w:tcPr>
            <w:tcW w:w="4609" w:type="dxa"/>
            <w:gridSpan w:val="2"/>
            <w:tcBorders>
              <w:top w:val="nil"/>
              <w:left w:val="nil"/>
              <w:bottom w:val="nil"/>
              <w:right w:val="nil"/>
            </w:tcBorders>
            <w:shd w:val="clear" w:color="auto" w:fill="FFFFFF"/>
            <w:vAlign w:val="bottom"/>
          </w:tcPr>
          <w:p w14:paraId="2D959F7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Income from Continuing Operations</w:t>
            </w:r>
          </w:p>
        </w:tc>
        <w:tc>
          <w:tcPr>
            <w:tcW w:w="567" w:type="dxa"/>
            <w:tcBorders>
              <w:top w:val="nil"/>
              <w:left w:val="nil"/>
              <w:bottom w:val="nil"/>
              <w:right w:val="nil"/>
            </w:tcBorders>
            <w:shd w:val="clear" w:color="auto" w:fill="FFFFFF"/>
            <w:vAlign w:val="bottom"/>
          </w:tcPr>
          <w:p w14:paraId="601346F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5E97189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2,385,057</w:t>
            </w:r>
          </w:p>
        </w:tc>
        <w:tc>
          <w:tcPr>
            <w:tcW w:w="964" w:type="dxa"/>
            <w:tcBorders>
              <w:top w:val="nil"/>
              <w:left w:val="nil"/>
              <w:bottom w:val="single" w:sz="2" w:space="0" w:color="auto"/>
              <w:right w:val="nil"/>
            </w:tcBorders>
            <w:shd w:val="clear" w:color="auto" w:fill="FFFFFF"/>
            <w:vAlign w:val="bottom"/>
          </w:tcPr>
          <w:p w14:paraId="65968FE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1,596,495</w:t>
            </w:r>
          </w:p>
        </w:tc>
        <w:tc>
          <w:tcPr>
            <w:tcW w:w="964" w:type="dxa"/>
            <w:tcBorders>
              <w:top w:val="nil"/>
              <w:left w:val="nil"/>
              <w:bottom w:val="single" w:sz="2" w:space="0" w:color="auto"/>
              <w:right w:val="nil"/>
            </w:tcBorders>
            <w:shd w:val="clear" w:color="auto" w:fill="FFFFFF"/>
            <w:vAlign w:val="bottom"/>
          </w:tcPr>
          <w:p w14:paraId="5C1A615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788,562</w:t>
            </w:r>
          </w:p>
        </w:tc>
        <w:tc>
          <w:tcPr>
            <w:tcW w:w="965" w:type="dxa"/>
            <w:tcBorders>
              <w:top w:val="nil"/>
              <w:left w:val="nil"/>
              <w:bottom w:val="single" w:sz="2" w:space="0" w:color="auto"/>
              <w:right w:val="nil"/>
            </w:tcBorders>
            <w:shd w:val="clear" w:color="auto" w:fill="FFFFFF"/>
            <w:vAlign w:val="bottom"/>
          </w:tcPr>
          <w:p w14:paraId="7B15F03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1,587,756</w:t>
            </w:r>
          </w:p>
        </w:tc>
      </w:tr>
      <w:tr w:rsidR="002E375F" w14:paraId="153477E8" w14:textId="77777777" w:rsidTr="00B55A2A">
        <w:tc>
          <w:tcPr>
            <w:tcW w:w="4609" w:type="dxa"/>
            <w:gridSpan w:val="2"/>
            <w:tcBorders>
              <w:top w:val="nil"/>
              <w:left w:val="nil"/>
              <w:bottom w:val="nil"/>
              <w:right w:val="nil"/>
            </w:tcBorders>
            <w:shd w:val="clear" w:color="auto" w:fill="FFFFFF"/>
            <w:vAlign w:val="bottom"/>
          </w:tcPr>
          <w:p w14:paraId="0226334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Expenses from Continuing Operations</w:t>
            </w:r>
          </w:p>
        </w:tc>
        <w:tc>
          <w:tcPr>
            <w:tcW w:w="567" w:type="dxa"/>
            <w:tcBorders>
              <w:top w:val="nil"/>
              <w:left w:val="nil"/>
              <w:bottom w:val="nil"/>
              <w:right w:val="nil"/>
            </w:tcBorders>
            <w:shd w:val="clear" w:color="auto" w:fill="FFFFFF"/>
            <w:vAlign w:val="bottom"/>
          </w:tcPr>
          <w:p w14:paraId="0E898FF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E64F5E3"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239D95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0528F5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5" w:type="dxa"/>
            <w:tcBorders>
              <w:top w:val="nil"/>
              <w:left w:val="nil"/>
              <w:bottom w:val="nil"/>
              <w:right w:val="nil"/>
            </w:tcBorders>
            <w:shd w:val="clear" w:color="auto" w:fill="FFFFFF"/>
            <w:vAlign w:val="bottom"/>
          </w:tcPr>
          <w:p w14:paraId="0A525FDE"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5D9B1B56" w14:textId="77777777" w:rsidTr="00B55A2A">
        <w:tc>
          <w:tcPr>
            <w:tcW w:w="4609" w:type="dxa"/>
            <w:gridSpan w:val="2"/>
            <w:tcBorders>
              <w:top w:val="nil"/>
              <w:left w:val="nil"/>
              <w:bottom w:val="nil"/>
              <w:right w:val="nil"/>
            </w:tcBorders>
            <w:shd w:val="clear" w:color="auto" w:fill="FFFFFF"/>
            <w:vAlign w:val="bottom"/>
          </w:tcPr>
          <w:p w14:paraId="18E8B1D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Employee expenses</w:t>
            </w:r>
          </w:p>
        </w:tc>
        <w:tc>
          <w:tcPr>
            <w:tcW w:w="567" w:type="dxa"/>
            <w:tcBorders>
              <w:top w:val="nil"/>
              <w:left w:val="nil"/>
              <w:bottom w:val="nil"/>
              <w:right w:val="nil"/>
            </w:tcBorders>
            <w:shd w:val="clear" w:color="auto" w:fill="FFFFFF"/>
            <w:vAlign w:val="bottom"/>
          </w:tcPr>
          <w:p w14:paraId="31FC0FB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DF32A8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2,940</w:t>
            </w:r>
          </w:p>
        </w:tc>
        <w:tc>
          <w:tcPr>
            <w:tcW w:w="964" w:type="dxa"/>
            <w:tcBorders>
              <w:top w:val="nil"/>
              <w:left w:val="nil"/>
              <w:bottom w:val="nil"/>
              <w:right w:val="nil"/>
            </w:tcBorders>
            <w:shd w:val="clear" w:color="auto" w:fill="FFFFFF"/>
            <w:vAlign w:val="bottom"/>
          </w:tcPr>
          <w:p w14:paraId="64B286F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2FF034A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2,940</w:t>
            </w:r>
          </w:p>
        </w:tc>
        <w:tc>
          <w:tcPr>
            <w:tcW w:w="965" w:type="dxa"/>
            <w:tcBorders>
              <w:top w:val="nil"/>
              <w:left w:val="nil"/>
              <w:bottom w:val="nil"/>
              <w:right w:val="nil"/>
            </w:tcBorders>
            <w:shd w:val="clear" w:color="auto" w:fill="FFFFFF"/>
            <w:vAlign w:val="bottom"/>
          </w:tcPr>
          <w:p w14:paraId="2D20C7B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6,863</w:t>
            </w:r>
          </w:p>
        </w:tc>
      </w:tr>
      <w:tr w:rsidR="002E375F" w14:paraId="22DF03A3" w14:textId="77777777" w:rsidTr="00B55A2A">
        <w:tc>
          <w:tcPr>
            <w:tcW w:w="4609" w:type="dxa"/>
            <w:gridSpan w:val="2"/>
            <w:tcBorders>
              <w:top w:val="nil"/>
              <w:left w:val="nil"/>
              <w:bottom w:val="nil"/>
              <w:right w:val="nil"/>
            </w:tcBorders>
            <w:shd w:val="clear" w:color="auto" w:fill="FFFFFF"/>
            <w:vAlign w:val="bottom"/>
          </w:tcPr>
          <w:p w14:paraId="22749A3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Supplies and services</w:t>
            </w:r>
          </w:p>
        </w:tc>
        <w:tc>
          <w:tcPr>
            <w:tcW w:w="567" w:type="dxa"/>
            <w:tcBorders>
              <w:top w:val="nil"/>
              <w:left w:val="nil"/>
              <w:bottom w:val="nil"/>
              <w:right w:val="nil"/>
            </w:tcBorders>
            <w:shd w:val="clear" w:color="auto" w:fill="FFFFFF"/>
            <w:vAlign w:val="bottom"/>
          </w:tcPr>
          <w:p w14:paraId="6E4E1ADB"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G1-3</w:t>
            </w:r>
          </w:p>
        </w:tc>
        <w:tc>
          <w:tcPr>
            <w:tcW w:w="964" w:type="dxa"/>
            <w:tcBorders>
              <w:top w:val="nil"/>
              <w:left w:val="nil"/>
              <w:bottom w:val="nil"/>
              <w:right w:val="nil"/>
            </w:tcBorders>
            <w:shd w:val="clear" w:color="auto" w:fill="FFFFFF"/>
            <w:vAlign w:val="bottom"/>
          </w:tcPr>
          <w:p w14:paraId="456937B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8,612</w:t>
            </w:r>
          </w:p>
        </w:tc>
        <w:tc>
          <w:tcPr>
            <w:tcW w:w="964" w:type="dxa"/>
            <w:tcBorders>
              <w:top w:val="nil"/>
              <w:left w:val="nil"/>
              <w:bottom w:val="nil"/>
              <w:right w:val="nil"/>
            </w:tcBorders>
            <w:shd w:val="clear" w:color="auto" w:fill="FFFFFF"/>
            <w:vAlign w:val="bottom"/>
          </w:tcPr>
          <w:p w14:paraId="708A967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0FBBDF5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8,612</w:t>
            </w:r>
          </w:p>
        </w:tc>
        <w:tc>
          <w:tcPr>
            <w:tcW w:w="965" w:type="dxa"/>
            <w:tcBorders>
              <w:top w:val="nil"/>
              <w:left w:val="nil"/>
              <w:bottom w:val="nil"/>
              <w:right w:val="nil"/>
            </w:tcBorders>
            <w:shd w:val="clear" w:color="auto" w:fill="FFFFFF"/>
            <w:vAlign w:val="bottom"/>
          </w:tcPr>
          <w:p w14:paraId="357349B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24,967</w:t>
            </w:r>
          </w:p>
        </w:tc>
      </w:tr>
      <w:tr w:rsidR="002E375F" w14:paraId="0767D4D9" w14:textId="77777777" w:rsidTr="00B55A2A">
        <w:tc>
          <w:tcPr>
            <w:tcW w:w="4609" w:type="dxa"/>
            <w:gridSpan w:val="2"/>
            <w:tcBorders>
              <w:top w:val="nil"/>
              <w:left w:val="nil"/>
              <w:bottom w:val="nil"/>
              <w:right w:val="nil"/>
            </w:tcBorders>
            <w:shd w:val="clear" w:color="auto" w:fill="FFFFFF"/>
            <w:vAlign w:val="bottom"/>
          </w:tcPr>
          <w:p w14:paraId="609B531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Grants and subsidies</w:t>
            </w:r>
          </w:p>
        </w:tc>
        <w:tc>
          <w:tcPr>
            <w:tcW w:w="567" w:type="dxa"/>
            <w:tcBorders>
              <w:top w:val="nil"/>
              <w:left w:val="nil"/>
              <w:bottom w:val="nil"/>
              <w:right w:val="nil"/>
            </w:tcBorders>
            <w:shd w:val="clear" w:color="auto" w:fill="FFFFFF"/>
            <w:vAlign w:val="bottom"/>
          </w:tcPr>
          <w:p w14:paraId="41D063A4"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G1-4</w:t>
            </w:r>
          </w:p>
        </w:tc>
        <w:tc>
          <w:tcPr>
            <w:tcW w:w="964" w:type="dxa"/>
            <w:tcBorders>
              <w:top w:val="nil"/>
              <w:left w:val="nil"/>
              <w:bottom w:val="nil"/>
              <w:right w:val="nil"/>
            </w:tcBorders>
            <w:shd w:val="clear" w:color="auto" w:fill="FFFFFF"/>
            <w:vAlign w:val="bottom"/>
          </w:tcPr>
          <w:p w14:paraId="728B57D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2,328,217</w:t>
            </w:r>
          </w:p>
        </w:tc>
        <w:tc>
          <w:tcPr>
            <w:tcW w:w="964" w:type="dxa"/>
            <w:tcBorders>
              <w:top w:val="nil"/>
              <w:left w:val="nil"/>
              <w:bottom w:val="nil"/>
              <w:right w:val="nil"/>
            </w:tcBorders>
            <w:shd w:val="clear" w:color="auto" w:fill="FFFFFF"/>
            <w:vAlign w:val="bottom"/>
          </w:tcPr>
          <w:p w14:paraId="66B5444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1,592,208</w:t>
            </w:r>
          </w:p>
        </w:tc>
        <w:tc>
          <w:tcPr>
            <w:tcW w:w="964" w:type="dxa"/>
            <w:tcBorders>
              <w:top w:val="nil"/>
              <w:left w:val="nil"/>
              <w:bottom w:val="nil"/>
              <w:right w:val="nil"/>
            </w:tcBorders>
            <w:shd w:val="clear" w:color="auto" w:fill="FFFFFF"/>
            <w:vAlign w:val="bottom"/>
          </w:tcPr>
          <w:p w14:paraId="5308E66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736,009</w:t>
            </w:r>
          </w:p>
        </w:tc>
        <w:tc>
          <w:tcPr>
            <w:tcW w:w="965" w:type="dxa"/>
            <w:tcBorders>
              <w:top w:val="nil"/>
              <w:left w:val="nil"/>
              <w:bottom w:val="nil"/>
              <w:right w:val="nil"/>
            </w:tcBorders>
            <w:shd w:val="clear" w:color="auto" w:fill="FFFFFF"/>
            <w:vAlign w:val="bottom"/>
          </w:tcPr>
          <w:p w14:paraId="177BE75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1,457,858</w:t>
            </w:r>
          </w:p>
        </w:tc>
      </w:tr>
      <w:tr w:rsidR="002E375F" w14:paraId="7A83D376" w14:textId="77777777" w:rsidTr="00B55A2A">
        <w:tc>
          <w:tcPr>
            <w:tcW w:w="4609" w:type="dxa"/>
            <w:gridSpan w:val="2"/>
            <w:tcBorders>
              <w:top w:val="nil"/>
              <w:left w:val="nil"/>
              <w:bottom w:val="nil"/>
              <w:right w:val="nil"/>
            </w:tcBorders>
            <w:shd w:val="clear" w:color="auto" w:fill="FFFFFF"/>
            <w:vAlign w:val="bottom"/>
          </w:tcPr>
          <w:p w14:paraId="355D383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Impairment losses</w:t>
            </w:r>
          </w:p>
        </w:tc>
        <w:tc>
          <w:tcPr>
            <w:tcW w:w="567" w:type="dxa"/>
            <w:tcBorders>
              <w:top w:val="nil"/>
              <w:left w:val="nil"/>
              <w:bottom w:val="nil"/>
              <w:right w:val="nil"/>
            </w:tcBorders>
            <w:shd w:val="clear" w:color="auto" w:fill="FFFFFF"/>
            <w:vAlign w:val="bottom"/>
          </w:tcPr>
          <w:p w14:paraId="54415B7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A5F79E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6BD4E5F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61880EE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5" w:type="dxa"/>
            <w:tcBorders>
              <w:top w:val="nil"/>
              <w:left w:val="nil"/>
              <w:bottom w:val="nil"/>
              <w:right w:val="nil"/>
            </w:tcBorders>
            <w:shd w:val="clear" w:color="auto" w:fill="FFFFFF"/>
            <w:vAlign w:val="bottom"/>
          </w:tcPr>
          <w:p w14:paraId="3BB06E4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w:t>
            </w:r>
          </w:p>
        </w:tc>
      </w:tr>
      <w:tr w:rsidR="002E375F" w14:paraId="061EDB41" w14:textId="77777777" w:rsidTr="00B55A2A">
        <w:tc>
          <w:tcPr>
            <w:tcW w:w="4609" w:type="dxa"/>
            <w:gridSpan w:val="2"/>
            <w:tcBorders>
              <w:top w:val="nil"/>
              <w:left w:val="nil"/>
              <w:bottom w:val="nil"/>
              <w:right w:val="nil"/>
            </w:tcBorders>
            <w:shd w:val="clear" w:color="auto" w:fill="FFFFFF"/>
            <w:vAlign w:val="bottom"/>
          </w:tcPr>
          <w:p w14:paraId="2E545A1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 expenses</w:t>
            </w:r>
          </w:p>
        </w:tc>
        <w:tc>
          <w:tcPr>
            <w:tcW w:w="567" w:type="dxa"/>
            <w:tcBorders>
              <w:top w:val="nil"/>
              <w:left w:val="nil"/>
              <w:bottom w:val="nil"/>
              <w:right w:val="nil"/>
            </w:tcBorders>
            <w:shd w:val="clear" w:color="auto" w:fill="FFFFFF"/>
            <w:vAlign w:val="bottom"/>
          </w:tcPr>
          <w:p w14:paraId="7511FB4D"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G1-5</w:t>
            </w:r>
          </w:p>
        </w:tc>
        <w:tc>
          <w:tcPr>
            <w:tcW w:w="964" w:type="dxa"/>
            <w:tcBorders>
              <w:top w:val="nil"/>
              <w:left w:val="nil"/>
              <w:bottom w:val="single" w:sz="2" w:space="0" w:color="auto"/>
              <w:right w:val="nil"/>
            </w:tcBorders>
            <w:shd w:val="clear" w:color="auto" w:fill="FFFFFF"/>
            <w:vAlign w:val="bottom"/>
          </w:tcPr>
          <w:p w14:paraId="4DE2A0F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0A464EC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46498F8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5" w:type="dxa"/>
            <w:tcBorders>
              <w:top w:val="nil"/>
              <w:left w:val="nil"/>
              <w:bottom w:val="single" w:sz="2" w:space="0" w:color="auto"/>
              <w:right w:val="nil"/>
            </w:tcBorders>
            <w:shd w:val="clear" w:color="auto" w:fill="FFFFFF"/>
            <w:vAlign w:val="bottom"/>
          </w:tcPr>
          <w:p w14:paraId="0F13CFF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155,617</w:t>
            </w:r>
          </w:p>
        </w:tc>
      </w:tr>
      <w:tr w:rsidR="002E375F" w14:paraId="6D26C486" w14:textId="77777777" w:rsidTr="00B55A2A">
        <w:tc>
          <w:tcPr>
            <w:tcW w:w="4609" w:type="dxa"/>
            <w:gridSpan w:val="2"/>
            <w:tcBorders>
              <w:top w:val="nil"/>
              <w:left w:val="nil"/>
              <w:bottom w:val="nil"/>
              <w:right w:val="nil"/>
            </w:tcBorders>
            <w:shd w:val="clear" w:color="auto" w:fill="FFFFFF"/>
            <w:vAlign w:val="bottom"/>
          </w:tcPr>
          <w:p w14:paraId="68CE04E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Expenses from Continuing Operations</w:t>
            </w:r>
          </w:p>
        </w:tc>
        <w:tc>
          <w:tcPr>
            <w:tcW w:w="567" w:type="dxa"/>
            <w:tcBorders>
              <w:top w:val="nil"/>
              <w:left w:val="nil"/>
              <w:bottom w:val="nil"/>
              <w:right w:val="nil"/>
            </w:tcBorders>
            <w:shd w:val="clear" w:color="auto" w:fill="FFFFFF"/>
            <w:vAlign w:val="bottom"/>
          </w:tcPr>
          <w:p w14:paraId="429E3BC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4B6712E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2,339,769</w:t>
            </w:r>
          </w:p>
        </w:tc>
        <w:tc>
          <w:tcPr>
            <w:tcW w:w="964" w:type="dxa"/>
            <w:tcBorders>
              <w:top w:val="nil"/>
              <w:left w:val="nil"/>
              <w:bottom w:val="single" w:sz="2" w:space="0" w:color="auto"/>
              <w:right w:val="nil"/>
            </w:tcBorders>
            <w:shd w:val="clear" w:color="auto" w:fill="FFFFFF"/>
            <w:vAlign w:val="bottom"/>
          </w:tcPr>
          <w:p w14:paraId="4C4E410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1,592,208</w:t>
            </w:r>
          </w:p>
        </w:tc>
        <w:tc>
          <w:tcPr>
            <w:tcW w:w="964" w:type="dxa"/>
            <w:tcBorders>
              <w:top w:val="nil"/>
              <w:left w:val="nil"/>
              <w:bottom w:val="single" w:sz="2" w:space="0" w:color="auto"/>
              <w:right w:val="nil"/>
            </w:tcBorders>
            <w:shd w:val="clear" w:color="auto" w:fill="FFFFFF"/>
            <w:vAlign w:val="bottom"/>
          </w:tcPr>
          <w:p w14:paraId="71217A1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747,561</w:t>
            </w:r>
          </w:p>
        </w:tc>
        <w:tc>
          <w:tcPr>
            <w:tcW w:w="965" w:type="dxa"/>
            <w:tcBorders>
              <w:top w:val="nil"/>
              <w:left w:val="nil"/>
              <w:bottom w:val="single" w:sz="2" w:space="0" w:color="auto"/>
              <w:right w:val="nil"/>
            </w:tcBorders>
            <w:shd w:val="clear" w:color="auto" w:fill="FFFFFF"/>
            <w:vAlign w:val="bottom"/>
          </w:tcPr>
          <w:p w14:paraId="2C55A85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1,645,307</w:t>
            </w:r>
          </w:p>
        </w:tc>
      </w:tr>
      <w:tr w:rsidR="002E375F" w14:paraId="1278FEB1" w14:textId="77777777" w:rsidTr="00B55A2A">
        <w:tc>
          <w:tcPr>
            <w:tcW w:w="4609" w:type="dxa"/>
            <w:gridSpan w:val="2"/>
            <w:tcBorders>
              <w:top w:val="nil"/>
              <w:left w:val="nil"/>
              <w:bottom w:val="nil"/>
              <w:right w:val="nil"/>
            </w:tcBorders>
            <w:shd w:val="clear" w:color="auto" w:fill="FFFFFF"/>
            <w:vAlign w:val="bottom"/>
          </w:tcPr>
          <w:p w14:paraId="034E431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Operating Result from Continuing Operations</w:t>
            </w:r>
          </w:p>
        </w:tc>
        <w:tc>
          <w:tcPr>
            <w:tcW w:w="567" w:type="dxa"/>
            <w:tcBorders>
              <w:top w:val="nil"/>
              <w:left w:val="nil"/>
              <w:bottom w:val="nil"/>
              <w:right w:val="nil"/>
            </w:tcBorders>
            <w:shd w:val="clear" w:color="auto" w:fill="FFFFFF"/>
            <w:vAlign w:val="bottom"/>
          </w:tcPr>
          <w:p w14:paraId="6C7181E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5990867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45,288</w:t>
            </w:r>
          </w:p>
        </w:tc>
        <w:tc>
          <w:tcPr>
            <w:tcW w:w="964" w:type="dxa"/>
            <w:tcBorders>
              <w:top w:val="nil"/>
              <w:left w:val="nil"/>
              <w:bottom w:val="single" w:sz="2" w:space="0" w:color="auto"/>
              <w:right w:val="nil"/>
            </w:tcBorders>
            <w:shd w:val="clear" w:color="auto" w:fill="FFFFFF"/>
            <w:vAlign w:val="bottom"/>
          </w:tcPr>
          <w:p w14:paraId="1884034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4,287</w:t>
            </w:r>
          </w:p>
        </w:tc>
        <w:tc>
          <w:tcPr>
            <w:tcW w:w="964" w:type="dxa"/>
            <w:tcBorders>
              <w:top w:val="nil"/>
              <w:left w:val="nil"/>
              <w:bottom w:val="single" w:sz="2" w:space="0" w:color="auto"/>
              <w:right w:val="nil"/>
            </w:tcBorders>
            <w:shd w:val="clear" w:color="auto" w:fill="FFFFFF"/>
            <w:vAlign w:val="bottom"/>
          </w:tcPr>
          <w:p w14:paraId="1B7DEE5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41,001</w:t>
            </w:r>
          </w:p>
        </w:tc>
        <w:tc>
          <w:tcPr>
            <w:tcW w:w="965" w:type="dxa"/>
            <w:tcBorders>
              <w:top w:val="nil"/>
              <w:left w:val="nil"/>
              <w:bottom w:val="single" w:sz="2" w:space="0" w:color="auto"/>
              <w:right w:val="nil"/>
            </w:tcBorders>
            <w:shd w:val="clear" w:color="auto" w:fill="FFFFFF"/>
            <w:vAlign w:val="bottom"/>
          </w:tcPr>
          <w:p w14:paraId="492E5B7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(57,551)</w:t>
            </w:r>
          </w:p>
        </w:tc>
      </w:tr>
      <w:tr w:rsidR="002E375F" w14:paraId="5F6DB4D7" w14:textId="77777777" w:rsidTr="00B55A2A">
        <w:tc>
          <w:tcPr>
            <w:tcW w:w="4609" w:type="dxa"/>
            <w:gridSpan w:val="2"/>
            <w:tcBorders>
              <w:top w:val="nil"/>
              <w:left w:val="nil"/>
              <w:bottom w:val="nil"/>
              <w:right w:val="nil"/>
            </w:tcBorders>
            <w:shd w:val="clear" w:color="auto" w:fill="FFFFFF"/>
            <w:vAlign w:val="bottom"/>
          </w:tcPr>
          <w:p w14:paraId="46CF80D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Operating Result for the Year</w:t>
            </w:r>
          </w:p>
        </w:tc>
        <w:tc>
          <w:tcPr>
            <w:tcW w:w="567" w:type="dxa"/>
            <w:tcBorders>
              <w:top w:val="nil"/>
              <w:left w:val="nil"/>
              <w:bottom w:val="nil"/>
              <w:right w:val="nil"/>
            </w:tcBorders>
            <w:shd w:val="clear" w:color="auto" w:fill="FFFFFF"/>
            <w:vAlign w:val="bottom"/>
          </w:tcPr>
          <w:p w14:paraId="218E052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6068959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45,288</w:t>
            </w:r>
          </w:p>
        </w:tc>
        <w:tc>
          <w:tcPr>
            <w:tcW w:w="964" w:type="dxa"/>
            <w:tcBorders>
              <w:top w:val="nil"/>
              <w:left w:val="nil"/>
              <w:bottom w:val="single" w:sz="2" w:space="0" w:color="auto"/>
              <w:right w:val="nil"/>
            </w:tcBorders>
            <w:shd w:val="clear" w:color="auto" w:fill="FFFFFF"/>
            <w:vAlign w:val="bottom"/>
          </w:tcPr>
          <w:p w14:paraId="273F955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4,287</w:t>
            </w:r>
          </w:p>
        </w:tc>
        <w:tc>
          <w:tcPr>
            <w:tcW w:w="964" w:type="dxa"/>
            <w:tcBorders>
              <w:top w:val="nil"/>
              <w:left w:val="nil"/>
              <w:bottom w:val="single" w:sz="2" w:space="0" w:color="auto"/>
              <w:right w:val="nil"/>
            </w:tcBorders>
            <w:shd w:val="clear" w:color="auto" w:fill="FFFFFF"/>
            <w:vAlign w:val="bottom"/>
          </w:tcPr>
          <w:p w14:paraId="4D50785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41,001</w:t>
            </w:r>
          </w:p>
        </w:tc>
        <w:tc>
          <w:tcPr>
            <w:tcW w:w="965" w:type="dxa"/>
            <w:tcBorders>
              <w:top w:val="nil"/>
              <w:left w:val="nil"/>
              <w:bottom w:val="single" w:sz="2" w:space="0" w:color="auto"/>
              <w:right w:val="nil"/>
            </w:tcBorders>
            <w:shd w:val="clear" w:color="auto" w:fill="FFFFFF"/>
            <w:vAlign w:val="bottom"/>
          </w:tcPr>
          <w:p w14:paraId="23250CE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(57,551)</w:t>
            </w:r>
          </w:p>
        </w:tc>
      </w:tr>
      <w:tr w:rsidR="002E375F" w14:paraId="02278F54" w14:textId="77777777" w:rsidTr="00B55A2A">
        <w:tc>
          <w:tcPr>
            <w:tcW w:w="4609" w:type="dxa"/>
            <w:gridSpan w:val="2"/>
            <w:tcBorders>
              <w:top w:val="nil"/>
              <w:left w:val="nil"/>
              <w:bottom w:val="nil"/>
              <w:right w:val="nil"/>
            </w:tcBorders>
            <w:shd w:val="clear" w:color="auto" w:fill="FFFFFF"/>
            <w:vAlign w:val="bottom"/>
          </w:tcPr>
          <w:p w14:paraId="0EBF86A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Comprehensive Income</w:t>
            </w:r>
          </w:p>
        </w:tc>
        <w:tc>
          <w:tcPr>
            <w:tcW w:w="567" w:type="dxa"/>
            <w:tcBorders>
              <w:top w:val="nil"/>
              <w:left w:val="nil"/>
              <w:bottom w:val="nil"/>
              <w:right w:val="nil"/>
            </w:tcBorders>
            <w:shd w:val="clear" w:color="auto" w:fill="FFFFFF"/>
            <w:vAlign w:val="bottom"/>
          </w:tcPr>
          <w:p w14:paraId="649D99B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0D200F8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45,288</w:t>
            </w:r>
          </w:p>
        </w:tc>
        <w:tc>
          <w:tcPr>
            <w:tcW w:w="964" w:type="dxa"/>
            <w:tcBorders>
              <w:top w:val="nil"/>
              <w:left w:val="nil"/>
              <w:bottom w:val="single" w:sz="2" w:space="0" w:color="auto"/>
              <w:right w:val="nil"/>
            </w:tcBorders>
            <w:shd w:val="clear" w:color="auto" w:fill="FFFFFF"/>
            <w:vAlign w:val="bottom"/>
          </w:tcPr>
          <w:p w14:paraId="21FF768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4,287</w:t>
            </w:r>
          </w:p>
        </w:tc>
        <w:tc>
          <w:tcPr>
            <w:tcW w:w="964" w:type="dxa"/>
            <w:tcBorders>
              <w:top w:val="nil"/>
              <w:left w:val="nil"/>
              <w:bottom w:val="single" w:sz="2" w:space="0" w:color="auto"/>
              <w:right w:val="nil"/>
            </w:tcBorders>
            <w:shd w:val="clear" w:color="auto" w:fill="FFFFFF"/>
            <w:vAlign w:val="bottom"/>
          </w:tcPr>
          <w:p w14:paraId="6073928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41,001</w:t>
            </w:r>
          </w:p>
        </w:tc>
        <w:tc>
          <w:tcPr>
            <w:tcW w:w="965" w:type="dxa"/>
            <w:tcBorders>
              <w:top w:val="nil"/>
              <w:left w:val="nil"/>
              <w:bottom w:val="single" w:sz="2" w:space="0" w:color="auto"/>
              <w:right w:val="nil"/>
            </w:tcBorders>
            <w:shd w:val="clear" w:color="auto" w:fill="FFFFFF"/>
            <w:vAlign w:val="bottom"/>
          </w:tcPr>
          <w:p w14:paraId="4CCA262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(57,551)</w:t>
            </w:r>
          </w:p>
        </w:tc>
      </w:tr>
      <w:tr w:rsidR="002E375F" w14:paraId="34FFD0DC" w14:textId="77777777" w:rsidTr="00B55A2A">
        <w:tc>
          <w:tcPr>
            <w:tcW w:w="340" w:type="dxa"/>
            <w:tcBorders>
              <w:top w:val="nil"/>
              <w:left w:val="nil"/>
              <w:bottom w:val="nil"/>
              <w:right w:val="nil"/>
            </w:tcBorders>
            <w:shd w:val="clear" w:color="auto" w:fill="FFFFFF"/>
          </w:tcPr>
          <w:p w14:paraId="42B22A1C" w14:textId="77777777" w:rsidR="002E375F" w:rsidRDefault="00EB2569">
            <w:pPr>
              <w:autoSpaceDE w:val="0"/>
              <w:autoSpaceDN w:val="0"/>
              <w:adjustRightInd w:val="0"/>
              <w:spacing w:after="0" w:line="240" w:lineRule="auto"/>
              <w:ind w:right="255"/>
              <w:rPr>
                <w:rFonts w:ascii="Times New Roman" w:hAnsi="Times New Roman" w:cs="Times New Roman"/>
                <w:sz w:val="24"/>
                <w:szCs w:val="24"/>
              </w:rPr>
            </w:pPr>
            <w:r>
              <w:rPr>
                <w:rFonts w:ascii="Arial" w:hAnsi="Arial" w:cs="Arial"/>
                <w:sz w:val="18"/>
                <w:szCs w:val="18"/>
              </w:rPr>
              <w:t>^</w:t>
            </w:r>
            <w:r>
              <w:rPr>
                <w:rFonts w:ascii="Arial" w:hAnsi="Arial" w:cs="Arial"/>
                <w:sz w:val="18"/>
                <w:szCs w:val="18"/>
              </w:rPr>
              <w:br/>
              <w:t>*</w:t>
            </w:r>
          </w:p>
        </w:tc>
        <w:tc>
          <w:tcPr>
            <w:tcW w:w="8693" w:type="dxa"/>
            <w:gridSpan w:val="6"/>
            <w:tcBorders>
              <w:top w:val="nil"/>
              <w:left w:val="nil"/>
              <w:bottom w:val="nil"/>
              <w:right w:val="nil"/>
            </w:tcBorders>
            <w:shd w:val="clear" w:color="auto" w:fill="FFFFFF"/>
            <w:vAlign w:val="bottom"/>
          </w:tcPr>
          <w:p w14:paraId="48064E8A" w14:textId="77777777" w:rsidR="002E375F" w:rsidRDefault="00EB2569">
            <w:pPr>
              <w:autoSpaceDE w:val="0"/>
              <w:autoSpaceDN w:val="0"/>
              <w:adjustRightInd w:val="0"/>
              <w:spacing w:after="0" w:line="240" w:lineRule="auto"/>
              <w:jc w:val="both"/>
              <w:rPr>
                <w:rFonts w:ascii="Times New Roman" w:hAnsi="Times New Roman" w:cs="Times New Roman"/>
                <w:sz w:val="24"/>
                <w:szCs w:val="24"/>
              </w:rPr>
            </w:pPr>
            <w:r>
              <w:rPr>
                <w:rFonts w:ascii="Arial" w:hAnsi="Arial" w:cs="Arial"/>
                <w:i/>
                <w:iCs/>
                <w:sz w:val="16"/>
                <w:szCs w:val="16"/>
              </w:rPr>
              <w:t>These figures represent budgeted figures as published in the latest Service Delivery Statement tabled in Parliament.</w:t>
            </w:r>
            <w:r>
              <w:rPr>
                <w:rFonts w:ascii="Arial" w:hAnsi="Arial" w:cs="Arial"/>
                <w:sz w:val="16"/>
                <w:szCs w:val="16"/>
              </w:rPr>
              <w:br/>
            </w:r>
            <w:r>
              <w:rPr>
                <w:rFonts w:ascii="Arial" w:hAnsi="Arial" w:cs="Arial"/>
                <w:i/>
                <w:iCs/>
                <w:sz w:val="16"/>
                <w:szCs w:val="16"/>
              </w:rPr>
              <w:t>An explanation of major var</w:t>
            </w:r>
            <w:r w:rsidR="00AE1BB2">
              <w:rPr>
                <w:rFonts w:ascii="Arial" w:hAnsi="Arial" w:cs="Arial"/>
                <w:i/>
                <w:iCs/>
                <w:sz w:val="16"/>
                <w:szCs w:val="16"/>
              </w:rPr>
              <w:t>iances is included at Note G1-9.</w:t>
            </w:r>
          </w:p>
        </w:tc>
      </w:tr>
    </w:tbl>
    <w:p w14:paraId="54FC61C3"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713F4782" w14:textId="77777777" w:rsidR="002E375F" w:rsidRDefault="00EB2569" w:rsidP="00F45CE1">
      <w:pPr>
        <w:pStyle w:val="Heading2"/>
        <w:spacing w:before="0"/>
        <w:rPr>
          <w:rFonts w:ascii="Times New Roman" w:hAnsi="Times New Roman" w:cs="Times New Roman"/>
          <w:sz w:val="24"/>
          <w:szCs w:val="24"/>
        </w:rPr>
      </w:pPr>
      <w:r>
        <w:lastRenderedPageBreak/>
        <w:t>Department of Communities, Disability Services and Seniors</w:t>
      </w:r>
    </w:p>
    <w:p w14:paraId="23A745FB" w14:textId="77777777" w:rsidR="002E375F" w:rsidRDefault="00EB2569" w:rsidP="00F45CE1">
      <w:pPr>
        <w:pStyle w:val="Heading2"/>
        <w:spacing w:before="0"/>
        <w:rPr>
          <w:rFonts w:ascii="Times New Roman" w:hAnsi="Times New Roman" w:cs="Times New Roman"/>
          <w:sz w:val="24"/>
          <w:szCs w:val="24"/>
        </w:rPr>
      </w:pPr>
      <w:r>
        <w:t>Balance Sheet - Administered</w:t>
      </w:r>
    </w:p>
    <w:p w14:paraId="63347C7B" w14:textId="77777777" w:rsidR="002E375F" w:rsidRDefault="00EB2569" w:rsidP="00F45CE1">
      <w:pPr>
        <w:pStyle w:val="Heading2"/>
        <w:spacing w:before="0"/>
        <w:rPr>
          <w:rFonts w:ascii="Times New Roman" w:hAnsi="Times New Roman" w:cs="Times New Roman"/>
          <w:sz w:val="24"/>
          <w:szCs w:val="24"/>
        </w:rPr>
      </w:pPr>
      <w:r>
        <w:t>as at 30 June 2020</w:t>
      </w:r>
    </w:p>
    <w:p w14:paraId="6F9873C4" w14:textId="77777777" w:rsidR="002E375F" w:rsidRDefault="002E375F">
      <w:pPr>
        <w:autoSpaceDE w:val="0"/>
        <w:autoSpaceDN w:val="0"/>
        <w:adjustRightInd w:val="0"/>
        <w:spacing w:after="0" w:line="240" w:lineRule="auto"/>
        <w:rPr>
          <w:rFonts w:ascii="Times New Roman" w:hAnsi="Times New Roman" w:cs="Times New Roman"/>
          <w:sz w:val="24"/>
          <w:szCs w:val="24"/>
        </w:rPr>
      </w:pPr>
    </w:p>
    <w:tbl>
      <w:tblPr>
        <w:tblW w:w="9033" w:type="dxa"/>
        <w:tblLayout w:type="fixed"/>
        <w:tblCellMar>
          <w:left w:w="0" w:type="dxa"/>
          <w:right w:w="0" w:type="dxa"/>
        </w:tblCellMar>
        <w:tblLook w:val="0000" w:firstRow="0" w:lastRow="0" w:firstColumn="0" w:lastColumn="0" w:noHBand="0" w:noVBand="0"/>
      </w:tblPr>
      <w:tblGrid>
        <w:gridCol w:w="340"/>
        <w:gridCol w:w="4269"/>
        <w:gridCol w:w="567"/>
        <w:gridCol w:w="964"/>
        <w:gridCol w:w="964"/>
        <w:gridCol w:w="964"/>
        <w:gridCol w:w="965"/>
      </w:tblGrid>
      <w:tr w:rsidR="002E375F" w14:paraId="49736650" w14:textId="77777777" w:rsidTr="00B55A2A">
        <w:tc>
          <w:tcPr>
            <w:tcW w:w="4609" w:type="dxa"/>
            <w:gridSpan w:val="2"/>
            <w:tcBorders>
              <w:top w:val="nil"/>
              <w:left w:val="nil"/>
              <w:bottom w:val="nil"/>
              <w:right w:val="nil"/>
            </w:tcBorders>
            <w:shd w:val="clear" w:color="auto" w:fill="FFFFFF"/>
            <w:vAlign w:val="bottom"/>
          </w:tcPr>
          <w:p w14:paraId="469E146C" w14:textId="77777777" w:rsidR="002E375F" w:rsidRDefault="002E375F" w:rsidP="001C442D">
            <w:pPr>
              <w:pStyle w:val="Heading2"/>
            </w:pPr>
          </w:p>
        </w:tc>
        <w:tc>
          <w:tcPr>
            <w:tcW w:w="567" w:type="dxa"/>
            <w:tcBorders>
              <w:top w:val="nil"/>
              <w:left w:val="nil"/>
              <w:bottom w:val="nil"/>
              <w:right w:val="nil"/>
            </w:tcBorders>
            <w:shd w:val="clear" w:color="auto" w:fill="FFFFFF"/>
            <w:vAlign w:val="bottom"/>
          </w:tcPr>
          <w:p w14:paraId="39825491" w14:textId="77777777" w:rsidR="002E375F" w:rsidRDefault="00EB2569" w:rsidP="001C442D">
            <w:pPr>
              <w:pStyle w:val="Heading2"/>
            </w:pPr>
            <w:r>
              <w:rPr>
                <w:rFonts w:ascii="Arial" w:hAnsi="Arial" w:cs="Arial"/>
                <w:b/>
                <w:bCs/>
                <w:sz w:val="18"/>
                <w:szCs w:val="18"/>
              </w:rPr>
              <w:t>Note</w:t>
            </w:r>
          </w:p>
        </w:tc>
        <w:tc>
          <w:tcPr>
            <w:tcW w:w="964" w:type="dxa"/>
            <w:tcBorders>
              <w:top w:val="nil"/>
              <w:left w:val="nil"/>
              <w:bottom w:val="nil"/>
              <w:right w:val="nil"/>
            </w:tcBorders>
            <w:shd w:val="clear" w:color="auto" w:fill="FFFFFF"/>
            <w:vAlign w:val="bottom"/>
          </w:tcPr>
          <w:p w14:paraId="57F316A4" w14:textId="77777777" w:rsidR="002E375F" w:rsidRDefault="00EB2569" w:rsidP="00862FE1">
            <w:pPr>
              <w:pStyle w:val="Heading2"/>
              <w:jc w:val="right"/>
            </w:pPr>
            <w:r>
              <w:rPr>
                <w:rFonts w:ascii="Arial" w:hAnsi="Arial" w:cs="Arial"/>
                <w:b/>
                <w:bCs/>
                <w:sz w:val="18"/>
                <w:szCs w:val="18"/>
              </w:rPr>
              <w:t>Actual</w:t>
            </w:r>
            <w:r>
              <w:rPr>
                <w:rFonts w:ascii="Arial" w:hAnsi="Arial" w:cs="Arial"/>
                <w:b/>
                <w:bCs/>
                <w:sz w:val="18"/>
                <w:szCs w:val="18"/>
              </w:rPr>
              <w:b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23B874DC" w14:textId="77777777" w:rsidR="002E375F" w:rsidRDefault="00EB2569" w:rsidP="00862FE1">
            <w:pPr>
              <w:pStyle w:val="Heading2"/>
              <w:jc w:val="right"/>
            </w:pPr>
            <w:r>
              <w:rPr>
                <w:rFonts w:ascii="Arial" w:hAnsi="Arial" w:cs="Arial"/>
                <w:b/>
                <w:bCs/>
                <w:sz w:val="18"/>
                <w:szCs w:val="18"/>
              </w:rPr>
              <w:t>Original Budget^</w:t>
            </w:r>
            <w:r>
              <w:rPr>
                <w:rFonts w:ascii="Arial" w:hAnsi="Arial" w:cs="Arial"/>
                <w:sz w:val="18"/>
                <w:szCs w:val="18"/>
              </w:rPr>
              <w:br/>
              <w:t>2020</w:t>
            </w:r>
            <w:r>
              <w:rPr>
                <w:rFonts w:ascii="Arial" w:hAnsi="Arial" w:cs="Arial"/>
                <w:sz w:val="18"/>
                <w:szCs w:val="18"/>
              </w:rPr>
              <w:br/>
              <w:t>$'000</w:t>
            </w:r>
          </w:p>
        </w:tc>
        <w:tc>
          <w:tcPr>
            <w:tcW w:w="964" w:type="dxa"/>
            <w:tcBorders>
              <w:top w:val="nil"/>
              <w:left w:val="nil"/>
              <w:bottom w:val="nil"/>
              <w:right w:val="nil"/>
            </w:tcBorders>
            <w:shd w:val="clear" w:color="auto" w:fill="FFFFFF"/>
            <w:vAlign w:val="bottom"/>
          </w:tcPr>
          <w:p w14:paraId="7667E93F" w14:textId="77777777" w:rsidR="002E375F" w:rsidRDefault="00EB2569" w:rsidP="00862FE1">
            <w:pPr>
              <w:pStyle w:val="Heading2"/>
              <w:jc w:val="right"/>
            </w:pPr>
            <w:r>
              <w:rPr>
                <w:rFonts w:ascii="Arial" w:hAnsi="Arial" w:cs="Arial"/>
                <w:b/>
                <w:bCs/>
                <w:sz w:val="18"/>
                <w:szCs w:val="18"/>
              </w:rPr>
              <w:t>Budget Variance*</w:t>
            </w:r>
            <w:r>
              <w:rPr>
                <w:rFonts w:ascii="Arial" w:hAnsi="Arial" w:cs="Arial"/>
                <w:sz w:val="18"/>
                <w:szCs w:val="18"/>
              </w:rPr>
              <w:br/>
              <w:t>2020</w:t>
            </w:r>
            <w:r>
              <w:rPr>
                <w:rFonts w:ascii="Arial" w:hAnsi="Arial" w:cs="Arial"/>
                <w:sz w:val="18"/>
                <w:szCs w:val="18"/>
              </w:rPr>
              <w:br/>
              <w:t>$'000</w:t>
            </w:r>
          </w:p>
        </w:tc>
        <w:tc>
          <w:tcPr>
            <w:tcW w:w="965" w:type="dxa"/>
            <w:tcBorders>
              <w:top w:val="nil"/>
              <w:left w:val="nil"/>
              <w:bottom w:val="nil"/>
              <w:right w:val="nil"/>
            </w:tcBorders>
            <w:shd w:val="clear" w:color="auto" w:fill="FFFFFF"/>
            <w:vAlign w:val="bottom"/>
          </w:tcPr>
          <w:p w14:paraId="0B6C011D" w14:textId="77777777" w:rsidR="002E375F" w:rsidRDefault="00EB2569" w:rsidP="00862FE1">
            <w:pPr>
              <w:pStyle w:val="Heading2"/>
              <w:jc w:val="right"/>
            </w:pPr>
            <w:r>
              <w:rPr>
                <w:rFonts w:ascii="Arial" w:hAnsi="Arial" w:cs="Arial"/>
                <w:b/>
                <w:bCs/>
                <w:sz w:val="18"/>
                <w:szCs w:val="18"/>
              </w:rPr>
              <w:t>Actual</w:t>
            </w:r>
            <w:r>
              <w:rPr>
                <w:rFonts w:ascii="Arial" w:hAnsi="Arial" w:cs="Arial"/>
                <w:sz w:val="18"/>
                <w:szCs w:val="18"/>
              </w:rPr>
              <w:br/>
              <w:t>2019</w:t>
            </w:r>
            <w:r>
              <w:rPr>
                <w:rFonts w:ascii="Arial" w:hAnsi="Arial" w:cs="Arial"/>
                <w:sz w:val="18"/>
                <w:szCs w:val="18"/>
              </w:rPr>
              <w:br/>
              <w:t>$'000</w:t>
            </w:r>
          </w:p>
        </w:tc>
      </w:tr>
      <w:tr w:rsidR="002E375F" w14:paraId="72BC54C9" w14:textId="77777777" w:rsidTr="00B55A2A">
        <w:tc>
          <w:tcPr>
            <w:tcW w:w="4609" w:type="dxa"/>
            <w:gridSpan w:val="2"/>
            <w:tcBorders>
              <w:top w:val="nil"/>
              <w:left w:val="nil"/>
              <w:bottom w:val="nil"/>
              <w:right w:val="nil"/>
            </w:tcBorders>
            <w:shd w:val="clear" w:color="auto" w:fill="FFFFFF"/>
            <w:vAlign w:val="bottom"/>
          </w:tcPr>
          <w:p w14:paraId="6B28EE6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Current Assets</w:t>
            </w:r>
          </w:p>
        </w:tc>
        <w:tc>
          <w:tcPr>
            <w:tcW w:w="567" w:type="dxa"/>
            <w:tcBorders>
              <w:top w:val="nil"/>
              <w:left w:val="nil"/>
              <w:bottom w:val="nil"/>
              <w:right w:val="nil"/>
            </w:tcBorders>
            <w:shd w:val="clear" w:color="auto" w:fill="FFFFFF"/>
            <w:vAlign w:val="bottom"/>
          </w:tcPr>
          <w:p w14:paraId="1C4F532B"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A36597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211D5BD"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141620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5" w:type="dxa"/>
            <w:tcBorders>
              <w:top w:val="nil"/>
              <w:left w:val="nil"/>
              <w:bottom w:val="nil"/>
              <w:right w:val="nil"/>
            </w:tcBorders>
            <w:shd w:val="clear" w:color="auto" w:fill="FFFFFF"/>
            <w:vAlign w:val="bottom"/>
          </w:tcPr>
          <w:p w14:paraId="445B042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6E49D15C" w14:textId="77777777" w:rsidTr="00B55A2A">
        <w:tc>
          <w:tcPr>
            <w:tcW w:w="4609" w:type="dxa"/>
            <w:gridSpan w:val="2"/>
            <w:tcBorders>
              <w:top w:val="nil"/>
              <w:left w:val="nil"/>
              <w:bottom w:val="nil"/>
              <w:right w:val="nil"/>
            </w:tcBorders>
            <w:shd w:val="clear" w:color="auto" w:fill="FFFFFF"/>
            <w:vAlign w:val="bottom"/>
          </w:tcPr>
          <w:p w14:paraId="3E0D885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Cash and cash equivalents</w:t>
            </w:r>
          </w:p>
        </w:tc>
        <w:tc>
          <w:tcPr>
            <w:tcW w:w="567" w:type="dxa"/>
            <w:tcBorders>
              <w:top w:val="nil"/>
              <w:left w:val="nil"/>
              <w:bottom w:val="nil"/>
              <w:right w:val="nil"/>
            </w:tcBorders>
            <w:shd w:val="clear" w:color="auto" w:fill="FFFFFF"/>
            <w:vAlign w:val="bottom"/>
          </w:tcPr>
          <w:p w14:paraId="2833A1C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FD34AE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190,692</w:t>
            </w:r>
          </w:p>
        </w:tc>
        <w:tc>
          <w:tcPr>
            <w:tcW w:w="964" w:type="dxa"/>
            <w:tcBorders>
              <w:top w:val="nil"/>
              <w:left w:val="nil"/>
              <w:bottom w:val="nil"/>
              <w:right w:val="nil"/>
            </w:tcBorders>
            <w:shd w:val="clear" w:color="auto" w:fill="FFFFFF"/>
            <w:vAlign w:val="bottom"/>
          </w:tcPr>
          <w:p w14:paraId="47EC7AE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49,479</w:t>
            </w:r>
          </w:p>
        </w:tc>
        <w:tc>
          <w:tcPr>
            <w:tcW w:w="964" w:type="dxa"/>
            <w:tcBorders>
              <w:top w:val="nil"/>
              <w:left w:val="nil"/>
              <w:bottom w:val="nil"/>
              <w:right w:val="nil"/>
            </w:tcBorders>
            <w:shd w:val="clear" w:color="auto" w:fill="FFFFFF"/>
            <w:vAlign w:val="bottom"/>
          </w:tcPr>
          <w:p w14:paraId="563479C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141,213</w:t>
            </w:r>
          </w:p>
        </w:tc>
        <w:tc>
          <w:tcPr>
            <w:tcW w:w="965" w:type="dxa"/>
            <w:tcBorders>
              <w:top w:val="nil"/>
              <w:left w:val="nil"/>
              <w:bottom w:val="nil"/>
              <w:right w:val="nil"/>
            </w:tcBorders>
            <w:shd w:val="clear" w:color="auto" w:fill="FFFFFF"/>
            <w:vAlign w:val="bottom"/>
          </w:tcPr>
          <w:p w14:paraId="3630195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256,300</w:t>
            </w:r>
          </w:p>
        </w:tc>
      </w:tr>
      <w:tr w:rsidR="002E375F" w14:paraId="0442840D" w14:textId="77777777" w:rsidTr="00B55A2A">
        <w:tc>
          <w:tcPr>
            <w:tcW w:w="4609" w:type="dxa"/>
            <w:gridSpan w:val="2"/>
            <w:tcBorders>
              <w:top w:val="nil"/>
              <w:left w:val="nil"/>
              <w:bottom w:val="nil"/>
              <w:right w:val="nil"/>
            </w:tcBorders>
            <w:shd w:val="clear" w:color="auto" w:fill="FFFFFF"/>
            <w:vAlign w:val="bottom"/>
          </w:tcPr>
          <w:p w14:paraId="20F1A8B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Receivables</w:t>
            </w:r>
          </w:p>
        </w:tc>
        <w:tc>
          <w:tcPr>
            <w:tcW w:w="567" w:type="dxa"/>
            <w:tcBorders>
              <w:top w:val="nil"/>
              <w:left w:val="nil"/>
              <w:bottom w:val="nil"/>
              <w:right w:val="nil"/>
            </w:tcBorders>
            <w:shd w:val="clear" w:color="auto" w:fill="FFFFFF"/>
            <w:vAlign w:val="bottom"/>
          </w:tcPr>
          <w:p w14:paraId="71E141EC"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G1-6</w:t>
            </w:r>
          </w:p>
        </w:tc>
        <w:tc>
          <w:tcPr>
            <w:tcW w:w="964" w:type="dxa"/>
            <w:tcBorders>
              <w:top w:val="nil"/>
              <w:left w:val="nil"/>
              <w:bottom w:val="single" w:sz="2" w:space="0" w:color="auto"/>
              <w:right w:val="nil"/>
            </w:tcBorders>
            <w:shd w:val="clear" w:color="auto" w:fill="FFFFFF"/>
            <w:vAlign w:val="bottom"/>
          </w:tcPr>
          <w:p w14:paraId="69AB00B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16,964</w:t>
            </w:r>
          </w:p>
        </w:tc>
        <w:tc>
          <w:tcPr>
            <w:tcW w:w="964" w:type="dxa"/>
            <w:tcBorders>
              <w:top w:val="nil"/>
              <w:left w:val="nil"/>
              <w:bottom w:val="single" w:sz="2" w:space="0" w:color="auto"/>
              <w:right w:val="nil"/>
            </w:tcBorders>
            <w:shd w:val="clear" w:color="auto" w:fill="FFFFFF"/>
            <w:vAlign w:val="bottom"/>
          </w:tcPr>
          <w:p w14:paraId="6046F0E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1,613</w:t>
            </w:r>
          </w:p>
        </w:tc>
        <w:tc>
          <w:tcPr>
            <w:tcW w:w="964" w:type="dxa"/>
            <w:tcBorders>
              <w:top w:val="nil"/>
              <w:left w:val="nil"/>
              <w:bottom w:val="single" w:sz="2" w:space="0" w:color="auto"/>
              <w:right w:val="nil"/>
            </w:tcBorders>
            <w:shd w:val="clear" w:color="auto" w:fill="FFFFFF"/>
            <w:vAlign w:val="bottom"/>
          </w:tcPr>
          <w:p w14:paraId="1C949CE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15,351</w:t>
            </w:r>
          </w:p>
        </w:tc>
        <w:tc>
          <w:tcPr>
            <w:tcW w:w="965" w:type="dxa"/>
            <w:tcBorders>
              <w:top w:val="nil"/>
              <w:left w:val="nil"/>
              <w:bottom w:val="single" w:sz="2" w:space="0" w:color="auto"/>
              <w:right w:val="nil"/>
            </w:tcBorders>
            <w:shd w:val="clear" w:color="auto" w:fill="FFFFFF"/>
            <w:vAlign w:val="bottom"/>
          </w:tcPr>
          <w:p w14:paraId="0C53C1E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2,202</w:t>
            </w:r>
          </w:p>
        </w:tc>
      </w:tr>
      <w:tr w:rsidR="002E375F" w14:paraId="4FA69D78" w14:textId="77777777" w:rsidTr="00B55A2A">
        <w:tc>
          <w:tcPr>
            <w:tcW w:w="4609" w:type="dxa"/>
            <w:gridSpan w:val="2"/>
            <w:tcBorders>
              <w:top w:val="nil"/>
              <w:left w:val="nil"/>
              <w:bottom w:val="nil"/>
              <w:right w:val="nil"/>
            </w:tcBorders>
            <w:shd w:val="clear" w:color="auto" w:fill="FFFFFF"/>
            <w:vAlign w:val="bottom"/>
          </w:tcPr>
          <w:p w14:paraId="06D0A4F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Current Assets</w:t>
            </w:r>
          </w:p>
        </w:tc>
        <w:tc>
          <w:tcPr>
            <w:tcW w:w="567" w:type="dxa"/>
            <w:tcBorders>
              <w:top w:val="nil"/>
              <w:left w:val="nil"/>
              <w:bottom w:val="nil"/>
              <w:right w:val="nil"/>
            </w:tcBorders>
            <w:shd w:val="clear" w:color="auto" w:fill="FFFFFF"/>
            <w:vAlign w:val="bottom"/>
          </w:tcPr>
          <w:p w14:paraId="0D56559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441DD62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207,656</w:t>
            </w:r>
          </w:p>
        </w:tc>
        <w:tc>
          <w:tcPr>
            <w:tcW w:w="964" w:type="dxa"/>
            <w:tcBorders>
              <w:top w:val="nil"/>
              <w:left w:val="nil"/>
              <w:bottom w:val="single" w:sz="2" w:space="0" w:color="auto"/>
              <w:right w:val="nil"/>
            </w:tcBorders>
            <w:shd w:val="clear" w:color="auto" w:fill="FFFFFF"/>
            <w:vAlign w:val="bottom"/>
          </w:tcPr>
          <w:p w14:paraId="47AE33C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51,092</w:t>
            </w:r>
          </w:p>
        </w:tc>
        <w:tc>
          <w:tcPr>
            <w:tcW w:w="964" w:type="dxa"/>
            <w:tcBorders>
              <w:top w:val="nil"/>
              <w:left w:val="nil"/>
              <w:bottom w:val="single" w:sz="2" w:space="0" w:color="auto"/>
              <w:right w:val="nil"/>
            </w:tcBorders>
            <w:shd w:val="clear" w:color="auto" w:fill="FFFFFF"/>
            <w:vAlign w:val="bottom"/>
          </w:tcPr>
          <w:p w14:paraId="0105DC7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156,564</w:t>
            </w:r>
          </w:p>
        </w:tc>
        <w:tc>
          <w:tcPr>
            <w:tcW w:w="965" w:type="dxa"/>
            <w:tcBorders>
              <w:top w:val="nil"/>
              <w:left w:val="nil"/>
              <w:bottom w:val="single" w:sz="2" w:space="0" w:color="auto"/>
              <w:right w:val="nil"/>
            </w:tcBorders>
            <w:shd w:val="clear" w:color="auto" w:fill="FFFFFF"/>
            <w:vAlign w:val="bottom"/>
          </w:tcPr>
          <w:p w14:paraId="58E7CCB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258,502</w:t>
            </w:r>
          </w:p>
        </w:tc>
      </w:tr>
      <w:tr w:rsidR="002E375F" w14:paraId="01CA7657" w14:textId="77777777" w:rsidTr="00B55A2A">
        <w:tc>
          <w:tcPr>
            <w:tcW w:w="4609" w:type="dxa"/>
            <w:gridSpan w:val="2"/>
            <w:tcBorders>
              <w:top w:val="nil"/>
              <w:left w:val="nil"/>
              <w:bottom w:val="nil"/>
              <w:right w:val="nil"/>
            </w:tcBorders>
            <w:shd w:val="clear" w:color="auto" w:fill="FFFFFF"/>
            <w:vAlign w:val="bottom"/>
          </w:tcPr>
          <w:p w14:paraId="45F3E0F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Assets</w:t>
            </w:r>
          </w:p>
        </w:tc>
        <w:tc>
          <w:tcPr>
            <w:tcW w:w="567" w:type="dxa"/>
            <w:tcBorders>
              <w:top w:val="nil"/>
              <w:left w:val="nil"/>
              <w:bottom w:val="nil"/>
              <w:right w:val="nil"/>
            </w:tcBorders>
            <w:shd w:val="clear" w:color="auto" w:fill="FFFFFF"/>
            <w:vAlign w:val="bottom"/>
          </w:tcPr>
          <w:p w14:paraId="380AD59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12B1355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207,656</w:t>
            </w:r>
          </w:p>
        </w:tc>
        <w:tc>
          <w:tcPr>
            <w:tcW w:w="964" w:type="dxa"/>
            <w:tcBorders>
              <w:top w:val="nil"/>
              <w:left w:val="nil"/>
              <w:bottom w:val="single" w:sz="2" w:space="0" w:color="auto"/>
              <w:right w:val="nil"/>
            </w:tcBorders>
            <w:shd w:val="clear" w:color="auto" w:fill="FFFFFF"/>
            <w:vAlign w:val="bottom"/>
          </w:tcPr>
          <w:p w14:paraId="3356F2A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51,092</w:t>
            </w:r>
          </w:p>
        </w:tc>
        <w:tc>
          <w:tcPr>
            <w:tcW w:w="964" w:type="dxa"/>
            <w:tcBorders>
              <w:top w:val="nil"/>
              <w:left w:val="nil"/>
              <w:bottom w:val="single" w:sz="2" w:space="0" w:color="auto"/>
              <w:right w:val="nil"/>
            </w:tcBorders>
            <w:shd w:val="clear" w:color="auto" w:fill="FFFFFF"/>
            <w:vAlign w:val="bottom"/>
          </w:tcPr>
          <w:p w14:paraId="29A82AD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156,564</w:t>
            </w:r>
          </w:p>
        </w:tc>
        <w:tc>
          <w:tcPr>
            <w:tcW w:w="965" w:type="dxa"/>
            <w:tcBorders>
              <w:top w:val="nil"/>
              <w:left w:val="nil"/>
              <w:bottom w:val="single" w:sz="2" w:space="0" w:color="auto"/>
              <w:right w:val="nil"/>
            </w:tcBorders>
            <w:shd w:val="clear" w:color="auto" w:fill="FFFFFF"/>
            <w:vAlign w:val="bottom"/>
          </w:tcPr>
          <w:p w14:paraId="3381489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258,502</w:t>
            </w:r>
          </w:p>
        </w:tc>
      </w:tr>
      <w:tr w:rsidR="002E375F" w14:paraId="1DF3ABBF" w14:textId="77777777" w:rsidTr="00B55A2A">
        <w:tc>
          <w:tcPr>
            <w:tcW w:w="4609" w:type="dxa"/>
            <w:gridSpan w:val="2"/>
            <w:tcBorders>
              <w:top w:val="nil"/>
              <w:left w:val="nil"/>
              <w:bottom w:val="nil"/>
              <w:right w:val="nil"/>
            </w:tcBorders>
            <w:shd w:val="clear" w:color="auto" w:fill="FFFFFF"/>
            <w:vAlign w:val="bottom"/>
          </w:tcPr>
          <w:p w14:paraId="4F2AA4E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Current Liabilities</w:t>
            </w:r>
          </w:p>
        </w:tc>
        <w:tc>
          <w:tcPr>
            <w:tcW w:w="567" w:type="dxa"/>
            <w:tcBorders>
              <w:top w:val="nil"/>
              <w:left w:val="nil"/>
              <w:bottom w:val="nil"/>
              <w:right w:val="nil"/>
            </w:tcBorders>
            <w:shd w:val="clear" w:color="auto" w:fill="FFFFFF"/>
            <w:vAlign w:val="bottom"/>
          </w:tcPr>
          <w:p w14:paraId="3204D55D"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E7A180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CF92DD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E618FC3"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5" w:type="dxa"/>
            <w:tcBorders>
              <w:top w:val="nil"/>
              <w:left w:val="nil"/>
              <w:bottom w:val="nil"/>
              <w:right w:val="nil"/>
            </w:tcBorders>
            <w:shd w:val="clear" w:color="auto" w:fill="FFFFFF"/>
            <w:vAlign w:val="bottom"/>
          </w:tcPr>
          <w:p w14:paraId="2FD51E2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00150898" w14:textId="77777777" w:rsidTr="00B55A2A">
        <w:tc>
          <w:tcPr>
            <w:tcW w:w="4609" w:type="dxa"/>
            <w:gridSpan w:val="2"/>
            <w:tcBorders>
              <w:top w:val="nil"/>
              <w:left w:val="nil"/>
              <w:bottom w:val="nil"/>
              <w:right w:val="nil"/>
            </w:tcBorders>
            <w:shd w:val="clear" w:color="auto" w:fill="FFFFFF"/>
            <w:vAlign w:val="bottom"/>
          </w:tcPr>
          <w:p w14:paraId="28107A7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Payables</w:t>
            </w:r>
          </w:p>
        </w:tc>
        <w:tc>
          <w:tcPr>
            <w:tcW w:w="567" w:type="dxa"/>
            <w:tcBorders>
              <w:top w:val="nil"/>
              <w:left w:val="nil"/>
              <w:bottom w:val="nil"/>
              <w:right w:val="nil"/>
            </w:tcBorders>
            <w:shd w:val="clear" w:color="auto" w:fill="FFFFFF"/>
            <w:vAlign w:val="bottom"/>
          </w:tcPr>
          <w:p w14:paraId="1B378E16"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G1-7</w:t>
            </w:r>
          </w:p>
        </w:tc>
        <w:tc>
          <w:tcPr>
            <w:tcW w:w="964" w:type="dxa"/>
            <w:tcBorders>
              <w:top w:val="nil"/>
              <w:left w:val="nil"/>
              <w:bottom w:val="nil"/>
              <w:right w:val="nil"/>
            </w:tcBorders>
            <w:shd w:val="clear" w:color="auto" w:fill="FFFFFF"/>
            <w:vAlign w:val="bottom"/>
          </w:tcPr>
          <w:p w14:paraId="3D52ADD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235,774</w:t>
            </w:r>
          </w:p>
        </w:tc>
        <w:tc>
          <w:tcPr>
            <w:tcW w:w="964" w:type="dxa"/>
            <w:tcBorders>
              <w:top w:val="nil"/>
              <w:left w:val="nil"/>
              <w:bottom w:val="nil"/>
              <w:right w:val="nil"/>
            </w:tcBorders>
            <w:shd w:val="clear" w:color="auto" w:fill="FFFFFF"/>
            <w:vAlign w:val="bottom"/>
          </w:tcPr>
          <w:p w14:paraId="27E3243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62,659</w:t>
            </w:r>
          </w:p>
        </w:tc>
        <w:tc>
          <w:tcPr>
            <w:tcW w:w="964" w:type="dxa"/>
            <w:tcBorders>
              <w:top w:val="nil"/>
              <w:left w:val="nil"/>
              <w:bottom w:val="nil"/>
              <w:right w:val="nil"/>
            </w:tcBorders>
            <w:shd w:val="clear" w:color="auto" w:fill="FFFFFF"/>
            <w:vAlign w:val="bottom"/>
          </w:tcPr>
          <w:p w14:paraId="4FF1EE8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173,115</w:t>
            </w:r>
          </w:p>
        </w:tc>
        <w:tc>
          <w:tcPr>
            <w:tcW w:w="965" w:type="dxa"/>
            <w:tcBorders>
              <w:top w:val="nil"/>
              <w:left w:val="nil"/>
              <w:bottom w:val="nil"/>
              <w:right w:val="nil"/>
            </w:tcBorders>
            <w:shd w:val="clear" w:color="auto" w:fill="FFFFFF"/>
            <w:vAlign w:val="bottom"/>
          </w:tcPr>
          <w:p w14:paraId="0F59B8D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329,519</w:t>
            </w:r>
          </w:p>
        </w:tc>
      </w:tr>
      <w:tr w:rsidR="002E375F" w14:paraId="2D3D6EF7" w14:textId="77777777" w:rsidTr="00B55A2A">
        <w:tc>
          <w:tcPr>
            <w:tcW w:w="4609" w:type="dxa"/>
            <w:gridSpan w:val="2"/>
            <w:tcBorders>
              <w:top w:val="nil"/>
              <w:left w:val="nil"/>
              <w:bottom w:val="nil"/>
              <w:right w:val="nil"/>
            </w:tcBorders>
            <w:shd w:val="clear" w:color="auto" w:fill="FFFFFF"/>
            <w:vAlign w:val="bottom"/>
          </w:tcPr>
          <w:p w14:paraId="41F765B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Accrued employee benefits</w:t>
            </w:r>
          </w:p>
        </w:tc>
        <w:tc>
          <w:tcPr>
            <w:tcW w:w="567" w:type="dxa"/>
            <w:tcBorders>
              <w:top w:val="nil"/>
              <w:left w:val="nil"/>
              <w:bottom w:val="nil"/>
              <w:right w:val="nil"/>
            </w:tcBorders>
            <w:shd w:val="clear" w:color="auto" w:fill="FFFFFF"/>
            <w:vAlign w:val="bottom"/>
          </w:tcPr>
          <w:p w14:paraId="4B05132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1CBD0DE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1BCAE9A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52726EE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5" w:type="dxa"/>
            <w:tcBorders>
              <w:top w:val="nil"/>
              <w:left w:val="nil"/>
              <w:bottom w:val="single" w:sz="2" w:space="0" w:color="auto"/>
              <w:right w:val="nil"/>
            </w:tcBorders>
            <w:shd w:val="clear" w:color="auto" w:fill="FFFFFF"/>
            <w:vAlign w:val="bottom"/>
          </w:tcPr>
          <w:p w14:paraId="0B1484F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2,389</w:t>
            </w:r>
          </w:p>
        </w:tc>
      </w:tr>
      <w:tr w:rsidR="002E375F" w14:paraId="72197DA7" w14:textId="77777777" w:rsidTr="00B55A2A">
        <w:tc>
          <w:tcPr>
            <w:tcW w:w="4609" w:type="dxa"/>
            <w:gridSpan w:val="2"/>
            <w:tcBorders>
              <w:top w:val="nil"/>
              <w:left w:val="nil"/>
              <w:bottom w:val="nil"/>
              <w:right w:val="nil"/>
            </w:tcBorders>
            <w:shd w:val="clear" w:color="auto" w:fill="FFFFFF"/>
            <w:vAlign w:val="bottom"/>
          </w:tcPr>
          <w:p w14:paraId="28D6C9E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Current Liabilities</w:t>
            </w:r>
          </w:p>
        </w:tc>
        <w:tc>
          <w:tcPr>
            <w:tcW w:w="567" w:type="dxa"/>
            <w:tcBorders>
              <w:top w:val="nil"/>
              <w:left w:val="nil"/>
              <w:bottom w:val="nil"/>
              <w:right w:val="nil"/>
            </w:tcBorders>
            <w:shd w:val="clear" w:color="auto" w:fill="FFFFFF"/>
            <w:vAlign w:val="bottom"/>
          </w:tcPr>
          <w:p w14:paraId="530C8A6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326189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235,774</w:t>
            </w:r>
          </w:p>
        </w:tc>
        <w:tc>
          <w:tcPr>
            <w:tcW w:w="964" w:type="dxa"/>
            <w:tcBorders>
              <w:top w:val="nil"/>
              <w:left w:val="nil"/>
              <w:bottom w:val="nil"/>
              <w:right w:val="nil"/>
            </w:tcBorders>
            <w:shd w:val="clear" w:color="auto" w:fill="FFFFFF"/>
            <w:vAlign w:val="bottom"/>
          </w:tcPr>
          <w:p w14:paraId="078B034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62,659</w:t>
            </w:r>
          </w:p>
        </w:tc>
        <w:tc>
          <w:tcPr>
            <w:tcW w:w="964" w:type="dxa"/>
            <w:tcBorders>
              <w:top w:val="nil"/>
              <w:left w:val="nil"/>
              <w:bottom w:val="nil"/>
              <w:right w:val="nil"/>
            </w:tcBorders>
            <w:shd w:val="clear" w:color="auto" w:fill="FFFFFF"/>
            <w:vAlign w:val="bottom"/>
          </w:tcPr>
          <w:p w14:paraId="7B0A404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173,115</w:t>
            </w:r>
          </w:p>
        </w:tc>
        <w:tc>
          <w:tcPr>
            <w:tcW w:w="965" w:type="dxa"/>
            <w:tcBorders>
              <w:top w:val="nil"/>
              <w:left w:val="nil"/>
              <w:bottom w:val="nil"/>
              <w:right w:val="nil"/>
            </w:tcBorders>
            <w:shd w:val="clear" w:color="auto" w:fill="FFFFFF"/>
            <w:vAlign w:val="bottom"/>
          </w:tcPr>
          <w:p w14:paraId="5351543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331,908</w:t>
            </w:r>
          </w:p>
        </w:tc>
      </w:tr>
      <w:tr w:rsidR="002E375F" w14:paraId="1398A9DE" w14:textId="77777777" w:rsidTr="00B55A2A">
        <w:tc>
          <w:tcPr>
            <w:tcW w:w="4609" w:type="dxa"/>
            <w:gridSpan w:val="2"/>
            <w:tcBorders>
              <w:top w:val="nil"/>
              <w:left w:val="nil"/>
              <w:bottom w:val="nil"/>
              <w:right w:val="nil"/>
            </w:tcBorders>
            <w:shd w:val="clear" w:color="auto" w:fill="FFFFFF"/>
            <w:vAlign w:val="bottom"/>
          </w:tcPr>
          <w:p w14:paraId="56F6532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Non-Current Liabilities</w:t>
            </w:r>
          </w:p>
        </w:tc>
        <w:tc>
          <w:tcPr>
            <w:tcW w:w="567" w:type="dxa"/>
            <w:tcBorders>
              <w:top w:val="nil"/>
              <w:left w:val="nil"/>
              <w:bottom w:val="nil"/>
              <w:right w:val="nil"/>
            </w:tcBorders>
            <w:shd w:val="clear" w:color="auto" w:fill="FFFFFF"/>
            <w:vAlign w:val="bottom"/>
          </w:tcPr>
          <w:p w14:paraId="42E1A137"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64F299D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4A04A54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2F46266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5" w:type="dxa"/>
            <w:tcBorders>
              <w:top w:val="nil"/>
              <w:left w:val="nil"/>
              <w:bottom w:val="single" w:sz="2" w:space="0" w:color="auto"/>
              <w:right w:val="nil"/>
            </w:tcBorders>
            <w:shd w:val="clear" w:color="auto" w:fill="FFFFFF"/>
            <w:vAlign w:val="bottom"/>
          </w:tcPr>
          <w:p w14:paraId="313D314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65962429" w14:textId="77777777" w:rsidTr="00B55A2A">
        <w:tc>
          <w:tcPr>
            <w:tcW w:w="4609" w:type="dxa"/>
            <w:gridSpan w:val="2"/>
            <w:tcBorders>
              <w:top w:val="nil"/>
              <w:left w:val="nil"/>
              <w:bottom w:val="nil"/>
              <w:right w:val="nil"/>
            </w:tcBorders>
            <w:shd w:val="clear" w:color="auto" w:fill="FFFFFF"/>
            <w:vAlign w:val="bottom"/>
          </w:tcPr>
          <w:p w14:paraId="62B9762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Liabilities</w:t>
            </w:r>
          </w:p>
        </w:tc>
        <w:tc>
          <w:tcPr>
            <w:tcW w:w="567" w:type="dxa"/>
            <w:tcBorders>
              <w:top w:val="nil"/>
              <w:left w:val="nil"/>
              <w:bottom w:val="nil"/>
              <w:right w:val="nil"/>
            </w:tcBorders>
            <w:shd w:val="clear" w:color="auto" w:fill="FFFFFF"/>
            <w:vAlign w:val="bottom"/>
          </w:tcPr>
          <w:p w14:paraId="7FF67B1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2DDD727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235,774</w:t>
            </w:r>
          </w:p>
        </w:tc>
        <w:tc>
          <w:tcPr>
            <w:tcW w:w="964" w:type="dxa"/>
            <w:tcBorders>
              <w:top w:val="nil"/>
              <w:left w:val="nil"/>
              <w:bottom w:val="single" w:sz="2" w:space="0" w:color="auto"/>
              <w:right w:val="nil"/>
            </w:tcBorders>
            <w:shd w:val="clear" w:color="auto" w:fill="FFFFFF"/>
            <w:vAlign w:val="bottom"/>
          </w:tcPr>
          <w:p w14:paraId="237DB10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62,659</w:t>
            </w:r>
          </w:p>
        </w:tc>
        <w:tc>
          <w:tcPr>
            <w:tcW w:w="964" w:type="dxa"/>
            <w:tcBorders>
              <w:top w:val="nil"/>
              <w:left w:val="nil"/>
              <w:bottom w:val="single" w:sz="2" w:space="0" w:color="auto"/>
              <w:right w:val="nil"/>
            </w:tcBorders>
            <w:shd w:val="clear" w:color="auto" w:fill="FFFFFF"/>
            <w:vAlign w:val="bottom"/>
          </w:tcPr>
          <w:p w14:paraId="27FD12F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173,115</w:t>
            </w:r>
          </w:p>
        </w:tc>
        <w:tc>
          <w:tcPr>
            <w:tcW w:w="965" w:type="dxa"/>
            <w:tcBorders>
              <w:top w:val="nil"/>
              <w:left w:val="nil"/>
              <w:bottom w:val="single" w:sz="2" w:space="0" w:color="auto"/>
              <w:right w:val="nil"/>
            </w:tcBorders>
            <w:shd w:val="clear" w:color="auto" w:fill="FFFFFF"/>
            <w:vAlign w:val="bottom"/>
          </w:tcPr>
          <w:p w14:paraId="32CC604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331,908</w:t>
            </w:r>
          </w:p>
        </w:tc>
      </w:tr>
      <w:tr w:rsidR="002E375F" w14:paraId="7533C1AC" w14:textId="77777777" w:rsidTr="00B55A2A">
        <w:tc>
          <w:tcPr>
            <w:tcW w:w="4609" w:type="dxa"/>
            <w:gridSpan w:val="2"/>
            <w:tcBorders>
              <w:top w:val="nil"/>
              <w:left w:val="nil"/>
              <w:bottom w:val="nil"/>
              <w:right w:val="nil"/>
            </w:tcBorders>
            <w:shd w:val="clear" w:color="auto" w:fill="FFFFFF"/>
            <w:vAlign w:val="bottom"/>
          </w:tcPr>
          <w:p w14:paraId="4BF624B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Net Assets</w:t>
            </w:r>
          </w:p>
        </w:tc>
        <w:tc>
          <w:tcPr>
            <w:tcW w:w="567" w:type="dxa"/>
            <w:tcBorders>
              <w:top w:val="nil"/>
              <w:left w:val="nil"/>
              <w:bottom w:val="nil"/>
              <w:right w:val="nil"/>
            </w:tcBorders>
            <w:shd w:val="clear" w:color="auto" w:fill="FFFFFF"/>
            <w:vAlign w:val="bottom"/>
          </w:tcPr>
          <w:p w14:paraId="3CEB68EE"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2E25543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(28,118)</w:t>
            </w:r>
          </w:p>
        </w:tc>
        <w:tc>
          <w:tcPr>
            <w:tcW w:w="964" w:type="dxa"/>
            <w:tcBorders>
              <w:top w:val="nil"/>
              <w:left w:val="nil"/>
              <w:bottom w:val="single" w:sz="2" w:space="0" w:color="auto"/>
              <w:right w:val="nil"/>
            </w:tcBorders>
            <w:shd w:val="clear" w:color="auto" w:fill="FFFFFF"/>
            <w:vAlign w:val="bottom"/>
          </w:tcPr>
          <w:p w14:paraId="691DA9E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(11,567)</w:t>
            </w:r>
          </w:p>
        </w:tc>
        <w:tc>
          <w:tcPr>
            <w:tcW w:w="964" w:type="dxa"/>
            <w:tcBorders>
              <w:top w:val="nil"/>
              <w:left w:val="nil"/>
              <w:bottom w:val="single" w:sz="2" w:space="0" w:color="auto"/>
              <w:right w:val="nil"/>
            </w:tcBorders>
            <w:shd w:val="clear" w:color="auto" w:fill="FFFFFF"/>
            <w:vAlign w:val="bottom"/>
          </w:tcPr>
          <w:p w14:paraId="320D26B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(16,551)</w:t>
            </w:r>
          </w:p>
        </w:tc>
        <w:tc>
          <w:tcPr>
            <w:tcW w:w="965" w:type="dxa"/>
            <w:tcBorders>
              <w:top w:val="nil"/>
              <w:left w:val="nil"/>
              <w:bottom w:val="single" w:sz="2" w:space="0" w:color="auto"/>
              <w:right w:val="nil"/>
            </w:tcBorders>
            <w:shd w:val="clear" w:color="auto" w:fill="FFFFFF"/>
            <w:vAlign w:val="bottom"/>
          </w:tcPr>
          <w:p w14:paraId="3D94169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(73,406)</w:t>
            </w:r>
          </w:p>
        </w:tc>
      </w:tr>
      <w:tr w:rsidR="002E375F" w14:paraId="3588CC92" w14:textId="77777777" w:rsidTr="00B55A2A">
        <w:tc>
          <w:tcPr>
            <w:tcW w:w="340" w:type="dxa"/>
            <w:tcBorders>
              <w:top w:val="nil"/>
              <w:left w:val="nil"/>
              <w:bottom w:val="nil"/>
              <w:right w:val="nil"/>
            </w:tcBorders>
            <w:shd w:val="clear" w:color="auto" w:fill="FFFFFF"/>
          </w:tcPr>
          <w:p w14:paraId="5D99D85F" w14:textId="77777777" w:rsidR="002E375F" w:rsidRDefault="00EB2569">
            <w:pPr>
              <w:autoSpaceDE w:val="0"/>
              <w:autoSpaceDN w:val="0"/>
              <w:adjustRightInd w:val="0"/>
              <w:spacing w:after="0" w:line="240" w:lineRule="auto"/>
              <w:ind w:right="255"/>
              <w:rPr>
                <w:rFonts w:ascii="Times New Roman" w:hAnsi="Times New Roman" w:cs="Times New Roman"/>
                <w:sz w:val="24"/>
                <w:szCs w:val="24"/>
              </w:rPr>
            </w:pPr>
            <w:r>
              <w:rPr>
                <w:rFonts w:ascii="Arial" w:hAnsi="Arial" w:cs="Arial"/>
                <w:sz w:val="18"/>
                <w:szCs w:val="18"/>
              </w:rPr>
              <w:t>^</w:t>
            </w:r>
            <w:r>
              <w:rPr>
                <w:rFonts w:ascii="Arial" w:hAnsi="Arial" w:cs="Arial"/>
                <w:sz w:val="18"/>
                <w:szCs w:val="18"/>
              </w:rPr>
              <w:br/>
              <w:t>*</w:t>
            </w:r>
          </w:p>
        </w:tc>
        <w:tc>
          <w:tcPr>
            <w:tcW w:w="8693" w:type="dxa"/>
            <w:gridSpan w:val="6"/>
            <w:tcBorders>
              <w:top w:val="nil"/>
              <w:left w:val="nil"/>
              <w:bottom w:val="nil"/>
              <w:right w:val="nil"/>
            </w:tcBorders>
            <w:shd w:val="clear" w:color="auto" w:fill="FFFFFF"/>
            <w:vAlign w:val="bottom"/>
          </w:tcPr>
          <w:p w14:paraId="720E9C23" w14:textId="77777777" w:rsidR="002E375F" w:rsidRDefault="00EB2569">
            <w:pPr>
              <w:autoSpaceDE w:val="0"/>
              <w:autoSpaceDN w:val="0"/>
              <w:adjustRightInd w:val="0"/>
              <w:spacing w:after="0" w:line="240" w:lineRule="auto"/>
              <w:jc w:val="both"/>
              <w:rPr>
                <w:rFonts w:ascii="Times New Roman" w:hAnsi="Times New Roman" w:cs="Times New Roman"/>
                <w:sz w:val="24"/>
                <w:szCs w:val="24"/>
              </w:rPr>
            </w:pPr>
            <w:r>
              <w:rPr>
                <w:rFonts w:ascii="Arial" w:hAnsi="Arial" w:cs="Arial"/>
                <w:i/>
                <w:iCs/>
                <w:sz w:val="16"/>
                <w:szCs w:val="16"/>
              </w:rPr>
              <w:t>These figures represent budgeted figures as published in the latest Service Delivery Statement tabled in Parliament.</w:t>
            </w:r>
            <w:r>
              <w:rPr>
                <w:rFonts w:ascii="Arial" w:hAnsi="Arial" w:cs="Arial"/>
                <w:sz w:val="16"/>
                <w:szCs w:val="16"/>
              </w:rPr>
              <w:br/>
            </w:r>
            <w:r>
              <w:rPr>
                <w:rFonts w:ascii="Arial" w:hAnsi="Arial" w:cs="Arial"/>
                <w:i/>
                <w:iCs/>
                <w:sz w:val="16"/>
                <w:szCs w:val="16"/>
              </w:rPr>
              <w:t>An explanation of major variances i</w:t>
            </w:r>
            <w:r w:rsidR="00AE1BB2">
              <w:rPr>
                <w:rFonts w:ascii="Arial" w:hAnsi="Arial" w:cs="Arial"/>
                <w:i/>
                <w:iCs/>
                <w:sz w:val="16"/>
                <w:szCs w:val="16"/>
              </w:rPr>
              <w:t>s included at Note G1-9.</w:t>
            </w:r>
          </w:p>
        </w:tc>
      </w:tr>
    </w:tbl>
    <w:p w14:paraId="5C1CDF92" w14:textId="77777777" w:rsidR="002E375F" w:rsidRDefault="00EB2569" w:rsidP="00862FE1">
      <w:pPr>
        <w:autoSpaceDE w:val="0"/>
        <w:autoSpaceDN w:val="0"/>
        <w:adjustRightInd w:val="0"/>
        <w:spacing w:before="240" w:after="141" w:line="240" w:lineRule="auto"/>
        <w:jc w:val="both"/>
        <w:rPr>
          <w:rFonts w:ascii="Times New Roman" w:hAnsi="Times New Roman" w:cs="Times New Roman"/>
          <w:sz w:val="24"/>
          <w:szCs w:val="24"/>
        </w:rPr>
      </w:pPr>
      <w:r>
        <w:rPr>
          <w:rFonts w:ascii="Arial" w:hAnsi="Arial" w:cs="Arial"/>
          <w:b/>
          <w:bCs/>
          <w:sz w:val="16"/>
          <w:szCs w:val="16"/>
        </w:rPr>
        <w:t>Additional Information</w:t>
      </w:r>
    </w:p>
    <w:p w14:paraId="5AB9B868" w14:textId="77777777" w:rsidR="002E375F" w:rsidRDefault="00EB2569" w:rsidP="00BD728B">
      <w:pPr>
        <w:autoSpaceDE w:val="0"/>
        <w:autoSpaceDN w:val="0"/>
        <w:adjustRightInd w:val="0"/>
        <w:spacing w:after="141" w:line="240" w:lineRule="auto"/>
        <w:rPr>
          <w:rFonts w:ascii="Times New Roman" w:hAnsi="Times New Roman" w:cs="Times New Roman"/>
          <w:sz w:val="24"/>
          <w:szCs w:val="24"/>
        </w:rPr>
      </w:pPr>
      <w:r>
        <w:rPr>
          <w:rFonts w:ascii="Arial" w:hAnsi="Arial" w:cs="Arial"/>
          <w:sz w:val="16"/>
          <w:szCs w:val="16"/>
        </w:rPr>
        <w:t>The reported net asset figure for 2019-20 excludes reimbursement claims currently being assessed by the Queensland Reconstruction Authority totalling $26.660M as at 30 June 2020. Similarly the reported net asset figure for 2018-19 excluded claims to the amount of $70.421M as at 30 June 2019.</w:t>
      </w:r>
    </w:p>
    <w:p w14:paraId="21E45BDA"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50A48D84" w14:textId="77777777" w:rsidR="002E375F" w:rsidRDefault="00EB2569" w:rsidP="00F45CE1">
      <w:pPr>
        <w:pStyle w:val="Heading2"/>
        <w:spacing w:before="0"/>
        <w:rPr>
          <w:rFonts w:ascii="Times New Roman" w:hAnsi="Times New Roman" w:cs="Times New Roman"/>
          <w:sz w:val="24"/>
          <w:szCs w:val="24"/>
        </w:rPr>
      </w:pPr>
      <w:r>
        <w:lastRenderedPageBreak/>
        <w:t>Department of Communities, Disability Services and Seniors</w:t>
      </w:r>
    </w:p>
    <w:p w14:paraId="53D5DA31" w14:textId="77777777" w:rsidR="002E375F" w:rsidRDefault="00EB2569" w:rsidP="00F45CE1">
      <w:pPr>
        <w:pStyle w:val="Heading2"/>
        <w:spacing w:before="0"/>
        <w:rPr>
          <w:rFonts w:ascii="Times New Roman" w:hAnsi="Times New Roman" w:cs="Times New Roman"/>
          <w:sz w:val="24"/>
          <w:szCs w:val="24"/>
        </w:rPr>
      </w:pPr>
      <w:r>
        <w:t>Statement of Cash Flows - Administered</w:t>
      </w:r>
    </w:p>
    <w:p w14:paraId="4E207074" w14:textId="77777777" w:rsidR="002E375F" w:rsidRDefault="00EB2569" w:rsidP="00F45CE1">
      <w:pPr>
        <w:pStyle w:val="Heading2"/>
        <w:spacing w:before="0"/>
        <w:rPr>
          <w:rFonts w:ascii="Times New Roman" w:hAnsi="Times New Roman" w:cs="Times New Roman"/>
          <w:sz w:val="24"/>
          <w:szCs w:val="24"/>
        </w:rPr>
      </w:pPr>
      <w:r>
        <w:t>for the year ended 30 June 2020</w:t>
      </w:r>
    </w:p>
    <w:p w14:paraId="4D86E622" w14:textId="77777777" w:rsidR="002E375F" w:rsidRDefault="002E375F">
      <w:pPr>
        <w:autoSpaceDE w:val="0"/>
        <w:autoSpaceDN w:val="0"/>
        <w:adjustRightInd w:val="0"/>
        <w:spacing w:after="0" w:line="240" w:lineRule="auto"/>
        <w:rPr>
          <w:rFonts w:ascii="Times New Roman" w:hAnsi="Times New Roman" w:cs="Times New Roman"/>
          <w:sz w:val="24"/>
          <w:szCs w:val="24"/>
        </w:rPr>
      </w:pPr>
    </w:p>
    <w:tbl>
      <w:tblPr>
        <w:tblW w:w="8151" w:type="dxa"/>
        <w:tblLayout w:type="fixed"/>
        <w:tblCellMar>
          <w:left w:w="0" w:type="dxa"/>
          <w:right w:w="0" w:type="dxa"/>
        </w:tblCellMar>
        <w:tblLook w:val="0000" w:firstRow="0" w:lastRow="0" w:firstColumn="0" w:lastColumn="0" w:noHBand="0" w:noVBand="0"/>
      </w:tblPr>
      <w:tblGrid>
        <w:gridCol w:w="6967"/>
        <w:gridCol w:w="1184"/>
      </w:tblGrid>
      <w:tr w:rsidR="009A0597" w14:paraId="04CC7FB1" w14:textId="77777777" w:rsidTr="00862FE1">
        <w:tc>
          <w:tcPr>
            <w:tcW w:w="6967" w:type="dxa"/>
            <w:shd w:val="clear" w:color="auto" w:fill="FFFFFF"/>
            <w:vAlign w:val="bottom"/>
          </w:tcPr>
          <w:p w14:paraId="4B3797F1" w14:textId="77777777" w:rsidR="009A0597" w:rsidRDefault="009A0597" w:rsidP="001C442D">
            <w:pPr>
              <w:pStyle w:val="Heading2"/>
            </w:pPr>
          </w:p>
        </w:tc>
        <w:tc>
          <w:tcPr>
            <w:tcW w:w="1184" w:type="dxa"/>
            <w:shd w:val="clear" w:color="auto" w:fill="FFFFFF"/>
            <w:vAlign w:val="bottom"/>
          </w:tcPr>
          <w:p w14:paraId="2ECCE07A" w14:textId="77777777" w:rsidR="009A0597" w:rsidRDefault="009A0597" w:rsidP="00862FE1">
            <w:pPr>
              <w:pStyle w:val="Heading2"/>
              <w:jc w:val="right"/>
            </w:pPr>
            <w:r>
              <w:rPr>
                <w:rFonts w:ascii="Arial" w:hAnsi="Arial" w:cs="Arial"/>
                <w:b/>
                <w:bCs/>
                <w:sz w:val="18"/>
                <w:szCs w:val="18"/>
              </w:rPr>
              <w:t>Actual</w:t>
            </w:r>
            <w:r>
              <w:rPr>
                <w:rFonts w:ascii="Arial" w:hAnsi="Arial" w:cs="Arial"/>
                <w:b/>
                <w:bCs/>
                <w:sz w:val="18"/>
                <w:szCs w:val="18"/>
              </w:rPr>
              <w:br/>
              <w:t>2020</w:t>
            </w:r>
            <w:r>
              <w:rPr>
                <w:rFonts w:ascii="Arial" w:hAnsi="Arial" w:cs="Arial"/>
                <w:b/>
                <w:bCs/>
                <w:sz w:val="18"/>
                <w:szCs w:val="18"/>
              </w:rPr>
              <w:br/>
              <w:t>$'000</w:t>
            </w:r>
          </w:p>
        </w:tc>
      </w:tr>
      <w:tr w:rsidR="009A0597" w14:paraId="7AD077B5" w14:textId="77777777" w:rsidTr="00862FE1">
        <w:tc>
          <w:tcPr>
            <w:tcW w:w="6967" w:type="dxa"/>
            <w:shd w:val="clear" w:color="auto" w:fill="FFFFFF"/>
            <w:vAlign w:val="bottom"/>
          </w:tcPr>
          <w:p w14:paraId="344B54D6"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i/>
                <w:iCs/>
                <w:sz w:val="18"/>
                <w:szCs w:val="18"/>
              </w:rPr>
              <w:t>Inflows:</w:t>
            </w:r>
          </w:p>
        </w:tc>
        <w:tc>
          <w:tcPr>
            <w:tcW w:w="1184" w:type="dxa"/>
            <w:shd w:val="clear" w:color="auto" w:fill="FFFFFF"/>
            <w:vAlign w:val="bottom"/>
          </w:tcPr>
          <w:p w14:paraId="49025DAC" w14:textId="77777777" w:rsidR="009A0597" w:rsidRDefault="009A0597">
            <w:pPr>
              <w:autoSpaceDE w:val="0"/>
              <w:autoSpaceDN w:val="0"/>
              <w:adjustRightInd w:val="0"/>
              <w:spacing w:after="0" w:line="240" w:lineRule="auto"/>
              <w:rPr>
                <w:rFonts w:ascii="Times New Roman" w:hAnsi="Times New Roman" w:cs="Times New Roman"/>
                <w:sz w:val="24"/>
                <w:szCs w:val="24"/>
              </w:rPr>
            </w:pPr>
          </w:p>
        </w:tc>
      </w:tr>
      <w:tr w:rsidR="009A0597" w14:paraId="3B3308E5" w14:textId="77777777" w:rsidTr="00862FE1">
        <w:tc>
          <w:tcPr>
            <w:tcW w:w="6967" w:type="dxa"/>
            <w:shd w:val="clear" w:color="auto" w:fill="FFFFFF"/>
            <w:vAlign w:val="bottom"/>
          </w:tcPr>
          <w:p w14:paraId="2A8D4DFF"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Administered appropriation revenue</w:t>
            </w:r>
          </w:p>
        </w:tc>
        <w:tc>
          <w:tcPr>
            <w:tcW w:w="1184" w:type="dxa"/>
            <w:shd w:val="clear" w:color="auto" w:fill="FFFFFF"/>
            <w:vAlign w:val="bottom"/>
          </w:tcPr>
          <w:p w14:paraId="09F5F134"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2,142,690</w:t>
            </w:r>
          </w:p>
        </w:tc>
      </w:tr>
      <w:tr w:rsidR="009A0597" w14:paraId="38B18DBF" w14:textId="77777777" w:rsidTr="00862FE1">
        <w:tc>
          <w:tcPr>
            <w:tcW w:w="6967" w:type="dxa"/>
            <w:shd w:val="clear" w:color="auto" w:fill="FFFFFF"/>
            <w:vAlign w:val="bottom"/>
          </w:tcPr>
          <w:p w14:paraId="2FE90B17"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Grants and other contributions</w:t>
            </w:r>
          </w:p>
        </w:tc>
        <w:tc>
          <w:tcPr>
            <w:tcW w:w="1184" w:type="dxa"/>
            <w:shd w:val="clear" w:color="auto" w:fill="FFFFFF"/>
            <w:vAlign w:val="bottom"/>
          </w:tcPr>
          <w:p w14:paraId="1A5B394A"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71,949</w:t>
            </w:r>
          </w:p>
        </w:tc>
      </w:tr>
      <w:tr w:rsidR="009A0597" w14:paraId="5F34BF54" w14:textId="77777777" w:rsidTr="00862FE1">
        <w:tc>
          <w:tcPr>
            <w:tcW w:w="6967" w:type="dxa"/>
            <w:shd w:val="clear" w:color="auto" w:fill="FFFFFF"/>
            <w:vAlign w:val="bottom"/>
          </w:tcPr>
          <w:p w14:paraId="0E97A544"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GST input tax credits received from ATO</w:t>
            </w:r>
          </w:p>
        </w:tc>
        <w:tc>
          <w:tcPr>
            <w:tcW w:w="1184" w:type="dxa"/>
            <w:shd w:val="clear" w:color="auto" w:fill="FFFFFF"/>
            <w:vAlign w:val="bottom"/>
          </w:tcPr>
          <w:p w14:paraId="6AABE31D"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19,559</w:t>
            </w:r>
          </w:p>
        </w:tc>
      </w:tr>
      <w:tr w:rsidR="009A0597" w14:paraId="36FF55E3" w14:textId="77777777" w:rsidTr="00862FE1">
        <w:tc>
          <w:tcPr>
            <w:tcW w:w="6967" w:type="dxa"/>
            <w:shd w:val="clear" w:color="auto" w:fill="FFFFFF"/>
            <w:vAlign w:val="bottom"/>
          </w:tcPr>
          <w:p w14:paraId="059CD3A9"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GST collected from customers</w:t>
            </w:r>
          </w:p>
        </w:tc>
        <w:tc>
          <w:tcPr>
            <w:tcW w:w="1184" w:type="dxa"/>
            <w:shd w:val="clear" w:color="auto" w:fill="FFFFFF"/>
            <w:vAlign w:val="bottom"/>
          </w:tcPr>
          <w:p w14:paraId="6C709B36"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7,195</w:t>
            </w:r>
          </w:p>
        </w:tc>
      </w:tr>
      <w:tr w:rsidR="009A0597" w14:paraId="0D7BE9C5" w14:textId="77777777" w:rsidTr="00862FE1">
        <w:tc>
          <w:tcPr>
            <w:tcW w:w="6967" w:type="dxa"/>
            <w:shd w:val="clear" w:color="auto" w:fill="FFFFFF"/>
            <w:vAlign w:val="bottom"/>
          </w:tcPr>
          <w:p w14:paraId="7C8EB543"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i/>
                <w:iCs/>
                <w:sz w:val="18"/>
                <w:szCs w:val="18"/>
              </w:rPr>
              <w:t>Outflows:</w:t>
            </w:r>
          </w:p>
        </w:tc>
        <w:tc>
          <w:tcPr>
            <w:tcW w:w="1184" w:type="dxa"/>
            <w:shd w:val="clear" w:color="auto" w:fill="FFFFFF"/>
            <w:vAlign w:val="bottom"/>
          </w:tcPr>
          <w:p w14:paraId="09CCB657" w14:textId="77777777" w:rsidR="009A0597" w:rsidRDefault="009A0597">
            <w:pPr>
              <w:autoSpaceDE w:val="0"/>
              <w:autoSpaceDN w:val="0"/>
              <w:adjustRightInd w:val="0"/>
              <w:spacing w:after="0" w:line="240" w:lineRule="auto"/>
              <w:rPr>
                <w:rFonts w:ascii="Times New Roman" w:hAnsi="Times New Roman" w:cs="Times New Roman"/>
                <w:sz w:val="24"/>
                <w:szCs w:val="24"/>
              </w:rPr>
            </w:pPr>
          </w:p>
        </w:tc>
      </w:tr>
      <w:tr w:rsidR="009A0597" w14:paraId="717D52C0" w14:textId="77777777" w:rsidTr="00862FE1">
        <w:tc>
          <w:tcPr>
            <w:tcW w:w="6967" w:type="dxa"/>
            <w:shd w:val="clear" w:color="auto" w:fill="FFFFFF"/>
            <w:vAlign w:val="bottom"/>
          </w:tcPr>
          <w:p w14:paraId="65C3ECF3"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Employee expenses</w:t>
            </w:r>
          </w:p>
        </w:tc>
        <w:tc>
          <w:tcPr>
            <w:tcW w:w="1184" w:type="dxa"/>
            <w:shd w:val="clear" w:color="auto" w:fill="FFFFFF"/>
            <w:vAlign w:val="bottom"/>
          </w:tcPr>
          <w:p w14:paraId="286623EF"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(5,328)</w:t>
            </w:r>
          </w:p>
        </w:tc>
      </w:tr>
      <w:tr w:rsidR="009A0597" w14:paraId="68BB7B83" w14:textId="77777777" w:rsidTr="00862FE1">
        <w:tc>
          <w:tcPr>
            <w:tcW w:w="6967" w:type="dxa"/>
            <w:shd w:val="clear" w:color="auto" w:fill="FFFFFF"/>
            <w:vAlign w:val="bottom"/>
          </w:tcPr>
          <w:p w14:paraId="6FDC822A"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Supplies and services</w:t>
            </w:r>
          </w:p>
        </w:tc>
        <w:tc>
          <w:tcPr>
            <w:tcW w:w="1184" w:type="dxa"/>
            <w:shd w:val="clear" w:color="auto" w:fill="FFFFFF"/>
            <w:vAlign w:val="bottom"/>
          </w:tcPr>
          <w:p w14:paraId="797A6D2E"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(10,610)</w:t>
            </w:r>
          </w:p>
        </w:tc>
      </w:tr>
      <w:tr w:rsidR="009A0597" w14:paraId="20CFE4BA" w14:textId="77777777" w:rsidTr="00862FE1">
        <w:tc>
          <w:tcPr>
            <w:tcW w:w="6967" w:type="dxa"/>
            <w:shd w:val="clear" w:color="auto" w:fill="FFFFFF"/>
            <w:vAlign w:val="bottom"/>
          </w:tcPr>
          <w:p w14:paraId="7B7E4FE4"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Grants and subsidies</w:t>
            </w:r>
          </w:p>
        </w:tc>
        <w:tc>
          <w:tcPr>
            <w:tcW w:w="1184" w:type="dxa"/>
            <w:shd w:val="clear" w:color="auto" w:fill="FFFFFF"/>
            <w:vAlign w:val="bottom"/>
          </w:tcPr>
          <w:p w14:paraId="37CBCEF8"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(2,264,348)</w:t>
            </w:r>
          </w:p>
        </w:tc>
      </w:tr>
      <w:tr w:rsidR="009A0597" w14:paraId="0B695278" w14:textId="77777777" w:rsidTr="00862FE1">
        <w:tc>
          <w:tcPr>
            <w:tcW w:w="6967" w:type="dxa"/>
            <w:shd w:val="clear" w:color="auto" w:fill="FFFFFF"/>
            <w:vAlign w:val="bottom"/>
          </w:tcPr>
          <w:p w14:paraId="628664DF"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GST paid to suppliers</w:t>
            </w:r>
          </w:p>
        </w:tc>
        <w:tc>
          <w:tcPr>
            <w:tcW w:w="1184" w:type="dxa"/>
            <w:shd w:val="clear" w:color="auto" w:fill="FFFFFF"/>
            <w:vAlign w:val="bottom"/>
          </w:tcPr>
          <w:p w14:paraId="58D8ACC8"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(19,520)</w:t>
            </w:r>
          </w:p>
        </w:tc>
      </w:tr>
      <w:tr w:rsidR="009A0597" w14:paraId="2A0896D4" w14:textId="77777777" w:rsidTr="00862FE1">
        <w:tc>
          <w:tcPr>
            <w:tcW w:w="6967" w:type="dxa"/>
            <w:shd w:val="clear" w:color="auto" w:fill="FFFFFF"/>
            <w:vAlign w:val="bottom"/>
          </w:tcPr>
          <w:p w14:paraId="628D88F4"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GST remitted to ATO</w:t>
            </w:r>
          </w:p>
        </w:tc>
        <w:tc>
          <w:tcPr>
            <w:tcW w:w="1184" w:type="dxa"/>
            <w:shd w:val="clear" w:color="auto" w:fill="FFFFFF"/>
            <w:vAlign w:val="bottom"/>
          </w:tcPr>
          <w:p w14:paraId="6ACBDDCB"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(7,195)</w:t>
            </w:r>
          </w:p>
        </w:tc>
      </w:tr>
      <w:tr w:rsidR="009A0597" w14:paraId="3E7014BA" w14:textId="77777777" w:rsidTr="00862FE1">
        <w:tc>
          <w:tcPr>
            <w:tcW w:w="6967" w:type="dxa"/>
            <w:shd w:val="clear" w:color="auto" w:fill="FFFFFF"/>
            <w:vAlign w:val="bottom"/>
          </w:tcPr>
          <w:p w14:paraId="268F1404"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w:t>
            </w:r>
          </w:p>
        </w:tc>
        <w:tc>
          <w:tcPr>
            <w:tcW w:w="1184" w:type="dxa"/>
            <w:shd w:val="clear" w:color="auto" w:fill="FFFFFF"/>
            <w:vAlign w:val="bottom"/>
          </w:tcPr>
          <w:p w14:paraId="59FF9E7D"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r>
      <w:tr w:rsidR="009A0597" w14:paraId="01C1A8DF" w14:textId="77777777" w:rsidTr="00862FE1">
        <w:tc>
          <w:tcPr>
            <w:tcW w:w="6967" w:type="dxa"/>
            <w:shd w:val="clear" w:color="auto" w:fill="FFFFFF"/>
            <w:vAlign w:val="bottom"/>
          </w:tcPr>
          <w:p w14:paraId="6CD7EBF3"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Net Cash result Operating Activities</w:t>
            </w:r>
          </w:p>
        </w:tc>
        <w:tc>
          <w:tcPr>
            <w:tcW w:w="1184" w:type="dxa"/>
            <w:shd w:val="clear" w:color="auto" w:fill="FFFFFF"/>
            <w:vAlign w:val="bottom"/>
          </w:tcPr>
          <w:p w14:paraId="3283B4F3"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(65,608)</w:t>
            </w:r>
          </w:p>
        </w:tc>
      </w:tr>
      <w:tr w:rsidR="009A0597" w14:paraId="44022D38" w14:textId="77777777" w:rsidTr="00862FE1">
        <w:tc>
          <w:tcPr>
            <w:tcW w:w="6967" w:type="dxa"/>
            <w:shd w:val="clear" w:color="auto" w:fill="FFFFFF"/>
            <w:vAlign w:val="bottom"/>
          </w:tcPr>
          <w:p w14:paraId="7D781746"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Net (decrease) increase in cash and cash equivalents</w:t>
            </w:r>
          </w:p>
        </w:tc>
        <w:tc>
          <w:tcPr>
            <w:tcW w:w="1184" w:type="dxa"/>
            <w:shd w:val="clear" w:color="auto" w:fill="FFFFFF"/>
            <w:vAlign w:val="bottom"/>
          </w:tcPr>
          <w:p w14:paraId="0321D557"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(65,608)</w:t>
            </w:r>
          </w:p>
        </w:tc>
      </w:tr>
      <w:tr w:rsidR="009A0597" w14:paraId="36B0FB44" w14:textId="77777777" w:rsidTr="00862FE1">
        <w:tc>
          <w:tcPr>
            <w:tcW w:w="6967" w:type="dxa"/>
            <w:shd w:val="clear" w:color="auto" w:fill="FFFFFF"/>
            <w:vAlign w:val="bottom"/>
          </w:tcPr>
          <w:p w14:paraId="228D832E"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Cash and Cash Equivalents - Opening balance</w:t>
            </w:r>
          </w:p>
        </w:tc>
        <w:tc>
          <w:tcPr>
            <w:tcW w:w="1184" w:type="dxa"/>
            <w:shd w:val="clear" w:color="auto" w:fill="FFFFFF"/>
            <w:vAlign w:val="bottom"/>
          </w:tcPr>
          <w:p w14:paraId="29EE5148"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256,300</w:t>
            </w:r>
          </w:p>
        </w:tc>
      </w:tr>
      <w:tr w:rsidR="009A0597" w14:paraId="76A3EDC6" w14:textId="77777777" w:rsidTr="00862FE1">
        <w:tc>
          <w:tcPr>
            <w:tcW w:w="6967" w:type="dxa"/>
            <w:shd w:val="clear" w:color="auto" w:fill="FFFFFF"/>
            <w:vAlign w:val="bottom"/>
          </w:tcPr>
          <w:p w14:paraId="3EA43DD0"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Cash and Cash Equivalents - Closing balance</w:t>
            </w:r>
          </w:p>
        </w:tc>
        <w:tc>
          <w:tcPr>
            <w:tcW w:w="1184" w:type="dxa"/>
            <w:shd w:val="clear" w:color="auto" w:fill="FFFFFF"/>
            <w:vAlign w:val="bottom"/>
          </w:tcPr>
          <w:p w14:paraId="3DE433CC"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190,692</w:t>
            </w:r>
          </w:p>
        </w:tc>
      </w:tr>
    </w:tbl>
    <w:p w14:paraId="09E5CEE0" w14:textId="77777777" w:rsidR="008A7E24" w:rsidRDefault="008A7E24" w:rsidP="00862FE1">
      <w:pPr>
        <w:pStyle w:val="Heading2"/>
        <w:spacing w:before="240"/>
        <w:rPr>
          <w:rFonts w:ascii="Times New Roman" w:hAnsi="Times New Roman" w:cs="Times New Roman"/>
          <w:sz w:val="24"/>
          <w:szCs w:val="24"/>
        </w:rPr>
      </w:pPr>
      <w:r>
        <w:t>Notes to the Statement of Cash Flows</w:t>
      </w:r>
    </w:p>
    <w:p w14:paraId="503E2A49" w14:textId="77777777" w:rsidR="008A7E24" w:rsidRDefault="008A7E24" w:rsidP="001C442D">
      <w:pPr>
        <w:pStyle w:val="Heading2"/>
        <w:rPr>
          <w:rFonts w:ascii="Times New Roman" w:hAnsi="Times New Roman" w:cs="Times New Roman"/>
          <w:sz w:val="24"/>
          <w:szCs w:val="24"/>
        </w:rPr>
      </w:pPr>
      <w:r>
        <w:rPr>
          <w:sz w:val="18"/>
          <w:szCs w:val="18"/>
        </w:rPr>
        <w:t>Reconciliation of Operating Result to Net Cash Provided by Operating Activities</w:t>
      </w:r>
    </w:p>
    <w:tbl>
      <w:tblPr>
        <w:tblW w:w="8151" w:type="dxa"/>
        <w:tblLayout w:type="fixed"/>
        <w:tblCellMar>
          <w:left w:w="0" w:type="dxa"/>
          <w:right w:w="0" w:type="dxa"/>
        </w:tblCellMar>
        <w:tblLook w:val="0000" w:firstRow="0" w:lastRow="0" w:firstColumn="0" w:lastColumn="0" w:noHBand="0" w:noVBand="0"/>
      </w:tblPr>
      <w:tblGrid>
        <w:gridCol w:w="6967"/>
        <w:gridCol w:w="1184"/>
      </w:tblGrid>
      <w:tr w:rsidR="009A0597" w14:paraId="6D749BB3" w14:textId="77777777" w:rsidTr="00862FE1">
        <w:tc>
          <w:tcPr>
            <w:tcW w:w="6967" w:type="dxa"/>
            <w:shd w:val="clear" w:color="auto" w:fill="FFFFFF"/>
            <w:vAlign w:val="bottom"/>
          </w:tcPr>
          <w:p w14:paraId="7BE91439" w14:textId="77777777" w:rsidR="009A0597" w:rsidRDefault="009A0597" w:rsidP="001C442D">
            <w:pPr>
              <w:pStyle w:val="Heading2"/>
              <w:rPr>
                <w:rFonts w:ascii="Times New Roman" w:hAnsi="Times New Roman" w:cs="Times New Roman"/>
                <w:sz w:val="24"/>
                <w:szCs w:val="24"/>
              </w:rPr>
            </w:pPr>
          </w:p>
        </w:tc>
        <w:tc>
          <w:tcPr>
            <w:tcW w:w="1184" w:type="dxa"/>
            <w:shd w:val="clear" w:color="auto" w:fill="FFFFFF"/>
            <w:vAlign w:val="bottom"/>
          </w:tcPr>
          <w:p w14:paraId="37B9C984" w14:textId="77777777" w:rsidR="009A0597" w:rsidRPr="00862FE1" w:rsidRDefault="009A0597" w:rsidP="00862FE1">
            <w:pPr>
              <w:pStyle w:val="Heading2"/>
              <w:jc w:val="right"/>
              <w:rPr>
                <w:rFonts w:ascii="Arial" w:hAnsi="Arial" w:cs="Arial"/>
                <w:b/>
                <w:sz w:val="18"/>
                <w:szCs w:val="18"/>
              </w:rPr>
            </w:pPr>
            <w:r w:rsidRPr="00862FE1">
              <w:rPr>
                <w:rFonts w:ascii="Arial" w:hAnsi="Arial" w:cs="Arial"/>
                <w:b/>
                <w:sz w:val="18"/>
                <w:szCs w:val="18"/>
              </w:rPr>
              <w:t>2020</w:t>
            </w:r>
            <w:r w:rsidRPr="00862FE1">
              <w:rPr>
                <w:rFonts w:ascii="Arial" w:hAnsi="Arial" w:cs="Arial"/>
                <w:b/>
                <w:sz w:val="18"/>
                <w:szCs w:val="18"/>
              </w:rPr>
              <w:br/>
              <w:t>$'000</w:t>
            </w:r>
          </w:p>
        </w:tc>
      </w:tr>
      <w:tr w:rsidR="009A0597" w14:paraId="30FB774C" w14:textId="77777777" w:rsidTr="00862FE1">
        <w:tc>
          <w:tcPr>
            <w:tcW w:w="6967" w:type="dxa"/>
            <w:shd w:val="clear" w:color="auto" w:fill="FFFFFF"/>
            <w:vAlign w:val="bottom"/>
          </w:tcPr>
          <w:p w14:paraId="2D861E8F"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Operating Result for the Year</w:t>
            </w:r>
          </w:p>
        </w:tc>
        <w:tc>
          <w:tcPr>
            <w:tcW w:w="1184" w:type="dxa"/>
            <w:shd w:val="clear" w:color="auto" w:fill="FFFFFF"/>
            <w:vAlign w:val="bottom"/>
          </w:tcPr>
          <w:p w14:paraId="0D4F2998"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45,288</w:t>
            </w:r>
          </w:p>
        </w:tc>
      </w:tr>
      <w:tr w:rsidR="009A0597" w14:paraId="7475D9F2" w14:textId="77777777" w:rsidTr="00862FE1">
        <w:tc>
          <w:tcPr>
            <w:tcW w:w="6967" w:type="dxa"/>
            <w:shd w:val="clear" w:color="auto" w:fill="FFFFFF"/>
            <w:vAlign w:val="bottom"/>
          </w:tcPr>
          <w:p w14:paraId="3A1C7899"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i/>
                <w:iCs/>
                <w:sz w:val="18"/>
                <w:szCs w:val="18"/>
              </w:rPr>
              <w:t>Changes in assets and liabilities</w:t>
            </w:r>
          </w:p>
        </w:tc>
        <w:tc>
          <w:tcPr>
            <w:tcW w:w="1184" w:type="dxa"/>
            <w:shd w:val="clear" w:color="auto" w:fill="FFFFFF"/>
            <w:vAlign w:val="bottom"/>
          </w:tcPr>
          <w:p w14:paraId="714B6530" w14:textId="77777777" w:rsidR="009A0597" w:rsidRDefault="009A0597">
            <w:pPr>
              <w:autoSpaceDE w:val="0"/>
              <w:autoSpaceDN w:val="0"/>
              <w:adjustRightInd w:val="0"/>
              <w:spacing w:after="0" w:line="240" w:lineRule="auto"/>
              <w:rPr>
                <w:rFonts w:ascii="Times New Roman" w:hAnsi="Times New Roman" w:cs="Times New Roman"/>
                <w:sz w:val="24"/>
                <w:szCs w:val="24"/>
              </w:rPr>
            </w:pPr>
          </w:p>
        </w:tc>
      </w:tr>
      <w:tr w:rsidR="009A0597" w14:paraId="226BBB0C" w14:textId="77777777" w:rsidTr="00862FE1">
        <w:tc>
          <w:tcPr>
            <w:tcW w:w="6967" w:type="dxa"/>
            <w:shd w:val="clear" w:color="auto" w:fill="FFFFFF"/>
            <w:vAlign w:val="bottom"/>
          </w:tcPr>
          <w:p w14:paraId="68370E53"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(Increase) decrease in GST input tax credits receivable</w:t>
            </w:r>
          </w:p>
        </w:tc>
        <w:tc>
          <w:tcPr>
            <w:tcW w:w="1184" w:type="dxa"/>
            <w:shd w:val="clear" w:color="auto" w:fill="FFFFFF"/>
            <w:vAlign w:val="bottom"/>
          </w:tcPr>
          <w:p w14:paraId="232D7845"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39</w:t>
            </w:r>
          </w:p>
        </w:tc>
      </w:tr>
      <w:tr w:rsidR="009A0597" w14:paraId="4C4F729F" w14:textId="77777777" w:rsidTr="00862FE1">
        <w:tc>
          <w:tcPr>
            <w:tcW w:w="6967" w:type="dxa"/>
            <w:shd w:val="clear" w:color="auto" w:fill="FFFFFF"/>
            <w:vAlign w:val="bottom"/>
          </w:tcPr>
          <w:p w14:paraId="19F375E2"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(Increase) decrease in trade receivables</w:t>
            </w:r>
          </w:p>
        </w:tc>
        <w:tc>
          <w:tcPr>
            <w:tcW w:w="1184" w:type="dxa"/>
            <w:shd w:val="clear" w:color="auto" w:fill="FFFFFF"/>
            <w:vAlign w:val="bottom"/>
          </w:tcPr>
          <w:p w14:paraId="2BFE0D42"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(14,801)</w:t>
            </w:r>
          </w:p>
        </w:tc>
      </w:tr>
      <w:tr w:rsidR="009A0597" w14:paraId="6A1F4A53" w14:textId="77777777" w:rsidTr="00862FE1">
        <w:tc>
          <w:tcPr>
            <w:tcW w:w="6967" w:type="dxa"/>
            <w:shd w:val="clear" w:color="auto" w:fill="FFFFFF"/>
            <w:vAlign w:val="bottom"/>
          </w:tcPr>
          <w:p w14:paraId="1EED08D8"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Increase (decrease) in payables</w:t>
            </w:r>
          </w:p>
        </w:tc>
        <w:tc>
          <w:tcPr>
            <w:tcW w:w="1184" w:type="dxa"/>
            <w:shd w:val="clear" w:color="auto" w:fill="FFFFFF"/>
            <w:vAlign w:val="bottom"/>
          </w:tcPr>
          <w:p w14:paraId="0678FA19"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(93,745)</w:t>
            </w:r>
          </w:p>
        </w:tc>
      </w:tr>
      <w:tr w:rsidR="009A0597" w14:paraId="0A2A6A02" w14:textId="77777777" w:rsidTr="00862FE1">
        <w:tc>
          <w:tcPr>
            <w:tcW w:w="6967" w:type="dxa"/>
            <w:shd w:val="clear" w:color="auto" w:fill="FFFFFF"/>
            <w:vAlign w:val="bottom"/>
          </w:tcPr>
          <w:p w14:paraId="4D7349AA"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Increase (decrease) in accrued employee benefits</w:t>
            </w:r>
          </w:p>
        </w:tc>
        <w:tc>
          <w:tcPr>
            <w:tcW w:w="1184" w:type="dxa"/>
            <w:shd w:val="clear" w:color="auto" w:fill="FFFFFF"/>
            <w:vAlign w:val="bottom"/>
          </w:tcPr>
          <w:p w14:paraId="5ADDCDBB"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(2,389)</w:t>
            </w:r>
          </w:p>
        </w:tc>
      </w:tr>
      <w:tr w:rsidR="009A0597" w14:paraId="081DB61B" w14:textId="77777777" w:rsidTr="00862FE1">
        <w:tc>
          <w:tcPr>
            <w:tcW w:w="6967" w:type="dxa"/>
            <w:shd w:val="clear" w:color="auto" w:fill="FFFFFF"/>
            <w:vAlign w:val="bottom"/>
          </w:tcPr>
          <w:p w14:paraId="183197DC" w14:textId="77777777" w:rsidR="009A0597" w:rsidRDefault="009A0597">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Net Cash (Used in) Provided by Operating Activities</w:t>
            </w:r>
          </w:p>
        </w:tc>
        <w:tc>
          <w:tcPr>
            <w:tcW w:w="1184" w:type="dxa"/>
            <w:shd w:val="clear" w:color="auto" w:fill="FFFFFF"/>
            <w:vAlign w:val="bottom"/>
          </w:tcPr>
          <w:p w14:paraId="419B9130" w14:textId="77777777" w:rsidR="009A0597" w:rsidRDefault="009A0597">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(65,608)</w:t>
            </w:r>
          </w:p>
        </w:tc>
      </w:tr>
    </w:tbl>
    <w:p w14:paraId="76DFF136"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docGrid w:linePitch="299"/>
        </w:sectPr>
      </w:pPr>
    </w:p>
    <w:p w14:paraId="0835A8CB" w14:textId="77777777" w:rsidR="002E375F" w:rsidRDefault="00EB2569" w:rsidP="00F45CE1">
      <w:pPr>
        <w:pStyle w:val="Heading2"/>
        <w:spacing w:before="0"/>
        <w:rPr>
          <w:rFonts w:ascii="Times New Roman" w:hAnsi="Times New Roman" w:cs="Times New Roman"/>
          <w:sz w:val="24"/>
          <w:szCs w:val="24"/>
        </w:rPr>
      </w:pPr>
      <w:r>
        <w:lastRenderedPageBreak/>
        <w:t>Department of Communities, Disability Services and Seniors</w:t>
      </w:r>
    </w:p>
    <w:p w14:paraId="0D99371C" w14:textId="77777777" w:rsidR="002E375F" w:rsidRDefault="00EB2569" w:rsidP="00F45CE1">
      <w:pPr>
        <w:pStyle w:val="Heading2"/>
        <w:spacing w:before="0"/>
        <w:rPr>
          <w:rFonts w:ascii="Times New Roman" w:hAnsi="Times New Roman" w:cs="Times New Roman"/>
          <w:sz w:val="24"/>
          <w:szCs w:val="24"/>
        </w:rPr>
      </w:pPr>
      <w:r>
        <w:t>Notes to the Financial Statements</w:t>
      </w:r>
    </w:p>
    <w:p w14:paraId="49E3EBF6" w14:textId="77777777" w:rsidR="002E375F" w:rsidRDefault="00EB2569" w:rsidP="00F45CE1">
      <w:pPr>
        <w:pStyle w:val="Heading2"/>
        <w:spacing w:before="0"/>
        <w:rPr>
          <w:rFonts w:ascii="Times New Roman" w:hAnsi="Times New Roman" w:cs="Times New Roman"/>
          <w:sz w:val="24"/>
          <w:szCs w:val="24"/>
        </w:rPr>
      </w:pPr>
      <w:r>
        <w:t>for the year ended 30 June 2020</w:t>
      </w:r>
    </w:p>
    <w:p w14:paraId="47E01E73"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7BFCF2B2" w14:textId="77777777" w:rsidR="006A691E" w:rsidRDefault="006A691E" w:rsidP="006A691E">
      <w:pPr>
        <w:pStyle w:val="Heading3"/>
      </w:pPr>
      <w:r>
        <w:t>A1 Basis of Financial Statement Preparation</w:t>
      </w:r>
    </w:p>
    <w:p w14:paraId="31F79D76" w14:textId="77777777" w:rsidR="006A691E" w:rsidRDefault="006A691E" w:rsidP="006A691E">
      <w:pPr>
        <w:pStyle w:val="Heading3"/>
        <w:rPr>
          <w:rFonts w:ascii="Arial" w:hAnsi="Arial" w:cs="Arial"/>
          <w:sz w:val="18"/>
          <w:szCs w:val="18"/>
        </w:rPr>
      </w:pPr>
      <w:r>
        <w:t>A1-1 General Information</w:t>
      </w:r>
    </w:p>
    <w:p w14:paraId="03608905"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 of Communities, Disability Services and Seniors (the department) is a State Government department established under the Public Service Act 2008 and controlled by the State of Queensland, which is the ultimate parent.</w:t>
      </w:r>
    </w:p>
    <w:p w14:paraId="29752D6E"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head office of the department is 1 William Street, Brisbane QLD 4000.</w:t>
      </w:r>
    </w:p>
    <w:p w14:paraId="0F5C99AC" w14:textId="77777777" w:rsidR="002E375F" w:rsidRDefault="00EB2569" w:rsidP="00E101AE">
      <w:pPr>
        <w:autoSpaceDE w:val="0"/>
        <w:autoSpaceDN w:val="0"/>
        <w:adjustRightInd w:val="0"/>
        <w:spacing w:after="141" w:line="240" w:lineRule="auto"/>
        <w:rPr>
          <w:rFonts w:ascii="Arial" w:hAnsi="Arial" w:cs="Arial"/>
          <w:sz w:val="18"/>
          <w:szCs w:val="18"/>
        </w:rPr>
      </w:pPr>
      <w:r>
        <w:rPr>
          <w:rFonts w:ascii="Arial" w:hAnsi="Arial" w:cs="Arial"/>
          <w:sz w:val="18"/>
          <w:szCs w:val="18"/>
        </w:rPr>
        <w:t>The major departmental services undertaken by the department are disclosed in the Income Statement by Major Departmental Services - Controlled, and are further detailed in Note A2 Departmental Objectives.</w:t>
      </w:r>
    </w:p>
    <w:p w14:paraId="6E80249D" w14:textId="77777777" w:rsidR="006A691E" w:rsidRDefault="006A691E" w:rsidP="006A691E">
      <w:pPr>
        <w:pStyle w:val="Heading3"/>
        <w:rPr>
          <w:rFonts w:ascii="Times New Roman" w:hAnsi="Times New Roman" w:cs="Times New Roman"/>
        </w:rPr>
      </w:pPr>
      <w:r>
        <w:t>A1-2 Compliance with Prescribed Requirements</w:t>
      </w:r>
    </w:p>
    <w:p w14:paraId="45097FAA"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The department has prepared these financial statements in compliance with section 38 of the </w:t>
      </w:r>
      <w:r>
        <w:rPr>
          <w:rFonts w:ascii="Arial" w:hAnsi="Arial" w:cs="Arial"/>
          <w:i/>
          <w:iCs/>
          <w:sz w:val="18"/>
          <w:szCs w:val="18"/>
        </w:rPr>
        <w:t>Financial and Performance Management Standard 2019</w:t>
      </w:r>
      <w:r>
        <w:rPr>
          <w:rFonts w:ascii="Arial" w:hAnsi="Arial" w:cs="Arial"/>
          <w:sz w:val="18"/>
          <w:szCs w:val="18"/>
        </w:rPr>
        <w:t>. The financial statements comply with Queensland Treasury's Minimum Reporting Requirements for reporting periods beginning on or after 1 July 2019.</w:t>
      </w:r>
    </w:p>
    <w:p w14:paraId="18737480"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 is a not-for-profit entity and these general purpose financial statements are prepared on an accrual basis (except for the Statement of Cash Flow which is prepared on a cash basis) in accordance with Australian Accounting Standards and Interpretations applicable to not-for-profit entities.</w:t>
      </w:r>
    </w:p>
    <w:p w14:paraId="204920E1"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New accounting standards applied for the first time in these financial state</w:t>
      </w:r>
      <w:r w:rsidR="00E101AE">
        <w:rPr>
          <w:rFonts w:ascii="Arial" w:hAnsi="Arial" w:cs="Arial"/>
          <w:sz w:val="18"/>
          <w:szCs w:val="18"/>
        </w:rPr>
        <w:t>ments are outlined in Note D4-1</w:t>
      </w:r>
      <w:r>
        <w:rPr>
          <w:rFonts w:ascii="Arial" w:hAnsi="Arial" w:cs="Arial"/>
          <w:sz w:val="18"/>
          <w:szCs w:val="18"/>
        </w:rPr>
        <w:t>.</w:t>
      </w:r>
    </w:p>
    <w:p w14:paraId="307F0B11" w14:textId="77777777" w:rsidR="006A691E" w:rsidRPr="006A691E" w:rsidRDefault="006A691E" w:rsidP="006A691E">
      <w:pPr>
        <w:pStyle w:val="Heading3"/>
      </w:pPr>
      <w:r w:rsidRPr="006A691E">
        <w:t>A1-3 Presentation</w:t>
      </w:r>
    </w:p>
    <w:p w14:paraId="14D84EEA" w14:textId="77777777" w:rsidR="006A691E" w:rsidRDefault="006A691E" w:rsidP="006A691E">
      <w:pPr>
        <w:pStyle w:val="Heading3"/>
        <w:rPr>
          <w:rFonts w:ascii="Arial" w:hAnsi="Arial" w:cs="Arial"/>
        </w:rPr>
      </w:pPr>
      <w:r w:rsidRPr="00723A51">
        <w:t>Currency and Rounding</w:t>
      </w:r>
    </w:p>
    <w:p w14:paraId="49582247" w14:textId="77777777" w:rsidR="002E375F" w:rsidRDefault="00EB2569" w:rsidP="00E101AE">
      <w:pPr>
        <w:autoSpaceDE w:val="0"/>
        <w:autoSpaceDN w:val="0"/>
        <w:adjustRightInd w:val="0"/>
        <w:spacing w:after="141" w:line="240" w:lineRule="auto"/>
        <w:rPr>
          <w:rFonts w:ascii="Arial" w:hAnsi="Arial" w:cs="Arial"/>
          <w:sz w:val="18"/>
          <w:szCs w:val="18"/>
        </w:rPr>
      </w:pPr>
      <w:r>
        <w:rPr>
          <w:rFonts w:ascii="Arial" w:hAnsi="Arial" w:cs="Arial"/>
          <w:sz w:val="18"/>
          <w:szCs w:val="18"/>
        </w:rPr>
        <w:t>Amounts included in the financial statements are in Australian dollars and rounded to the nearest $1,000 or, where that amount is $500 or less, to zero, unless disclosure of the full amount is specifically required.</w:t>
      </w:r>
    </w:p>
    <w:p w14:paraId="5527CB45" w14:textId="77777777" w:rsidR="006A691E" w:rsidRDefault="006A691E" w:rsidP="006A691E">
      <w:pPr>
        <w:pStyle w:val="Heading3"/>
        <w:rPr>
          <w:rFonts w:ascii="Times New Roman" w:hAnsi="Times New Roman" w:cs="Times New Roman"/>
        </w:rPr>
      </w:pPr>
      <w:r w:rsidRPr="00723A51">
        <w:t>Comparatives</w:t>
      </w:r>
    </w:p>
    <w:p w14:paraId="72ADE8DC" w14:textId="77777777" w:rsidR="002E375F" w:rsidRDefault="00EB2569" w:rsidP="00E101AE">
      <w:pPr>
        <w:autoSpaceDE w:val="0"/>
        <w:autoSpaceDN w:val="0"/>
        <w:adjustRightInd w:val="0"/>
        <w:spacing w:after="141" w:line="240" w:lineRule="auto"/>
        <w:rPr>
          <w:rFonts w:ascii="Arial" w:hAnsi="Arial" w:cs="Arial"/>
          <w:sz w:val="18"/>
          <w:szCs w:val="18"/>
        </w:rPr>
      </w:pPr>
      <w:r>
        <w:rPr>
          <w:rFonts w:ascii="Arial" w:hAnsi="Arial" w:cs="Arial"/>
          <w:sz w:val="18"/>
          <w:szCs w:val="18"/>
        </w:rPr>
        <w:t>Comparative information reflects the audited 2018-19 financial statements. The current year is not comparable to the previous year due to the National Disability Insurance Scheme (NDIS) transition and related impacts to the department (refer to Note A3). In particular the following categories have been impacted: appropriation revenue (Note B1-1</w:t>
      </w:r>
      <w:r w:rsidR="006626B2">
        <w:rPr>
          <w:rFonts w:ascii="Arial" w:hAnsi="Arial" w:cs="Arial"/>
          <w:sz w:val="18"/>
          <w:szCs w:val="18"/>
        </w:rPr>
        <w:t>)</w:t>
      </w:r>
      <w:r>
        <w:rPr>
          <w:rFonts w:ascii="Arial" w:hAnsi="Arial" w:cs="Arial"/>
          <w:sz w:val="18"/>
          <w:szCs w:val="18"/>
        </w:rPr>
        <w:t>, employee expenses (Note B2-1</w:t>
      </w:r>
      <w:r w:rsidR="006626B2">
        <w:rPr>
          <w:rFonts w:ascii="Arial" w:hAnsi="Arial" w:cs="Arial"/>
          <w:sz w:val="18"/>
          <w:szCs w:val="18"/>
        </w:rPr>
        <w:t>)</w:t>
      </w:r>
      <w:r>
        <w:rPr>
          <w:rFonts w:ascii="Arial" w:hAnsi="Arial" w:cs="Arial"/>
          <w:sz w:val="18"/>
          <w:szCs w:val="18"/>
        </w:rPr>
        <w:t>, supplies and services (Note B2-2</w:t>
      </w:r>
      <w:r w:rsidR="006626B2">
        <w:rPr>
          <w:rFonts w:ascii="Arial" w:hAnsi="Arial" w:cs="Arial"/>
          <w:sz w:val="18"/>
          <w:szCs w:val="18"/>
        </w:rPr>
        <w:t>)</w:t>
      </w:r>
      <w:r>
        <w:rPr>
          <w:rFonts w:ascii="Arial" w:hAnsi="Arial" w:cs="Arial"/>
          <w:sz w:val="18"/>
          <w:szCs w:val="18"/>
        </w:rPr>
        <w:t xml:space="preserve"> and grants and subsidies (Note B2-3</w:t>
      </w:r>
      <w:r w:rsidR="006626B2">
        <w:rPr>
          <w:rFonts w:ascii="Arial" w:hAnsi="Arial" w:cs="Arial"/>
          <w:sz w:val="18"/>
          <w:szCs w:val="18"/>
        </w:rPr>
        <w:t>)</w:t>
      </w:r>
      <w:r>
        <w:rPr>
          <w:rFonts w:ascii="Arial" w:hAnsi="Arial" w:cs="Arial"/>
          <w:sz w:val="18"/>
          <w:szCs w:val="18"/>
        </w:rPr>
        <w:t>. The comparatives for services received below fair value revenue has been reclassified from other revenue (Note B1-3</w:t>
      </w:r>
      <w:r w:rsidR="006626B2">
        <w:rPr>
          <w:rFonts w:ascii="Arial" w:hAnsi="Arial" w:cs="Arial"/>
          <w:sz w:val="18"/>
          <w:szCs w:val="18"/>
        </w:rPr>
        <w:t>)</w:t>
      </w:r>
      <w:r>
        <w:rPr>
          <w:rFonts w:ascii="Arial" w:hAnsi="Arial" w:cs="Arial"/>
          <w:sz w:val="18"/>
          <w:szCs w:val="18"/>
        </w:rPr>
        <w:t xml:space="preserve"> to grants and other contributions (Note B1-2).</w:t>
      </w:r>
    </w:p>
    <w:p w14:paraId="14CB351D" w14:textId="77777777" w:rsidR="006A691E" w:rsidRPr="006A691E" w:rsidRDefault="006A691E" w:rsidP="006A691E">
      <w:pPr>
        <w:pStyle w:val="Heading3"/>
      </w:pPr>
      <w:r w:rsidRPr="006A691E">
        <w:t>Current/Non-Current Classification</w:t>
      </w:r>
    </w:p>
    <w:p w14:paraId="52C1504F"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Assets and liabilities are classified as either 'current' or 'non-current' in the balance sheet and associated notes.</w:t>
      </w:r>
    </w:p>
    <w:p w14:paraId="5D32B812"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Assets are classified as 'current' where their carrying amount is expected to be realised within 12 months after the reporting date. Liabilities are classified as 'current' when they are due to be settled within 12 months after the reporting date, or the department does not have an unconditional right to defer settlement to beyond 12 months after the reporting date.</w:t>
      </w:r>
    </w:p>
    <w:p w14:paraId="7DCC6E6A" w14:textId="77777777" w:rsidR="002E375F" w:rsidRDefault="00EB2569" w:rsidP="00E101AE">
      <w:pPr>
        <w:autoSpaceDE w:val="0"/>
        <w:autoSpaceDN w:val="0"/>
        <w:adjustRightInd w:val="0"/>
        <w:spacing w:after="141" w:line="240" w:lineRule="auto"/>
        <w:rPr>
          <w:rFonts w:ascii="Arial" w:hAnsi="Arial" w:cs="Arial"/>
          <w:sz w:val="18"/>
          <w:szCs w:val="18"/>
        </w:rPr>
      </w:pPr>
      <w:r>
        <w:rPr>
          <w:rFonts w:ascii="Arial" w:hAnsi="Arial" w:cs="Arial"/>
          <w:sz w:val="18"/>
          <w:szCs w:val="18"/>
        </w:rPr>
        <w:t>All other assets and liabilities are classified as non-current.</w:t>
      </w:r>
    </w:p>
    <w:p w14:paraId="26B4DD95" w14:textId="77777777" w:rsidR="006A691E" w:rsidRPr="006A691E" w:rsidRDefault="006A691E" w:rsidP="006A691E">
      <w:pPr>
        <w:pStyle w:val="Heading3"/>
      </w:pPr>
      <w:r>
        <w:t>A1-4 Authorisation of Financial Statements for Issue</w:t>
      </w:r>
    </w:p>
    <w:p w14:paraId="03A56763" w14:textId="77777777" w:rsidR="002E375F" w:rsidRDefault="00EB2569" w:rsidP="00E101AE">
      <w:pPr>
        <w:autoSpaceDE w:val="0"/>
        <w:autoSpaceDN w:val="0"/>
        <w:adjustRightInd w:val="0"/>
        <w:spacing w:after="141" w:line="240" w:lineRule="auto"/>
        <w:rPr>
          <w:rFonts w:ascii="Arial" w:hAnsi="Arial" w:cs="Arial"/>
          <w:sz w:val="18"/>
          <w:szCs w:val="18"/>
        </w:rPr>
      </w:pPr>
      <w:r>
        <w:rPr>
          <w:rFonts w:ascii="Arial" w:hAnsi="Arial" w:cs="Arial"/>
          <w:sz w:val="18"/>
          <w:szCs w:val="18"/>
        </w:rPr>
        <w:t>The financial statements are authorised for issue by the Director-General and Chief Finance Officer at the date of signing the Management Certificate.</w:t>
      </w:r>
    </w:p>
    <w:p w14:paraId="7B7BF4A9" w14:textId="77777777" w:rsidR="006A691E" w:rsidRPr="006A691E" w:rsidRDefault="006A691E" w:rsidP="006A691E">
      <w:pPr>
        <w:pStyle w:val="Heading3"/>
      </w:pPr>
      <w:r w:rsidRPr="006A691E">
        <w:t>A1-5 Basis of Measurement</w:t>
      </w:r>
    </w:p>
    <w:p w14:paraId="5D660455"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Historical cost is used as the measurement basis in this financial report except for land and buildings which are measured at fair value.</w:t>
      </w:r>
    </w:p>
    <w:p w14:paraId="2DC12458" w14:textId="77777777" w:rsidR="002E375F" w:rsidRDefault="002E375F" w:rsidP="00E101AE">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659C1A49" w14:textId="77777777" w:rsidR="002E375F" w:rsidRDefault="00EB2569" w:rsidP="00F45CE1">
      <w:pPr>
        <w:pStyle w:val="Heading2"/>
        <w:spacing w:before="0"/>
        <w:rPr>
          <w:rFonts w:ascii="Times New Roman" w:hAnsi="Times New Roman" w:cs="Times New Roman"/>
          <w:sz w:val="24"/>
          <w:szCs w:val="24"/>
        </w:rPr>
      </w:pPr>
      <w:r>
        <w:lastRenderedPageBreak/>
        <w:t>Department of Communities, Disability Services and Seniors</w:t>
      </w:r>
    </w:p>
    <w:p w14:paraId="30A945F3" w14:textId="77777777" w:rsidR="002E375F" w:rsidRDefault="00EB2569" w:rsidP="00F45CE1">
      <w:pPr>
        <w:pStyle w:val="Heading2"/>
        <w:spacing w:before="0"/>
        <w:rPr>
          <w:rFonts w:ascii="Times New Roman" w:hAnsi="Times New Roman" w:cs="Times New Roman"/>
          <w:sz w:val="24"/>
          <w:szCs w:val="24"/>
        </w:rPr>
      </w:pPr>
      <w:r>
        <w:t>Notes to the Financial Statements</w:t>
      </w:r>
    </w:p>
    <w:p w14:paraId="68ED568A" w14:textId="77777777" w:rsidR="002E375F" w:rsidRDefault="00EB2569" w:rsidP="00F45CE1">
      <w:pPr>
        <w:pStyle w:val="Heading2"/>
        <w:spacing w:before="0"/>
        <w:rPr>
          <w:rFonts w:ascii="Times New Roman" w:hAnsi="Times New Roman" w:cs="Times New Roman"/>
          <w:sz w:val="24"/>
          <w:szCs w:val="24"/>
        </w:rPr>
      </w:pPr>
      <w:r>
        <w:t>for the year ended 30 June 2020</w:t>
      </w:r>
    </w:p>
    <w:p w14:paraId="741DCF1C"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369F635A" w14:textId="77777777" w:rsidR="00CD6D17" w:rsidRDefault="00CD6D17" w:rsidP="00CD6D17">
      <w:pPr>
        <w:pStyle w:val="Heading3"/>
      </w:pPr>
      <w:r>
        <w:t>A1 Basis of Financial Statement Preparation (continued)</w:t>
      </w:r>
    </w:p>
    <w:p w14:paraId="1BB3490B" w14:textId="77777777" w:rsidR="00CD6D17" w:rsidRDefault="00CD6D17" w:rsidP="00723A51">
      <w:pPr>
        <w:pStyle w:val="Heading3"/>
        <w:rPr>
          <w:sz w:val="18"/>
          <w:szCs w:val="18"/>
        </w:rPr>
      </w:pPr>
      <w:r>
        <w:t>A1-5 Basis of Measurement (continued)</w:t>
      </w:r>
    </w:p>
    <w:p w14:paraId="4805DA33" w14:textId="77777777" w:rsidR="002E375F" w:rsidRPr="00723A51" w:rsidRDefault="00EB2569" w:rsidP="00723A51">
      <w:pPr>
        <w:pStyle w:val="Heading3"/>
        <w:rPr>
          <w:sz w:val="18"/>
          <w:szCs w:val="18"/>
        </w:rPr>
      </w:pPr>
      <w:r w:rsidRPr="00723A51">
        <w:rPr>
          <w:sz w:val="18"/>
          <w:szCs w:val="18"/>
        </w:rPr>
        <w:t>Historical Cost</w:t>
      </w:r>
    </w:p>
    <w:p w14:paraId="2390C101"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Under historical cost, assets are recorded at the amount of cash or cash equivalents paid or the fair value of the consideration given to acquire assets at the time of their acquisition. Liabilities are recorded at the amount of proceeds received in exchange for the obligation or at the amounts of cash or cash equivalents expected to be paid to satisfy the liability in the normal course of business.</w:t>
      </w:r>
    </w:p>
    <w:p w14:paraId="0348FB1D" w14:textId="77777777" w:rsidR="002E375F" w:rsidRPr="00723A51" w:rsidRDefault="00EB2569" w:rsidP="00723A51">
      <w:pPr>
        <w:pStyle w:val="Heading3"/>
        <w:rPr>
          <w:sz w:val="18"/>
          <w:szCs w:val="18"/>
        </w:rPr>
      </w:pPr>
      <w:r w:rsidRPr="00723A51">
        <w:rPr>
          <w:sz w:val="18"/>
          <w:szCs w:val="18"/>
        </w:rPr>
        <w:t>Fair Value</w:t>
      </w:r>
    </w:p>
    <w:p w14:paraId="21D64068" w14:textId="77777777" w:rsidR="002E375F" w:rsidRDefault="00EB2569" w:rsidP="00E101AE">
      <w:pPr>
        <w:autoSpaceDE w:val="0"/>
        <w:autoSpaceDN w:val="0"/>
        <w:adjustRightInd w:val="0"/>
        <w:spacing w:after="141" w:line="240" w:lineRule="auto"/>
        <w:rPr>
          <w:rFonts w:ascii="Arial" w:hAnsi="Arial" w:cs="Arial"/>
          <w:sz w:val="18"/>
          <w:szCs w:val="18"/>
        </w:rPr>
      </w:pPr>
      <w:r>
        <w:rPr>
          <w:rFonts w:ascii="Arial" w:hAnsi="Arial" w:cs="Arial"/>
          <w:sz w:val="18"/>
          <w:szCs w:val="18"/>
        </w:rPr>
        <w:t>Fair value is the price that would be received to sell an asset or paid to transfer a liability in an orderly transaction between market participants at the measurement date under current market conditions (i.e. an exit price) regardless of whether that price is directly derived from observable inputs or estimated using another valuation technique. Where fair value is used, the fair value approach is disclosed. Refer to Note C4-7 for further information about fair value measurement by the department.</w:t>
      </w:r>
    </w:p>
    <w:p w14:paraId="3371AA74" w14:textId="77777777" w:rsidR="006A691E" w:rsidRDefault="006A691E" w:rsidP="006A691E">
      <w:pPr>
        <w:pStyle w:val="Heading3"/>
        <w:rPr>
          <w:rFonts w:ascii="Times New Roman" w:hAnsi="Times New Roman" w:cs="Times New Roman"/>
        </w:rPr>
      </w:pPr>
      <w:r>
        <w:t>A1-6 The Reporting Entity</w:t>
      </w:r>
    </w:p>
    <w:p w14:paraId="2AA4F85D"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reporting entity is the Department of Communities, Disability Services and Seniors. The financial statements include all income, expenses, assets, liabilities and equity of the department.</w:t>
      </w:r>
    </w:p>
    <w:p w14:paraId="15D8C18F" w14:textId="77777777" w:rsidR="002E375F" w:rsidRDefault="00EB2569" w:rsidP="00E101AE">
      <w:pPr>
        <w:autoSpaceDE w:val="0"/>
        <w:autoSpaceDN w:val="0"/>
        <w:adjustRightInd w:val="0"/>
        <w:spacing w:after="141" w:line="240" w:lineRule="auto"/>
        <w:rPr>
          <w:rFonts w:ascii="Arial" w:hAnsi="Arial" w:cs="Arial"/>
          <w:sz w:val="18"/>
          <w:szCs w:val="18"/>
        </w:rPr>
      </w:pPr>
      <w:r>
        <w:rPr>
          <w:rFonts w:ascii="Arial" w:hAnsi="Arial" w:cs="Arial"/>
          <w:sz w:val="18"/>
          <w:szCs w:val="18"/>
        </w:rPr>
        <w:t>The department has not entered into any contractual arrangements which involve the sharing of control or significant influence over another entity. As a result, the department has determined that it does not control any other entity and has no interests in unconsolidated structured entities.</w:t>
      </w:r>
    </w:p>
    <w:p w14:paraId="37864026" w14:textId="77777777" w:rsidR="006A691E" w:rsidRPr="006A691E" w:rsidRDefault="006A691E" w:rsidP="006A691E">
      <w:pPr>
        <w:pStyle w:val="Heading3"/>
      </w:pPr>
      <w:r>
        <w:t>A1-7 Controlled and Administered Transactions and Balances</w:t>
      </w:r>
    </w:p>
    <w:p w14:paraId="3457CA4C"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Transactions and balances are controlled by the department where they can be deployed for the achievement of the departmental objectives.</w:t>
      </w:r>
    </w:p>
    <w:p w14:paraId="26F88CF1"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 administers, but does not control, certain activities on behalf of the State Government. In doing so, it has responsibility for administering those activities (and related transactions and balances) efficiently and effectively, but does not have the discretion to deploy those resources for the achievement of the department's own objectives.</w:t>
      </w:r>
    </w:p>
    <w:p w14:paraId="2843D065"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 has elected to report the administered transactions and balances as discrete financial statements within the agency’s overall financial statements.</w:t>
      </w:r>
    </w:p>
    <w:p w14:paraId="4C9E7A2C"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Accounting policies applicable to administered items are consistent with the equivalent policies for controlled items, unless stated otherwise.</w:t>
      </w:r>
    </w:p>
    <w:p w14:paraId="76C1CEC3"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department's administered ledger is used to administer community recovery disaster costs and the subsequent reimbursement of those costs from the Queensland Reconstruction Authority (QRA) under Commonwealth-state Disaster Recovery Funding Arrangements (DRFA) guidelines and associated State Government programs. Revenues associated with disaster recovery claims are recognised as grants and other contributions. Administered transactions also include the payment of concessions (such as electricity rebates) to eligible recipients (refer to G1-4</w:t>
      </w:r>
      <w:r w:rsidR="006626B2">
        <w:rPr>
          <w:rFonts w:ascii="Arial" w:hAnsi="Arial" w:cs="Arial"/>
          <w:sz w:val="18"/>
          <w:szCs w:val="18"/>
        </w:rPr>
        <w:t>)</w:t>
      </w:r>
      <w:r>
        <w:rPr>
          <w:rFonts w:ascii="Arial" w:hAnsi="Arial" w:cs="Arial"/>
          <w:sz w:val="18"/>
          <w:szCs w:val="18"/>
        </w:rPr>
        <w:t>.</w:t>
      </w:r>
    </w:p>
    <w:p w14:paraId="0425F472" w14:textId="77777777" w:rsidR="002E375F" w:rsidRDefault="00EB2569" w:rsidP="00E101AE">
      <w:pPr>
        <w:autoSpaceDE w:val="0"/>
        <w:autoSpaceDN w:val="0"/>
        <w:adjustRightInd w:val="0"/>
        <w:spacing w:after="141" w:line="240" w:lineRule="auto"/>
        <w:rPr>
          <w:rFonts w:ascii="Arial" w:hAnsi="Arial" w:cs="Arial"/>
          <w:sz w:val="18"/>
          <w:szCs w:val="18"/>
        </w:rPr>
      </w:pPr>
      <w:r>
        <w:rPr>
          <w:rFonts w:ascii="Arial" w:hAnsi="Arial" w:cs="Arial"/>
          <w:sz w:val="18"/>
          <w:szCs w:val="18"/>
        </w:rPr>
        <w:t>The State Government’s contribution to the National Disability Insurance Agency (NDIA) is recognised as grant payments in the administered ledger (refer to G1-4</w:t>
      </w:r>
      <w:r w:rsidR="006626B2">
        <w:rPr>
          <w:rFonts w:ascii="Arial" w:hAnsi="Arial" w:cs="Arial"/>
          <w:sz w:val="18"/>
          <w:szCs w:val="18"/>
        </w:rPr>
        <w:t>)</w:t>
      </w:r>
      <w:r>
        <w:rPr>
          <w:rFonts w:ascii="Arial" w:hAnsi="Arial" w:cs="Arial"/>
          <w:sz w:val="18"/>
          <w:szCs w:val="18"/>
        </w:rPr>
        <w:t>.</w:t>
      </w:r>
    </w:p>
    <w:p w14:paraId="3F1F7894" w14:textId="77777777" w:rsidR="006A691E" w:rsidRPr="006A691E" w:rsidRDefault="006A691E" w:rsidP="006A691E">
      <w:pPr>
        <w:pStyle w:val="Heading3"/>
      </w:pPr>
      <w:r>
        <w:t>A1-8 Taxation</w:t>
      </w:r>
    </w:p>
    <w:p w14:paraId="3561A453"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The department is a State body as defined under the </w:t>
      </w:r>
      <w:r>
        <w:rPr>
          <w:rFonts w:ascii="Arial" w:hAnsi="Arial" w:cs="Arial"/>
          <w:i/>
          <w:iCs/>
          <w:sz w:val="18"/>
          <w:szCs w:val="18"/>
        </w:rPr>
        <w:t>Income Tax Assessment Act 1936</w:t>
      </w:r>
      <w:r>
        <w:rPr>
          <w:rFonts w:ascii="Arial" w:hAnsi="Arial" w:cs="Arial"/>
          <w:sz w:val="18"/>
          <w:szCs w:val="18"/>
        </w:rPr>
        <w:t xml:space="preserve"> and is exempt from Commonwealth taxation with the exception of Fringe Benefits Tax (FBT) and Goods and Services Tax (GST). FBT and GST are the only taxes accounted for by the department. GST credits receivable from, and GST payable to, the Australian Taxation Office (ATO) are recognised (refer to Note C2).</w:t>
      </w:r>
    </w:p>
    <w:p w14:paraId="7DE9E6D4" w14:textId="77777777" w:rsidR="002E375F" w:rsidRDefault="002E375F" w:rsidP="00E101AE">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11495BB0" w14:textId="77777777" w:rsidR="002E375F" w:rsidRDefault="00EB2569" w:rsidP="00F45CE1">
      <w:pPr>
        <w:pStyle w:val="Heading2"/>
        <w:spacing w:before="0"/>
        <w:rPr>
          <w:rFonts w:ascii="Times New Roman" w:hAnsi="Times New Roman" w:cs="Times New Roman"/>
          <w:sz w:val="24"/>
          <w:szCs w:val="24"/>
        </w:rPr>
      </w:pPr>
      <w:r>
        <w:lastRenderedPageBreak/>
        <w:t>Department of Communities, Disability Services and Seniors</w:t>
      </w:r>
    </w:p>
    <w:p w14:paraId="464F2E67" w14:textId="77777777" w:rsidR="002E375F" w:rsidRDefault="00EB2569" w:rsidP="00F45CE1">
      <w:pPr>
        <w:pStyle w:val="Heading2"/>
        <w:spacing w:before="0"/>
        <w:rPr>
          <w:rFonts w:ascii="Times New Roman" w:hAnsi="Times New Roman" w:cs="Times New Roman"/>
          <w:sz w:val="24"/>
          <w:szCs w:val="24"/>
        </w:rPr>
      </w:pPr>
      <w:r>
        <w:t>Notes to the Financial Statements</w:t>
      </w:r>
    </w:p>
    <w:p w14:paraId="66B3F97C" w14:textId="77777777" w:rsidR="002E375F" w:rsidRDefault="00EB2569" w:rsidP="00F45CE1">
      <w:pPr>
        <w:pStyle w:val="Heading2"/>
        <w:spacing w:before="0"/>
        <w:rPr>
          <w:rFonts w:ascii="Times New Roman" w:hAnsi="Times New Roman" w:cs="Times New Roman"/>
          <w:sz w:val="24"/>
          <w:szCs w:val="24"/>
        </w:rPr>
      </w:pPr>
      <w:r>
        <w:t>for the year ended 30 June 2020</w:t>
      </w:r>
    </w:p>
    <w:p w14:paraId="2177029C"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6DABD81C" w14:textId="77777777" w:rsidR="006A691E" w:rsidRPr="006A691E" w:rsidRDefault="006A691E" w:rsidP="006A691E">
      <w:pPr>
        <w:pStyle w:val="Heading3"/>
      </w:pPr>
      <w:r>
        <w:t>A2 Departmental Objectives</w:t>
      </w:r>
    </w:p>
    <w:p w14:paraId="748EA846"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department's vision is to create thriving Queensland communities, where people of all ages, abilities and backgrounds can participate, are included and resilient, and enjoy high levels of social and economic wellbeing.</w:t>
      </w:r>
    </w:p>
    <w:p w14:paraId="1FDA7A3F" w14:textId="77777777" w:rsidR="002E375F" w:rsidRDefault="00EB2569" w:rsidP="00E101AE">
      <w:pPr>
        <w:autoSpaceDE w:val="0"/>
        <w:autoSpaceDN w:val="0"/>
        <w:adjustRightInd w:val="0"/>
        <w:spacing w:after="141" w:line="240" w:lineRule="auto"/>
        <w:rPr>
          <w:rFonts w:ascii="Arial" w:hAnsi="Arial" w:cs="Arial"/>
          <w:sz w:val="18"/>
          <w:szCs w:val="18"/>
        </w:rPr>
      </w:pPr>
      <w:r>
        <w:rPr>
          <w:rFonts w:ascii="Arial" w:hAnsi="Arial" w:cs="Arial"/>
          <w:sz w:val="18"/>
          <w:szCs w:val="18"/>
        </w:rPr>
        <w:t xml:space="preserve">The department contributes to the State Government's objectives for the community </w:t>
      </w:r>
      <w:r>
        <w:rPr>
          <w:rFonts w:ascii="Arial" w:hAnsi="Arial" w:cs="Arial"/>
          <w:i/>
          <w:iCs/>
          <w:sz w:val="18"/>
          <w:szCs w:val="18"/>
        </w:rPr>
        <w:t>Our Future State: Advancing Queensland's Priorities</w:t>
      </w:r>
      <w:r>
        <w:rPr>
          <w:rFonts w:ascii="Arial" w:hAnsi="Arial" w:cs="Arial"/>
          <w:sz w:val="18"/>
          <w:szCs w:val="18"/>
        </w:rPr>
        <w:t>:</w:t>
      </w:r>
    </w:p>
    <w:p w14:paraId="1B907D42" w14:textId="77777777" w:rsidR="006A691E" w:rsidRPr="006A691E" w:rsidRDefault="006A691E" w:rsidP="00E101AE">
      <w:pPr>
        <w:pStyle w:val="ListParagraph"/>
        <w:numPr>
          <w:ilvl w:val="0"/>
          <w:numId w:val="4"/>
        </w:numPr>
        <w:autoSpaceDE w:val="0"/>
        <w:autoSpaceDN w:val="0"/>
        <w:adjustRightInd w:val="0"/>
        <w:spacing w:after="141" w:line="240" w:lineRule="auto"/>
        <w:rPr>
          <w:rFonts w:ascii="Arial" w:hAnsi="Arial" w:cs="Arial"/>
          <w:sz w:val="18"/>
          <w:szCs w:val="18"/>
        </w:rPr>
      </w:pPr>
      <w:r w:rsidRPr="006A691E">
        <w:rPr>
          <w:rFonts w:ascii="Arial" w:hAnsi="Arial" w:cs="Arial"/>
          <w:sz w:val="18"/>
          <w:szCs w:val="18"/>
        </w:rPr>
        <w:t>Create jobs in a strong economy by engaging and partnering with peak organisations and associations, and managing the State Government's ongoing investment in the NDIS;</w:t>
      </w:r>
    </w:p>
    <w:p w14:paraId="11221390" w14:textId="77777777" w:rsidR="006A691E" w:rsidRPr="006A691E" w:rsidRDefault="006A691E" w:rsidP="00E101AE">
      <w:pPr>
        <w:pStyle w:val="ListParagraph"/>
        <w:numPr>
          <w:ilvl w:val="0"/>
          <w:numId w:val="4"/>
        </w:numPr>
        <w:autoSpaceDE w:val="0"/>
        <w:autoSpaceDN w:val="0"/>
        <w:adjustRightInd w:val="0"/>
        <w:spacing w:after="141" w:line="240" w:lineRule="auto"/>
        <w:rPr>
          <w:rFonts w:ascii="Arial" w:hAnsi="Arial" w:cs="Arial"/>
          <w:sz w:val="18"/>
          <w:szCs w:val="18"/>
        </w:rPr>
      </w:pPr>
      <w:r w:rsidRPr="006A691E">
        <w:rPr>
          <w:rFonts w:ascii="Arial" w:hAnsi="Arial" w:cs="Arial"/>
          <w:sz w:val="18"/>
          <w:szCs w:val="18"/>
        </w:rPr>
        <w:t>Give all our children a great start by supporting vulnerable Queensland families and delivering place-based and local solutions in our communities;</w:t>
      </w:r>
    </w:p>
    <w:p w14:paraId="635532D5" w14:textId="77777777" w:rsidR="006A691E" w:rsidRPr="006A691E" w:rsidRDefault="006A691E" w:rsidP="00E101AE">
      <w:pPr>
        <w:pStyle w:val="ListParagraph"/>
        <w:numPr>
          <w:ilvl w:val="0"/>
          <w:numId w:val="4"/>
        </w:numPr>
        <w:autoSpaceDE w:val="0"/>
        <w:autoSpaceDN w:val="0"/>
        <w:adjustRightInd w:val="0"/>
        <w:spacing w:after="141" w:line="240" w:lineRule="auto"/>
        <w:rPr>
          <w:rFonts w:ascii="Arial" w:hAnsi="Arial" w:cs="Arial"/>
          <w:sz w:val="18"/>
          <w:szCs w:val="18"/>
        </w:rPr>
      </w:pPr>
      <w:r w:rsidRPr="006A691E">
        <w:rPr>
          <w:rFonts w:ascii="Arial" w:hAnsi="Arial" w:cs="Arial"/>
          <w:sz w:val="18"/>
          <w:szCs w:val="18"/>
        </w:rPr>
        <w:t>Keep Queenslanders healthy by delivering targeted programs aimed at improving the wellbeing of individuals requiring community, disability or seniors services;</w:t>
      </w:r>
    </w:p>
    <w:p w14:paraId="568C0612" w14:textId="77777777" w:rsidR="006A691E" w:rsidRPr="006A691E" w:rsidRDefault="006A691E" w:rsidP="00E101AE">
      <w:pPr>
        <w:pStyle w:val="ListParagraph"/>
        <w:numPr>
          <w:ilvl w:val="0"/>
          <w:numId w:val="4"/>
        </w:numPr>
        <w:autoSpaceDE w:val="0"/>
        <w:autoSpaceDN w:val="0"/>
        <w:adjustRightInd w:val="0"/>
        <w:spacing w:after="141" w:line="240" w:lineRule="auto"/>
        <w:rPr>
          <w:rFonts w:ascii="Arial" w:hAnsi="Arial" w:cs="Arial"/>
          <w:sz w:val="18"/>
          <w:szCs w:val="18"/>
        </w:rPr>
      </w:pPr>
      <w:r w:rsidRPr="006A691E">
        <w:rPr>
          <w:rFonts w:ascii="Arial" w:hAnsi="Arial" w:cs="Arial"/>
          <w:sz w:val="18"/>
          <w:szCs w:val="18"/>
        </w:rPr>
        <w:t>Keep communities safe by contributing to programs and initiatives to support seniors, people with disability experiencing domestic and family violence and Queenslanders affected by a disaster;</w:t>
      </w:r>
    </w:p>
    <w:p w14:paraId="54D1C192" w14:textId="77777777" w:rsidR="006A691E" w:rsidRPr="004212EA" w:rsidRDefault="006A691E" w:rsidP="00E101AE">
      <w:pPr>
        <w:pStyle w:val="ListParagraph"/>
        <w:numPr>
          <w:ilvl w:val="0"/>
          <w:numId w:val="3"/>
        </w:numPr>
        <w:autoSpaceDE w:val="0"/>
        <w:autoSpaceDN w:val="0"/>
        <w:adjustRightInd w:val="0"/>
        <w:spacing w:after="141" w:line="240" w:lineRule="auto"/>
        <w:rPr>
          <w:rFonts w:ascii="Arial" w:hAnsi="Arial" w:cs="Arial"/>
          <w:sz w:val="18"/>
          <w:szCs w:val="18"/>
        </w:rPr>
      </w:pPr>
      <w:r w:rsidRPr="006A691E">
        <w:rPr>
          <w:rFonts w:ascii="Arial" w:hAnsi="Arial" w:cs="Arial"/>
          <w:sz w:val="18"/>
          <w:szCs w:val="18"/>
        </w:rPr>
        <w:t>Be a responsive government by ensuring streamlined access to the services we deliver or fund with online services developed using a 'tell us once' approach.</w:t>
      </w:r>
    </w:p>
    <w:p w14:paraId="0DFBE080" w14:textId="77777777" w:rsidR="002E375F" w:rsidRDefault="00EB2569" w:rsidP="00E101AE">
      <w:pPr>
        <w:autoSpaceDE w:val="0"/>
        <w:autoSpaceDN w:val="0"/>
        <w:adjustRightInd w:val="0"/>
        <w:spacing w:after="141" w:line="240" w:lineRule="auto"/>
        <w:rPr>
          <w:rFonts w:ascii="Arial" w:hAnsi="Arial" w:cs="Arial"/>
          <w:sz w:val="18"/>
          <w:szCs w:val="18"/>
        </w:rPr>
      </w:pPr>
      <w:r>
        <w:rPr>
          <w:rFonts w:ascii="Arial" w:hAnsi="Arial" w:cs="Arial"/>
          <w:sz w:val="18"/>
          <w:szCs w:val="18"/>
        </w:rPr>
        <w:t>The service area objectives of the department cover the below two key areas:</w:t>
      </w:r>
    </w:p>
    <w:p w14:paraId="12E0358A" w14:textId="77777777" w:rsidR="006A691E" w:rsidRPr="006A691E" w:rsidRDefault="006A691E" w:rsidP="00E101AE">
      <w:pPr>
        <w:pStyle w:val="ListParagraph"/>
        <w:numPr>
          <w:ilvl w:val="0"/>
          <w:numId w:val="6"/>
        </w:numPr>
        <w:autoSpaceDE w:val="0"/>
        <w:autoSpaceDN w:val="0"/>
        <w:adjustRightInd w:val="0"/>
        <w:spacing w:after="141" w:line="240" w:lineRule="auto"/>
        <w:rPr>
          <w:rFonts w:ascii="Arial" w:hAnsi="Arial" w:cs="Arial"/>
          <w:sz w:val="18"/>
          <w:szCs w:val="18"/>
        </w:rPr>
      </w:pPr>
      <w:r w:rsidRPr="006A691E">
        <w:rPr>
          <w:rFonts w:ascii="Arial" w:hAnsi="Arial" w:cs="Arial"/>
          <w:sz w:val="18"/>
          <w:szCs w:val="18"/>
        </w:rPr>
        <w:t>Disability Services: As part of building inclusive communities, improving social and economic outcomes for people with disability and supporting the disability sector, through strategy development and the design and delivery of high quality supports and services.</w:t>
      </w:r>
    </w:p>
    <w:p w14:paraId="3E72BAF6" w14:textId="77777777" w:rsidR="006A691E" w:rsidRPr="004212EA" w:rsidRDefault="006A691E" w:rsidP="00E101AE">
      <w:pPr>
        <w:pStyle w:val="ListParagraph"/>
        <w:numPr>
          <w:ilvl w:val="0"/>
          <w:numId w:val="3"/>
        </w:numPr>
        <w:autoSpaceDE w:val="0"/>
        <w:autoSpaceDN w:val="0"/>
        <w:adjustRightInd w:val="0"/>
        <w:spacing w:after="141" w:line="240" w:lineRule="auto"/>
        <w:rPr>
          <w:rFonts w:ascii="Arial" w:hAnsi="Arial" w:cs="Arial"/>
          <w:sz w:val="18"/>
          <w:szCs w:val="18"/>
        </w:rPr>
      </w:pPr>
      <w:r w:rsidRPr="006A691E">
        <w:rPr>
          <w:rFonts w:ascii="Arial" w:hAnsi="Arial" w:cs="Arial"/>
          <w:sz w:val="18"/>
          <w:szCs w:val="18"/>
        </w:rPr>
        <w:t>Community and Seniors Services: To support communities to thrive through investing in quality community and seniors services that are connected and support the social and economic inclusion and wellbeing of people of all ages, abilities and backgrounds.</w:t>
      </w:r>
    </w:p>
    <w:p w14:paraId="527B4250" w14:textId="77777777" w:rsidR="002E375F" w:rsidRDefault="00EB2569" w:rsidP="00E101AE">
      <w:pPr>
        <w:autoSpaceDE w:val="0"/>
        <w:autoSpaceDN w:val="0"/>
        <w:adjustRightInd w:val="0"/>
        <w:spacing w:after="141" w:line="240" w:lineRule="auto"/>
        <w:rPr>
          <w:rFonts w:ascii="Arial" w:hAnsi="Arial" w:cs="Arial"/>
          <w:sz w:val="18"/>
          <w:szCs w:val="18"/>
        </w:rPr>
      </w:pPr>
      <w:r>
        <w:rPr>
          <w:rFonts w:ascii="Arial" w:hAnsi="Arial" w:cs="Arial"/>
          <w:sz w:val="18"/>
          <w:szCs w:val="18"/>
        </w:rPr>
        <w:t>The department is funded for the departmental services it delivers principally by parliamentary appropriations. It also provides the following on a fee for service basis:</w:t>
      </w:r>
    </w:p>
    <w:p w14:paraId="5DABD3D2" w14:textId="77777777" w:rsidR="006A691E" w:rsidRPr="006A691E" w:rsidRDefault="006A691E" w:rsidP="00E101AE">
      <w:pPr>
        <w:pStyle w:val="ListParagraph"/>
        <w:numPr>
          <w:ilvl w:val="0"/>
          <w:numId w:val="3"/>
        </w:numPr>
        <w:autoSpaceDE w:val="0"/>
        <w:autoSpaceDN w:val="0"/>
        <w:adjustRightInd w:val="0"/>
        <w:spacing w:after="141" w:line="240" w:lineRule="auto"/>
        <w:rPr>
          <w:rFonts w:ascii="Arial" w:hAnsi="Arial" w:cs="Arial"/>
          <w:sz w:val="18"/>
          <w:szCs w:val="18"/>
        </w:rPr>
      </w:pPr>
      <w:r w:rsidRPr="006A691E">
        <w:rPr>
          <w:rFonts w:ascii="Arial" w:hAnsi="Arial" w:cs="Arial"/>
          <w:sz w:val="18"/>
          <w:szCs w:val="18"/>
        </w:rPr>
        <w:t>Various corporate services functions provided to the Department of Aboriginal and Torres Strait Islander Partnerships, Department of Housing and Public Works and the Department of Child Safety, Youth and Women via Memorandum of Understanding agreements.</w:t>
      </w:r>
    </w:p>
    <w:p w14:paraId="23EA1A8C" w14:textId="77777777" w:rsidR="006A691E" w:rsidRPr="006A691E" w:rsidRDefault="006A691E" w:rsidP="00E101AE">
      <w:pPr>
        <w:pStyle w:val="ListParagraph"/>
        <w:numPr>
          <w:ilvl w:val="0"/>
          <w:numId w:val="3"/>
        </w:numPr>
        <w:autoSpaceDE w:val="0"/>
        <w:autoSpaceDN w:val="0"/>
        <w:adjustRightInd w:val="0"/>
        <w:spacing w:after="141" w:line="240" w:lineRule="auto"/>
        <w:rPr>
          <w:rFonts w:ascii="Arial" w:hAnsi="Arial" w:cs="Arial"/>
          <w:sz w:val="18"/>
          <w:szCs w:val="18"/>
        </w:rPr>
      </w:pPr>
      <w:r w:rsidRPr="006A691E">
        <w:rPr>
          <w:rFonts w:ascii="Arial" w:hAnsi="Arial" w:cs="Arial"/>
          <w:sz w:val="18"/>
          <w:szCs w:val="18"/>
        </w:rPr>
        <w:t>Application fees for an assessment of persons seeking engagement to work in disability services delivered or funded by the department.</w:t>
      </w:r>
    </w:p>
    <w:p w14:paraId="67093EFB" w14:textId="77777777" w:rsidR="002E375F" w:rsidRDefault="00EB2569" w:rsidP="00E101AE">
      <w:pPr>
        <w:autoSpaceDE w:val="0"/>
        <w:autoSpaceDN w:val="0"/>
        <w:adjustRightInd w:val="0"/>
        <w:spacing w:after="141" w:line="240" w:lineRule="auto"/>
        <w:rPr>
          <w:rFonts w:ascii="Arial" w:hAnsi="Arial" w:cs="Arial"/>
          <w:sz w:val="18"/>
          <w:szCs w:val="18"/>
        </w:rPr>
      </w:pPr>
      <w:r>
        <w:rPr>
          <w:rFonts w:ascii="Arial" w:hAnsi="Arial" w:cs="Arial"/>
          <w:sz w:val="18"/>
          <w:szCs w:val="18"/>
        </w:rPr>
        <w:t>The provision of internal audit and compliance services to the Department of Child Safety, Youth and Women ceased during 2019-20.</w:t>
      </w:r>
    </w:p>
    <w:p w14:paraId="68C20005" w14:textId="77777777" w:rsidR="006A691E" w:rsidRPr="006A691E" w:rsidRDefault="006A691E" w:rsidP="006A691E">
      <w:pPr>
        <w:pStyle w:val="Heading3"/>
      </w:pPr>
      <w:r w:rsidRPr="006A691E">
        <w:t>A3 National Disability Insurance Scheme</w:t>
      </w:r>
    </w:p>
    <w:p w14:paraId="75879BAD"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NDIS is now available throughout Queensland. The NDIS full scheme agreement was signed by the State Government and Commonwealth on 9 July 2019 with existing transitional arrangements to continue until at least 1 July 2020.</w:t>
      </w:r>
    </w:p>
    <w:p w14:paraId="6E6C3035"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As clients transitioned, existing service providers funded by the department are no longer funded to deliver services to eligible NDIS clients (refer to Note D3-4</w:t>
      </w:r>
      <w:r w:rsidR="006626B2">
        <w:rPr>
          <w:rFonts w:ascii="Arial" w:hAnsi="Arial" w:cs="Arial"/>
          <w:sz w:val="18"/>
          <w:szCs w:val="18"/>
        </w:rPr>
        <w:t>)</w:t>
      </w:r>
      <w:r>
        <w:rPr>
          <w:rFonts w:ascii="Arial" w:hAnsi="Arial" w:cs="Arial"/>
          <w:sz w:val="18"/>
          <w:szCs w:val="18"/>
        </w:rPr>
        <w:t xml:space="preserve"> and the department continued to experience a commensurate reduction in its workforce (refer to Note D3-5</w:t>
      </w:r>
      <w:r w:rsidR="006626B2">
        <w:rPr>
          <w:rFonts w:ascii="Arial" w:hAnsi="Arial" w:cs="Arial"/>
          <w:sz w:val="18"/>
          <w:szCs w:val="18"/>
        </w:rPr>
        <w:t>)</w:t>
      </w:r>
      <w:r>
        <w:rPr>
          <w:rFonts w:ascii="Arial" w:hAnsi="Arial" w:cs="Arial"/>
          <w:sz w:val="18"/>
          <w:szCs w:val="18"/>
        </w:rPr>
        <w:t>.</w:t>
      </w:r>
    </w:p>
    <w:p w14:paraId="478264E7" w14:textId="77777777" w:rsidR="002E375F" w:rsidRDefault="002E375F" w:rsidP="00E101AE">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7065D14D" w14:textId="77777777" w:rsidR="002E375F" w:rsidRDefault="00EB2569" w:rsidP="00F45CE1">
      <w:pPr>
        <w:pStyle w:val="Heading2"/>
        <w:spacing w:before="0"/>
        <w:rPr>
          <w:rFonts w:ascii="Times New Roman" w:hAnsi="Times New Roman" w:cs="Times New Roman"/>
          <w:sz w:val="24"/>
          <w:szCs w:val="24"/>
        </w:rPr>
      </w:pPr>
      <w:r>
        <w:lastRenderedPageBreak/>
        <w:t>Department of Communities, Disability Services and Seniors</w:t>
      </w:r>
    </w:p>
    <w:p w14:paraId="0D1B5995" w14:textId="77777777" w:rsidR="002E375F" w:rsidRDefault="00EB2569" w:rsidP="00F45CE1">
      <w:pPr>
        <w:pStyle w:val="Heading2"/>
        <w:spacing w:before="0"/>
        <w:rPr>
          <w:rFonts w:ascii="Times New Roman" w:hAnsi="Times New Roman" w:cs="Times New Roman"/>
          <w:sz w:val="24"/>
          <w:szCs w:val="24"/>
        </w:rPr>
      </w:pPr>
      <w:r>
        <w:t>Notes to the Financial Statements</w:t>
      </w:r>
    </w:p>
    <w:p w14:paraId="6D485E1A" w14:textId="77777777" w:rsidR="002E375F" w:rsidRDefault="00EB2569" w:rsidP="00F45CE1">
      <w:pPr>
        <w:pStyle w:val="Heading2"/>
        <w:spacing w:before="0"/>
        <w:rPr>
          <w:rFonts w:ascii="Times New Roman" w:hAnsi="Times New Roman" w:cs="Times New Roman"/>
          <w:sz w:val="24"/>
          <w:szCs w:val="24"/>
        </w:rPr>
      </w:pPr>
      <w:r>
        <w:t>for the year ended 30 June 2020</w:t>
      </w:r>
    </w:p>
    <w:p w14:paraId="0C4EF566"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4C28F789" w14:textId="77777777" w:rsidR="004212EA" w:rsidRDefault="004212EA" w:rsidP="004212EA">
      <w:pPr>
        <w:pStyle w:val="Heading3"/>
        <w:rPr>
          <w:rFonts w:ascii="Arial" w:hAnsi="Arial" w:cs="Arial"/>
          <w:sz w:val="18"/>
          <w:szCs w:val="18"/>
        </w:rPr>
      </w:pPr>
      <w:r>
        <w:t>A3 National Disability Insurance Scheme (continued)</w:t>
      </w:r>
    </w:p>
    <w:p w14:paraId="5AAD266C" w14:textId="77777777" w:rsidR="002E375F" w:rsidRDefault="00EB2569" w:rsidP="00E101AE">
      <w:pPr>
        <w:autoSpaceDE w:val="0"/>
        <w:autoSpaceDN w:val="0"/>
        <w:adjustRightInd w:val="0"/>
        <w:spacing w:after="141" w:line="240" w:lineRule="auto"/>
        <w:rPr>
          <w:rFonts w:ascii="Arial" w:hAnsi="Arial" w:cs="Arial"/>
          <w:sz w:val="18"/>
          <w:szCs w:val="18"/>
        </w:rPr>
      </w:pPr>
      <w:r>
        <w:rPr>
          <w:rFonts w:ascii="Arial" w:hAnsi="Arial" w:cs="Arial"/>
          <w:sz w:val="18"/>
          <w:szCs w:val="18"/>
        </w:rPr>
        <w:t xml:space="preserve">The department continues to monitor the NDIS to ensure it delivers the promised client outcomes and value for money for the State Government investment. The department continues making payments to the NDIA for the NDIS pursuant to s179 </w:t>
      </w:r>
      <w:r>
        <w:rPr>
          <w:rFonts w:ascii="Arial" w:hAnsi="Arial" w:cs="Arial"/>
          <w:i/>
          <w:iCs/>
          <w:sz w:val="18"/>
          <w:szCs w:val="18"/>
        </w:rPr>
        <w:t>National Disability Insurance Act 2013</w:t>
      </w:r>
      <w:r>
        <w:rPr>
          <w:rFonts w:ascii="Arial" w:hAnsi="Arial" w:cs="Arial"/>
          <w:sz w:val="18"/>
          <w:szCs w:val="18"/>
        </w:rPr>
        <w:t>. These payments are recognised as administered grants and contributions (refer to Note A1-7</w:t>
      </w:r>
      <w:r w:rsidR="006626B2">
        <w:rPr>
          <w:rFonts w:ascii="Arial" w:hAnsi="Arial" w:cs="Arial"/>
          <w:sz w:val="18"/>
          <w:szCs w:val="18"/>
        </w:rPr>
        <w:t>)</w:t>
      </w:r>
      <w:r>
        <w:rPr>
          <w:rFonts w:ascii="Arial" w:hAnsi="Arial" w:cs="Arial"/>
          <w:sz w:val="18"/>
          <w:szCs w:val="18"/>
        </w:rPr>
        <w:t>.</w:t>
      </w:r>
    </w:p>
    <w:p w14:paraId="3FA7ED67" w14:textId="77777777" w:rsidR="004212EA" w:rsidRDefault="004212EA" w:rsidP="004212EA">
      <w:pPr>
        <w:pStyle w:val="Heading3"/>
        <w:rPr>
          <w:rFonts w:ascii="Times New Roman" w:hAnsi="Times New Roman" w:cs="Times New Roman"/>
        </w:rPr>
      </w:pPr>
      <w:r>
        <w:t>A4 Volunteer Services and Contribution of Services between Agencies</w:t>
      </w:r>
    </w:p>
    <w:p w14:paraId="284B5F09" w14:textId="77777777" w:rsidR="002E375F" w:rsidRDefault="00EB2569" w:rsidP="00E101AE">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The department co-ordinates the community recovery process on behalf of the State Government with government employees providing assistance during times of natural disasters and other emergencies. The registered employees are members of the Queensland Government Ready Reserve. Although the employees are paid by their own entities, the department receives the services of members of the Queensland Government Ready Reserve for no cost.</w:t>
      </w:r>
    </w:p>
    <w:p w14:paraId="6E89B535" w14:textId="77777777" w:rsidR="002E375F" w:rsidRDefault="002E375F" w:rsidP="00E101AE">
      <w:pPr>
        <w:autoSpaceDE w:val="0"/>
        <w:autoSpaceDN w:val="0"/>
        <w:adjustRightInd w:val="0"/>
        <w:spacing w:after="0" w:line="240" w:lineRule="auto"/>
        <w:rPr>
          <w:rFonts w:ascii="Times New Roman" w:hAnsi="Times New Roman" w:cs="Times New Roman"/>
          <w:sz w:val="24"/>
          <w:szCs w:val="24"/>
        </w:rPr>
      </w:pPr>
    </w:p>
    <w:p w14:paraId="33F9A366" w14:textId="77777777" w:rsidR="002E375F" w:rsidRDefault="00EB2569" w:rsidP="00E101AE">
      <w:pPr>
        <w:autoSpaceDE w:val="0"/>
        <w:autoSpaceDN w:val="0"/>
        <w:adjustRightInd w:val="0"/>
        <w:spacing w:after="141" w:line="240" w:lineRule="auto"/>
        <w:rPr>
          <w:rFonts w:ascii="Arial" w:hAnsi="Arial" w:cs="Arial"/>
          <w:sz w:val="18"/>
          <w:szCs w:val="18"/>
        </w:rPr>
      </w:pPr>
      <w:r>
        <w:rPr>
          <w:rFonts w:ascii="Arial" w:hAnsi="Arial" w:cs="Arial"/>
          <w:sz w:val="18"/>
          <w:szCs w:val="18"/>
        </w:rPr>
        <w:t xml:space="preserve">As the fair value of the services received can be measured reliably, and the services would have been purchased had they not been donated, the department is required to disclose its dependence on the value of volunteer services received in accordance with the guidelines outlined as per AASB 1058 </w:t>
      </w:r>
      <w:r>
        <w:rPr>
          <w:rFonts w:ascii="Arial" w:hAnsi="Arial" w:cs="Arial"/>
          <w:i/>
          <w:iCs/>
          <w:sz w:val="18"/>
          <w:szCs w:val="18"/>
        </w:rPr>
        <w:t>Income of Not-for-Profit-Entities</w:t>
      </w:r>
      <w:r>
        <w:rPr>
          <w:rFonts w:ascii="Arial" w:hAnsi="Arial" w:cs="Arial"/>
          <w:sz w:val="18"/>
          <w:szCs w:val="18"/>
        </w:rPr>
        <w:t>. The total fair value of volunteer services received from other government agencies as part of community recovery activities is estimated to be $2.009M (2018-19: $4.782M). This amount has been recognised as an equivalent revenue and expense in the 2019-20 financial statements.</w:t>
      </w:r>
    </w:p>
    <w:p w14:paraId="0AFE3E53" w14:textId="77777777" w:rsidR="00CD6D17" w:rsidRDefault="00CD6D17" w:rsidP="00CD6D17">
      <w:pPr>
        <w:pStyle w:val="Heading3"/>
      </w:pPr>
      <w:r>
        <w:t>B1 Revenue</w:t>
      </w:r>
    </w:p>
    <w:p w14:paraId="56A9A774" w14:textId="77777777" w:rsidR="00CD6D17" w:rsidRDefault="00CD6D17" w:rsidP="00CD6D17">
      <w:pPr>
        <w:pStyle w:val="Heading3"/>
        <w:rPr>
          <w:rFonts w:ascii="Times New Roman" w:hAnsi="Times New Roman" w:cs="Times New Roman"/>
        </w:rPr>
      </w:pPr>
      <w:r>
        <w:t>B1-1 Appropriation Revenue</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007F2C71" w14:textId="77777777" w:rsidTr="00CD6D17">
        <w:tc>
          <w:tcPr>
            <w:tcW w:w="7124" w:type="dxa"/>
            <w:tcBorders>
              <w:top w:val="nil"/>
              <w:left w:val="nil"/>
              <w:bottom w:val="nil"/>
              <w:right w:val="nil"/>
            </w:tcBorders>
            <w:shd w:val="clear" w:color="auto" w:fill="FFFFFF"/>
            <w:vAlign w:val="bottom"/>
          </w:tcPr>
          <w:p w14:paraId="4589FAE9"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596B9A74" w14:textId="77777777" w:rsidR="002E375F" w:rsidRPr="00862FE1" w:rsidRDefault="00EB2569" w:rsidP="00862FE1">
            <w:pPr>
              <w:pStyle w:val="Heading2"/>
              <w:jc w:val="right"/>
              <w:rPr>
                <w:b/>
              </w:rPr>
            </w:pPr>
            <w:r w:rsidRPr="005A3B27">
              <w:rPr>
                <w:rFonts w:ascii="Arial" w:hAnsi="Arial" w:cs="Arial"/>
                <w:b/>
                <w:bCs/>
                <w:sz w:val="18"/>
                <w:szCs w:val="18"/>
              </w:rPr>
              <w:t>2020</w:t>
            </w:r>
            <w:r w:rsidRPr="005A3B27">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10113DDE"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7782A47D" w14:textId="77777777" w:rsidTr="00CD6D17">
        <w:tc>
          <w:tcPr>
            <w:tcW w:w="9052" w:type="dxa"/>
            <w:gridSpan w:val="3"/>
            <w:tcBorders>
              <w:top w:val="nil"/>
              <w:left w:val="nil"/>
              <w:bottom w:val="nil"/>
              <w:right w:val="nil"/>
            </w:tcBorders>
            <w:shd w:val="clear" w:color="auto" w:fill="FFFFFF"/>
            <w:vAlign w:val="bottom"/>
          </w:tcPr>
          <w:p w14:paraId="29D8A6C5" w14:textId="77777777" w:rsidR="002E375F" w:rsidRDefault="00EB2569" w:rsidP="001C442D">
            <w:pPr>
              <w:pStyle w:val="Heading2"/>
            </w:pPr>
            <w:r>
              <w:rPr>
                <w:rFonts w:ascii="Arial" w:hAnsi="Arial" w:cs="Arial"/>
                <w:b/>
                <w:bCs/>
                <w:sz w:val="18"/>
                <w:szCs w:val="18"/>
              </w:rPr>
              <w:t>Reconciliation of Payments from Consolidated Fund to Appropriation</w:t>
            </w:r>
          </w:p>
        </w:tc>
      </w:tr>
      <w:tr w:rsidR="002E375F" w14:paraId="31B051A8" w14:textId="77777777" w:rsidTr="00CD6D17">
        <w:tc>
          <w:tcPr>
            <w:tcW w:w="7124" w:type="dxa"/>
            <w:tcBorders>
              <w:top w:val="nil"/>
              <w:left w:val="nil"/>
              <w:bottom w:val="nil"/>
              <w:right w:val="nil"/>
            </w:tcBorders>
            <w:shd w:val="clear" w:color="auto" w:fill="FFFFFF"/>
            <w:vAlign w:val="bottom"/>
          </w:tcPr>
          <w:p w14:paraId="69ED3B5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Revenue Recognised in Operating Result</w:t>
            </w:r>
          </w:p>
        </w:tc>
        <w:tc>
          <w:tcPr>
            <w:tcW w:w="964" w:type="dxa"/>
            <w:tcBorders>
              <w:top w:val="nil"/>
              <w:left w:val="nil"/>
              <w:bottom w:val="nil"/>
              <w:right w:val="nil"/>
            </w:tcBorders>
            <w:shd w:val="clear" w:color="auto" w:fill="FFFFFF"/>
            <w:vAlign w:val="bottom"/>
          </w:tcPr>
          <w:p w14:paraId="4D0A7ECD"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6AF6487"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620810D1" w14:textId="77777777" w:rsidTr="00CD6D17">
        <w:tc>
          <w:tcPr>
            <w:tcW w:w="7124" w:type="dxa"/>
            <w:tcBorders>
              <w:top w:val="nil"/>
              <w:left w:val="nil"/>
              <w:bottom w:val="nil"/>
              <w:right w:val="nil"/>
            </w:tcBorders>
            <w:shd w:val="clear" w:color="auto" w:fill="FFFFFF"/>
            <w:vAlign w:val="bottom"/>
          </w:tcPr>
          <w:p w14:paraId="54395FD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Budgeted appropriation revenue</w:t>
            </w:r>
          </w:p>
        </w:tc>
        <w:tc>
          <w:tcPr>
            <w:tcW w:w="964" w:type="dxa"/>
            <w:tcBorders>
              <w:top w:val="nil"/>
              <w:left w:val="nil"/>
              <w:bottom w:val="nil"/>
              <w:right w:val="nil"/>
            </w:tcBorders>
            <w:shd w:val="clear" w:color="auto" w:fill="FFFFFF"/>
            <w:vAlign w:val="bottom"/>
          </w:tcPr>
          <w:p w14:paraId="381F863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361,571</w:t>
            </w:r>
          </w:p>
        </w:tc>
        <w:tc>
          <w:tcPr>
            <w:tcW w:w="964" w:type="dxa"/>
            <w:tcBorders>
              <w:top w:val="nil"/>
              <w:left w:val="nil"/>
              <w:bottom w:val="nil"/>
              <w:right w:val="nil"/>
            </w:tcBorders>
            <w:shd w:val="clear" w:color="auto" w:fill="FFFFFF"/>
            <w:vAlign w:val="bottom"/>
          </w:tcPr>
          <w:p w14:paraId="2C6CB92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841,129</w:t>
            </w:r>
          </w:p>
        </w:tc>
      </w:tr>
      <w:tr w:rsidR="002E375F" w14:paraId="5A8F253B" w14:textId="77777777" w:rsidTr="00CD6D17">
        <w:tc>
          <w:tcPr>
            <w:tcW w:w="7124" w:type="dxa"/>
            <w:tcBorders>
              <w:top w:val="nil"/>
              <w:left w:val="nil"/>
              <w:bottom w:val="nil"/>
              <w:right w:val="nil"/>
            </w:tcBorders>
            <w:shd w:val="clear" w:color="auto" w:fill="FFFFFF"/>
            <w:vAlign w:val="bottom"/>
          </w:tcPr>
          <w:p w14:paraId="6A7A013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Additional appropriation revenue for unforeseen expenditure</w:t>
            </w:r>
          </w:p>
        </w:tc>
        <w:tc>
          <w:tcPr>
            <w:tcW w:w="964" w:type="dxa"/>
            <w:tcBorders>
              <w:top w:val="nil"/>
              <w:left w:val="nil"/>
              <w:bottom w:val="nil"/>
              <w:right w:val="nil"/>
            </w:tcBorders>
            <w:shd w:val="clear" w:color="auto" w:fill="FFFFFF"/>
            <w:vAlign w:val="bottom"/>
          </w:tcPr>
          <w:p w14:paraId="658E366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1,776</w:t>
            </w:r>
          </w:p>
        </w:tc>
        <w:tc>
          <w:tcPr>
            <w:tcW w:w="964" w:type="dxa"/>
            <w:tcBorders>
              <w:top w:val="nil"/>
              <w:left w:val="nil"/>
              <w:bottom w:val="nil"/>
              <w:right w:val="nil"/>
            </w:tcBorders>
            <w:shd w:val="clear" w:color="auto" w:fill="FFFFFF"/>
            <w:vAlign w:val="bottom"/>
          </w:tcPr>
          <w:p w14:paraId="1BCB1FC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681B9FDE" w14:textId="77777777" w:rsidTr="00CD6D17">
        <w:tc>
          <w:tcPr>
            <w:tcW w:w="7124" w:type="dxa"/>
            <w:tcBorders>
              <w:top w:val="nil"/>
              <w:left w:val="nil"/>
              <w:bottom w:val="nil"/>
              <w:right w:val="nil"/>
            </w:tcBorders>
            <w:shd w:val="clear" w:color="auto" w:fill="FFFFFF"/>
            <w:vAlign w:val="bottom"/>
          </w:tcPr>
          <w:p w14:paraId="40941FA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Treasurers transfers</w:t>
            </w:r>
          </w:p>
        </w:tc>
        <w:tc>
          <w:tcPr>
            <w:tcW w:w="964" w:type="dxa"/>
            <w:tcBorders>
              <w:top w:val="nil"/>
              <w:left w:val="nil"/>
              <w:bottom w:val="single" w:sz="2" w:space="0" w:color="auto"/>
              <w:right w:val="nil"/>
            </w:tcBorders>
            <w:shd w:val="clear" w:color="auto" w:fill="FFFFFF"/>
            <w:vAlign w:val="bottom"/>
          </w:tcPr>
          <w:p w14:paraId="0D8F0DA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440AA9A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91,618</w:t>
            </w:r>
          </w:p>
        </w:tc>
      </w:tr>
      <w:tr w:rsidR="002E375F" w14:paraId="7285F2D6" w14:textId="77777777" w:rsidTr="00CD6D17">
        <w:tc>
          <w:tcPr>
            <w:tcW w:w="7124" w:type="dxa"/>
            <w:tcBorders>
              <w:top w:val="nil"/>
              <w:left w:val="nil"/>
              <w:bottom w:val="nil"/>
              <w:right w:val="nil"/>
            </w:tcBorders>
            <w:shd w:val="clear" w:color="auto" w:fill="FFFFFF"/>
            <w:vAlign w:val="bottom"/>
          </w:tcPr>
          <w:p w14:paraId="06D101E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Appropriation Receipts (cash)</w:t>
            </w:r>
          </w:p>
        </w:tc>
        <w:tc>
          <w:tcPr>
            <w:tcW w:w="964" w:type="dxa"/>
            <w:tcBorders>
              <w:top w:val="nil"/>
              <w:left w:val="nil"/>
              <w:bottom w:val="nil"/>
              <w:right w:val="nil"/>
            </w:tcBorders>
            <w:shd w:val="clear" w:color="auto" w:fill="FFFFFF"/>
            <w:vAlign w:val="bottom"/>
          </w:tcPr>
          <w:p w14:paraId="1B43F21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363,347</w:t>
            </w:r>
          </w:p>
        </w:tc>
        <w:tc>
          <w:tcPr>
            <w:tcW w:w="964" w:type="dxa"/>
            <w:tcBorders>
              <w:top w:val="nil"/>
              <w:left w:val="nil"/>
              <w:bottom w:val="nil"/>
              <w:right w:val="nil"/>
            </w:tcBorders>
            <w:shd w:val="clear" w:color="auto" w:fill="FFFFFF"/>
            <w:vAlign w:val="bottom"/>
          </w:tcPr>
          <w:p w14:paraId="18AAFBA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932,747</w:t>
            </w:r>
          </w:p>
        </w:tc>
      </w:tr>
      <w:tr w:rsidR="002E375F" w14:paraId="17ABBB5E" w14:textId="77777777" w:rsidTr="00CD6D17">
        <w:tc>
          <w:tcPr>
            <w:tcW w:w="7124" w:type="dxa"/>
            <w:tcBorders>
              <w:top w:val="nil"/>
              <w:left w:val="nil"/>
              <w:bottom w:val="nil"/>
              <w:right w:val="nil"/>
            </w:tcBorders>
            <w:shd w:val="clear" w:color="auto" w:fill="FFFFFF"/>
            <w:vAlign w:val="bottom"/>
          </w:tcPr>
          <w:p w14:paraId="17C1F78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 xml:space="preserve">Less: Opening balance of appropriation revenue receivable </w:t>
            </w:r>
          </w:p>
        </w:tc>
        <w:tc>
          <w:tcPr>
            <w:tcW w:w="964" w:type="dxa"/>
            <w:tcBorders>
              <w:top w:val="nil"/>
              <w:left w:val="nil"/>
              <w:bottom w:val="nil"/>
              <w:right w:val="nil"/>
            </w:tcBorders>
            <w:shd w:val="clear" w:color="auto" w:fill="FFFFFF"/>
            <w:vAlign w:val="bottom"/>
          </w:tcPr>
          <w:p w14:paraId="0741AC3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(4,202)</w:t>
            </w:r>
          </w:p>
        </w:tc>
        <w:tc>
          <w:tcPr>
            <w:tcW w:w="964" w:type="dxa"/>
            <w:tcBorders>
              <w:top w:val="nil"/>
              <w:left w:val="nil"/>
              <w:bottom w:val="nil"/>
              <w:right w:val="nil"/>
            </w:tcBorders>
            <w:shd w:val="clear" w:color="auto" w:fill="FFFFFF"/>
            <w:vAlign w:val="bottom"/>
          </w:tcPr>
          <w:p w14:paraId="7D78A05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(3,850)</w:t>
            </w:r>
          </w:p>
        </w:tc>
      </w:tr>
      <w:tr w:rsidR="002E375F" w14:paraId="1B48FC00" w14:textId="77777777" w:rsidTr="00CD6D17">
        <w:tc>
          <w:tcPr>
            <w:tcW w:w="7124" w:type="dxa"/>
            <w:tcBorders>
              <w:top w:val="nil"/>
              <w:left w:val="nil"/>
              <w:bottom w:val="nil"/>
              <w:right w:val="nil"/>
            </w:tcBorders>
            <w:shd w:val="clear" w:color="auto" w:fill="FFFFFF"/>
            <w:vAlign w:val="bottom"/>
          </w:tcPr>
          <w:p w14:paraId="323FBA9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Plus: Effect of adoption of new accounting standards *</w:t>
            </w:r>
          </w:p>
        </w:tc>
        <w:tc>
          <w:tcPr>
            <w:tcW w:w="964" w:type="dxa"/>
            <w:tcBorders>
              <w:top w:val="nil"/>
              <w:left w:val="nil"/>
              <w:bottom w:val="nil"/>
              <w:right w:val="nil"/>
            </w:tcBorders>
            <w:shd w:val="clear" w:color="auto" w:fill="FFFFFF"/>
            <w:vAlign w:val="bottom"/>
          </w:tcPr>
          <w:p w14:paraId="51E5606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4,202</w:t>
            </w:r>
          </w:p>
        </w:tc>
        <w:tc>
          <w:tcPr>
            <w:tcW w:w="964" w:type="dxa"/>
            <w:tcBorders>
              <w:top w:val="nil"/>
              <w:left w:val="nil"/>
              <w:bottom w:val="nil"/>
              <w:right w:val="nil"/>
            </w:tcBorders>
            <w:shd w:val="clear" w:color="auto" w:fill="FFFFFF"/>
            <w:vAlign w:val="bottom"/>
          </w:tcPr>
          <w:p w14:paraId="67B163A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32BB4288" w14:textId="77777777" w:rsidTr="00CD6D17">
        <w:tc>
          <w:tcPr>
            <w:tcW w:w="7124" w:type="dxa"/>
            <w:tcBorders>
              <w:top w:val="nil"/>
              <w:left w:val="nil"/>
              <w:bottom w:val="nil"/>
              <w:right w:val="nil"/>
            </w:tcBorders>
            <w:shd w:val="clear" w:color="auto" w:fill="FFFFFF"/>
            <w:vAlign w:val="bottom"/>
          </w:tcPr>
          <w:p w14:paraId="59F848E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Plus: Closing balance of appropriation revenue receivable</w:t>
            </w:r>
          </w:p>
        </w:tc>
        <w:tc>
          <w:tcPr>
            <w:tcW w:w="964" w:type="dxa"/>
            <w:tcBorders>
              <w:top w:val="nil"/>
              <w:left w:val="nil"/>
              <w:bottom w:val="nil"/>
              <w:right w:val="nil"/>
            </w:tcBorders>
            <w:shd w:val="clear" w:color="auto" w:fill="FFFFFF"/>
            <w:vAlign w:val="bottom"/>
          </w:tcPr>
          <w:p w14:paraId="25122CB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454993E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4,202</w:t>
            </w:r>
          </w:p>
        </w:tc>
      </w:tr>
      <w:tr w:rsidR="002E375F" w14:paraId="0F9B24BA" w14:textId="77777777" w:rsidTr="00CD6D17">
        <w:tc>
          <w:tcPr>
            <w:tcW w:w="7124" w:type="dxa"/>
            <w:tcBorders>
              <w:top w:val="nil"/>
              <w:left w:val="nil"/>
              <w:bottom w:val="nil"/>
              <w:right w:val="nil"/>
            </w:tcBorders>
            <w:shd w:val="clear" w:color="auto" w:fill="FFFFFF"/>
            <w:vAlign w:val="bottom"/>
          </w:tcPr>
          <w:p w14:paraId="54F437C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 xml:space="preserve">Plus: Opening balance of departmental services revenue payable </w:t>
            </w:r>
          </w:p>
        </w:tc>
        <w:tc>
          <w:tcPr>
            <w:tcW w:w="964" w:type="dxa"/>
            <w:tcBorders>
              <w:top w:val="nil"/>
              <w:left w:val="nil"/>
              <w:bottom w:val="nil"/>
              <w:right w:val="nil"/>
            </w:tcBorders>
            <w:shd w:val="clear" w:color="auto" w:fill="FFFFFF"/>
            <w:vAlign w:val="bottom"/>
          </w:tcPr>
          <w:p w14:paraId="380D3F2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17,049</w:t>
            </w:r>
          </w:p>
        </w:tc>
        <w:tc>
          <w:tcPr>
            <w:tcW w:w="964" w:type="dxa"/>
            <w:tcBorders>
              <w:top w:val="nil"/>
              <w:left w:val="nil"/>
              <w:bottom w:val="nil"/>
              <w:right w:val="nil"/>
            </w:tcBorders>
            <w:shd w:val="clear" w:color="auto" w:fill="FFFFFF"/>
            <w:vAlign w:val="bottom"/>
          </w:tcPr>
          <w:p w14:paraId="6F3CEE9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29,910</w:t>
            </w:r>
          </w:p>
        </w:tc>
      </w:tr>
      <w:tr w:rsidR="002E375F" w14:paraId="6394945D" w14:textId="77777777" w:rsidTr="00CD6D17">
        <w:tc>
          <w:tcPr>
            <w:tcW w:w="7124" w:type="dxa"/>
            <w:tcBorders>
              <w:top w:val="nil"/>
              <w:left w:val="nil"/>
              <w:bottom w:val="nil"/>
              <w:right w:val="nil"/>
            </w:tcBorders>
            <w:shd w:val="clear" w:color="auto" w:fill="FFFFFF"/>
            <w:vAlign w:val="bottom"/>
          </w:tcPr>
          <w:p w14:paraId="4DDCBAD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Less: Closing balance of departmental services revenue payable</w:t>
            </w:r>
          </w:p>
        </w:tc>
        <w:tc>
          <w:tcPr>
            <w:tcW w:w="964" w:type="dxa"/>
            <w:tcBorders>
              <w:top w:val="nil"/>
              <w:left w:val="nil"/>
              <w:bottom w:val="single" w:sz="2" w:space="0" w:color="auto"/>
              <w:right w:val="nil"/>
            </w:tcBorders>
            <w:shd w:val="clear" w:color="auto" w:fill="FFFFFF"/>
            <w:vAlign w:val="bottom"/>
          </w:tcPr>
          <w:p w14:paraId="27F826E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(21,652)</w:t>
            </w:r>
          </w:p>
        </w:tc>
        <w:tc>
          <w:tcPr>
            <w:tcW w:w="964" w:type="dxa"/>
            <w:tcBorders>
              <w:top w:val="nil"/>
              <w:left w:val="nil"/>
              <w:bottom w:val="single" w:sz="2" w:space="0" w:color="auto"/>
              <w:right w:val="nil"/>
            </w:tcBorders>
            <w:shd w:val="clear" w:color="auto" w:fill="FFFFFF"/>
            <w:vAlign w:val="bottom"/>
          </w:tcPr>
          <w:p w14:paraId="75F8C46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(17,049)</w:t>
            </w:r>
          </w:p>
        </w:tc>
      </w:tr>
      <w:tr w:rsidR="002E375F" w14:paraId="2EC0E917" w14:textId="77777777" w:rsidTr="00CD6D17">
        <w:tc>
          <w:tcPr>
            <w:tcW w:w="7124" w:type="dxa"/>
            <w:tcBorders>
              <w:top w:val="nil"/>
              <w:left w:val="nil"/>
              <w:bottom w:val="nil"/>
              <w:right w:val="nil"/>
            </w:tcBorders>
            <w:shd w:val="clear" w:color="auto" w:fill="FFFFFF"/>
            <w:vAlign w:val="bottom"/>
          </w:tcPr>
          <w:p w14:paraId="560C9CE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Net Appropriation Revenue</w:t>
            </w:r>
          </w:p>
        </w:tc>
        <w:tc>
          <w:tcPr>
            <w:tcW w:w="964" w:type="dxa"/>
            <w:tcBorders>
              <w:top w:val="nil"/>
              <w:left w:val="nil"/>
              <w:bottom w:val="nil"/>
              <w:right w:val="nil"/>
            </w:tcBorders>
            <w:shd w:val="clear" w:color="auto" w:fill="FFFFFF"/>
            <w:vAlign w:val="bottom"/>
          </w:tcPr>
          <w:p w14:paraId="3CEC6A6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358,744</w:t>
            </w:r>
          </w:p>
        </w:tc>
        <w:tc>
          <w:tcPr>
            <w:tcW w:w="964" w:type="dxa"/>
            <w:tcBorders>
              <w:top w:val="nil"/>
              <w:left w:val="nil"/>
              <w:bottom w:val="nil"/>
              <w:right w:val="nil"/>
            </w:tcBorders>
            <w:shd w:val="clear" w:color="auto" w:fill="FFFFFF"/>
            <w:vAlign w:val="bottom"/>
          </w:tcPr>
          <w:p w14:paraId="54BB413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945,960</w:t>
            </w:r>
          </w:p>
        </w:tc>
      </w:tr>
      <w:tr w:rsidR="002E375F" w14:paraId="0929F7D9" w14:textId="77777777" w:rsidTr="00CD6D17">
        <w:tc>
          <w:tcPr>
            <w:tcW w:w="7124" w:type="dxa"/>
            <w:tcBorders>
              <w:top w:val="nil"/>
              <w:left w:val="nil"/>
              <w:bottom w:val="nil"/>
              <w:right w:val="nil"/>
            </w:tcBorders>
            <w:shd w:val="clear" w:color="auto" w:fill="FFFFFF"/>
            <w:vAlign w:val="bottom"/>
          </w:tcPr>
          <w:p w14:paraId="39BAED9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 xml:space="preserve">Plus: Deferred appropriation refundable to Consolidated Fund (expense) </w:t>
            </w:r>
          </w:p>
        </w:tc>
        <w:tc>
          <w:tcPr>
            <w:tcW w:w="964" w:type="dxa"/>
            <w:tcBorders>
              <w:top w:val="nil"/>
              <w:left w:val="nil"/>
              <w:bottom w:val="single" w:sz="2" w:space="0" w:color="auto"/>
              <w:right w:val="nil"/>
            </w:tcBorders>
            <w:shd w:val="clear" w:color="auto" w:fill="FFFFFF"/>
            <w:vAlign w:val="bottom"/>
          </w:tcPr>
          <w:p w14:paraId="5339E30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6EC7FC6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32,530</w:t>
            </w:r>
          </w:p>
        </w:tc>
      </w:tr>
      <w:tr w:rsidR="002E375F" w14:paraId="4EC3F833" w14:textId="77777777" w:rsidTr="00CD6D17">
        <w:tc>
          <w:tcPr>
            <w:tcW w:w="7124" w:type="dxa"/>
            <w:tcBorders>
              <w:top w:val="nil"/>
              <w:left w:val="nil"/>
              <w:bottom w:val="nil"/>
              <w:right w:val="nil"/>
            </w:tcBorders>
            <w:shd w:val="clear" w:color="auto" w:fill="FFFFFF"/>
            <w:vAlign w:val="bottom"/>
          </w:tcPr>
          <w:p w14:paraId="2A15F4C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Appropriation Revenue Recognised in Income Statement</w:t>
            </w:r>
          </w:p>
        </w:tc>
        <w:tc>
          <w:tcPr>
            <w:tcW w:w="964" w:type="dxa"/>
            <w:tcBorders>
              <w:top w:val="nil"/>
              <w:left w:val="nil"/>
              <w:bottom w:val="single" w:sz="2" w:space="0" w:color="auto"/>
              <w:right w:val="nil"/>
            </w:tcBorders>
            <w:shd w:val="clear" w:color="auto" w:fill="FFFFFF"/>
            <w:vAlign w:val="bottom"/>
          </w:tcPr>
          <w:p w14:paraId="275D6CC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358,744</w:t>
            </w:r>
          </w:p>
        </w:tc>
        <w:tc>
          <w:tcPr>
            <w:tcW w:w="964" w:type="dxa"/>
            <w:tcBorders>
              <w:top w:val="nil"/>
              <w:left w:val="nil"/>
              <w:bottom w:val="single" w:sz="2" w:space="0" w:color="auto"/>
              <w:right w:val="nil"/>
            </w:tcBorders>
            <w:shd w:val="clear" w:color="auto" w:fill="FFFFFF"/>
            <w:vAlign w:val="bottom"/>
          </w:tcPr>
          <w:p w14:paraId="46232EB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978,490</w:t>
            </w:r>
          </w:p>
        </w:tc>
      </w:tr>
    </w:tbl>
    <w:p w14:paraId="4F158E93" w14:textId="77777777" w:rsidR="002E375F" w:rsidRDefault="00EB2569">
      <w:pPr>
        <w:autoSpaceDE w:val="0"/>
        <w:autoSpaceDN w:val="0"/>
        <w:adjustRightInd w:val="0"/>
        <w:spacing w:after="141" w:line="240" w:lineRule="auto"/>
        <w:jc w:val="both"/>
        <w:rPr>
          <w:rFonts w:ascii="Times New Roman" w:hAnsi="Times New Roman" w:cs="Times New Roman"/>
          <w:sz w:val="24"/>
          <w:szCs w:val="24"/>
        </w:rPr>
      </w:pPr>
      <w:r>
        <w:rPr>
          <w:rFonts w:ascii="Arial" w:hAnsi="Arial" w:cs="Arial"/>
          <w:b/>
          <w:bCs/>
          <w:sz w:val="18"/>
          <w:szCs w:val="18"/>
        </w:rPr>
        <w:t>Accounting Policy - Appropriation Revenue</w:t>
      </w:r>
    </w:p>
    <w:p w14:paraId="090B7346"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Appropriations provided under the </w:t>
      </w:r>
      <w:r>
        <w:rPr>
          <w:rFonts w:ascii="Arial" w:hAnsi="Arial" w:cs="Arial"/>
          <w:i/>
          <w:iCs/>
          <w:sz w:val="18"/>
          <w:szCs w:val="18"/>
        </w:rPr>
        <w:t>Appropriation Act 2019</w:t>
      </w:r>
      <w:r>
        <w:rPr>
          <w:rFonts w:ascii="Arial" w:hAnsi="Arial" w:cs="Arial"/>
          <w:sz w:val="18"/>
          <w:szCs w:val="18"/>
        </w:rPr>
        <w:t xml:space="preserve"> are recognised as revenue when received.</w:t>
      </w:r>
    </w:p>
    <w:p w14:paraId="1751FE0D"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Amounts appropriated to the department for transfer to other entities in accordance with legislative or other requirements are reported as ‘administered’ appropriations (refer to Note G1-1</w:t>
      </w:r>
      <w:r w:rsidR="006626B2">
        <w:rPr>
          <w:rFonts w:ascii="Arial" w:hAnsi="Arial" w:cs="Arial"/>
          <w:sz w:val="18"/>
          <w:szCs w:val="18"/>
        </w:rPr>
        <w:t>)</w:t>
      </w:r>
      <w:r>
        <w:rPr>
          <w:rFonts w:ascii="Arial" w:hAnsi="Arial" w:cs="Arial"/>
          <w:sz w:val="18"/>
          <w:szCs w:val="18"/>
        </w:rPr>
        <w:t>.</w:t>
      </w:r>
    </w:p>
    <w:p w14:paraId="3F8C0659"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There was a change in Australian Accounting Standards for leasing expenses with the prior year appropriation revenue receivable being held with Queensland Treasury under AASB 117, along with a corresponding non-current liability being eliminated at the start of the 2019-20 financial year through an opening balance adjustment. Refer to Note D4-1 (iii) for further information.</w:t>
      </w:r>
    </w:p>
    <w:p w14:paraId="79DC6510" w14:textId="77777777" w:rsidR="002E375F" w:rsidRDefault="002E375F" w:rsidP="00E101AE">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171E03C3" w14:textId="77777777" w:rsidR="002E375F" w:rsidRDefault="00EB2569" w:rsidP="00F45CE1">
      <w:pPr>
        <w:pStyle w:val="Heading2"/>
        <w:spacing w:before="0"/>
        <w:rPr>
          <w:rFonts w:ascii="Times New Roman" w:hAnsi="Times New Roman" w:cs="Times New Roman"/>
          <w:sz w:val="24"/>
          <w:szCs w:val="24"/>
        </w:rPr>
      </w:pPr>
      <w:r>
        <w:lastRenderedPageBreak/>
        <w:t>Department of Communities, Disability Services and Seniors</w:t>
      </w:r>
    </w:p>
    <w:p w14:paraId="75830782" w14:textId="77777777" w:rsidR="002E375F" w:rsidRDefault="00EB2569" w:rsidP="00F45CE1">
      <w:pPr>
        <w:pStyle w:val="Heading2"/>
        <w:spacing w:before="0"/>
        <w:rPr>
          <w:rFonts w:ascii="Times New Roman" w:hAnsi="Times New Roman" w:cs="Times New Roman"/>
          <w:sz w:val="24"/>
          <w:szCs w:val="24"/>
        </w:rPr>
      </w:pPr>
      <w:r>
        <w:t>Notes to the Financial Statements</w:t>
      </w:r>
    </w:p>
    <w:p w14:paraId="3EC404DB" w14:textId="77777777" w:rsidR="002E375F" w:rsidRDefault="00EB2569" w:rsidP="00F45CE1">
      <w:pPr>
        <w:pStyle w:val="Heading2"/>
        <w:spacing w:before="0"/>
        <w:rPr>
          <w:rFonts w:ascii="Times New Roman" w:hAnsi="Times New Roman" w:cs="Times New Roman"/>
          <w:sz w:val="24"/>
          <w:szCs w:val="24"/>
        </w:rPr>
      </w:pPr>
      <w:r>
        <w:t>for the year ended 30 June 2020</w:t>
      </w:r>
    </w:p>
    <w:p w14:paraId="00FB1E81"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3CCDDF47" w14:textId="77777777" w:rsidR="00CD6D17" w:rsidRDefault="00CD6D17" w:rsidP="00CD6D17">
      <w:pPr>
        <w:pStyle w:val="Heading3"/>
        <w:rPr>
          <w:rFonts w:ascii="Times New Roman" w:hAnsi="Times New Roman" w:cs="Times New Roman"/>
        </w:rPr>
      </w:pPr>
      <w:r>
        <w:t>B1 Revenue (continued)</w:t>
      </w:r>
    </w:p>
    <w:p w14:paraId="40FB8B46" w14:textId="77777777" w:rsidR="00CD6D17" w:rsidRDefault="00CD6D17" w:rsidP="00CD6D17">
      <w:pPr>
        <w:pStyle w:val="Heading3"/>
        <w:rPr>
          <w:rFonts w:ascii="Times New Roman" w:hAnsi="Times New Roman" w:cs="Times New Roman"/>
        </w:rPr>
      </w:pPr>
      <w:r>
        <w:t>B1-2 Grants and Other Contributions</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197CE661" w14:textId="77777777" w:rsidTr="00CD6D17">
        <w:tc>
          <w:tcPr>
            <w:tcW w:w="7124" w:type="dxa"/>
            <w:tcBorders>
              <w:top w:val="nil"/>
              <w:left w:val="nil"/>
              <w:bottom w:val="nil"/>
              <w:right w:val="nil"/>
            </w:tcBorders>
            <w:shd w:val="clear" w:color="auto" w:fill="FFFFFF"/>
            <w:vAlign w:val="bottom"/>
          </w:tcPr>
          <w:p w14:paraId="0D1AD1A0"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58E8AEC1" w14:textId="77777777" w:rsidR="002E375F" w:rsidRPr="00862FE1" w:rsidRDefault="00EB2569" w:rsidP="00862FE1">
            <w:pPr>
              <w:pStyle w:val="Heading2"/>
              <w:jc w:val="right"/>
              <w:rPr>
                <w:b/>
              </w:rPr>
            </w:pPr>
            <w:r w:rsidRPr="005A3B27">
              <w:rPr>
                <w:rFonts w:ascii="Arial" w:hAnsi="Arial" w:cs="Arial"/>
                <w:b/>
                <w:bCs/>
                <w:sz w:val="18"/>
                <w:szCs w:val="18"/>
              </w:rPr>
              <w:t>2020</w:t>
            </w:r>
            <w:r w:rsidRPr="005A3B27">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718514D3"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53B68A6D" w14:textId="77777777" w:rsidTr="00CD6D17">
        <w:tc>
          <w:tcPr>
            <w:tcW w:w="9052" w:type="dxa"/>
            <w:gridSpan w:val="3"/>
            <w:tcBorders>
              <w:top w:val="nil"/>
              <w:left w:val="nil"/>
              <w:bottom w:val="nil"/>
              <w:right w:val="nil"/>
            </w:tcBorders>
            <w:shd w:val="clear" w:color="auto" w:fill="FFFFFF"/>
            <w:vAlign w:val="bottom"/>
          </w:tcPr>
          <w:p w14:paraId="679ED74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Revenue from contracts with customers</w:t>
            </w:r>
          </w:p>
        </w:tc>
      </w:tr>
      <w:tr w:rsidR="002E375F" w14:paraId="2AB9ECB5" w14:textId="77777777" w:rsidTr="00CD6D17">
        <w:tc>
          <w:tcPr>
            <w:tcW w:w="7124" w:type="dxa"/>
            <w:tcBorders>
              <w:top w:val="nil"/>
              <w:left w:val="nil"/>
              <w:bottom w:val="nil"/>
              <w:right w:val="nil"/>
            </w:tcBorders>
            <w:shd w:val="clear" w:color="auto" w:fill="FFFFFF"/>
            <w:vAlign w:val="bottom"/>
          </w:tcPr>
          <w:p w14:paraId="1CE94F3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Commonwealth grants - specific obligations</w:t>
            </w:r>
          </w:p>
        </w:tc>
        <w:tc>
          <w:tcPr>
            <w:tcW w:w="964" w:type="dxa"/>
            <w:tcBorders>
              <w:top w:val="nil"/>
              <w:left w:val="nil"/>
              <w:bottom w:val="nil"/>
              <w:right w:val="nil"/>
            </w:tcBorders>
            <w:shd w:val="clear" w:color="auto" w:fill="FFFFFF"/>
            <w:vAlign w:val="bottom"/>
          </w:tcPr>
          <w:p w14:paraId="3D8FCB3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11,590</w:t>
            </w:r>
          </w:p>
        </w:tc>
        <w:tc>
          <w:tcPr>
            <w:tcW w:w="964" w:type="dxa"/>
            <w:tcBorders>
              <w:top w:val="nil"/>
              <w:left w:val="nil"/>
              <w:bottom w:val="nil"/>
              <w:right w:val="nil"/>
            </w:tcBorders>
            <w:shd w:val="clear" w:color="auto" w:fill="FFFFFF"/>
            <w:vAlign w:val="bottom"/>
          </w:tcPr>
          <w:p w14:paraId="5074C51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11,061</w:t>
            </w:r>
          </w:p>
        </w:tc>
      </w:tr>
      <w:tr w:rsidR="002E375F" w14:paraId="474EC280" w14:textId="77777777" w:rsidTr="00CD6D17">
        <w:tc>
          <w:tcPr>
            <w:tcW w:w="9052" w:type="dxa"/>
            <w:gridSpan w:val="3"/>
            <w:tcBorders>
              <w:top w:val="nil"/>
              <w:left w:val="nil"/>
              <w:bottom w:val="nil"/>
              <w:right w:val="nil"/>
            </w:tcBorders>
            <w:shd w:val="clear" w:color="auto" w:fill="FFFFFF"/>
            <w:vAlign w:val="bottom"/>
          </w:tcPr>
          <w:p w14:paraId="39BA9E1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Other grants and contributions</w:t>
            </w:r>
          </w:p>
        </w:tc>
      </w:tr>
      <w:tr w:rsidR="002E375F" w14:paraId="2473A21A" w14:textId="77777777" w:rsidTr="00CD6D17">
        <w:tc>
          <w:tcPr>
            <w:tcW w:w="7124" w:type="dxa"/>
            <w:tcBorders>
              <w:top w:val="nil"/>
              <w:left w:val="nil"/>
              <w:bottom w:val="nil"/>
              <w:right w:val="nil"/>
            </w:tcBorders>
            <w:shd w:val="clear" w:color="auto" w:fill="FFFFFF"/>
            <w:vAlign w:val="bottom"/>
          </w:tcPr>
          <w:p w14:paraId="3388778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Commonwealth grants - non-specific obligations</w:t>
            </w:r>
          </w:p>
        </w:tc>
        <w:tc>
          <w:tcPr>
            <w:tcW w:w="964" w:type="dxa"/>
            <w:tcBorders>
              <w:top w:val="nil"/>
              <w:left w:val="nil"/>
              <w:bottom w:val="nil"/>
              <w:right w:val="nil"/>
            </w:tcBorders>
            <w:shd w:val="clear" w:color="auto" w:fill="FFFFFF"/>
            <w:vAlign w:val="bottom"/>
          </w:tcPr>
          <w:p w14:paraId="155F27E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1,190</w:t>
            </w:r>
          </w:p>
        </w:tc>
        <w:tc>
          <w:tcPr>
            <w:tcW w:w="964" w:type="dxa"/>
            <w:tcBorders>
              <w:top w:val="nil"/>
              <w:left w:val="nil"/>
              <w:bottom w:val="nil"/>
              <w:right w:val="nil"/>
            </w:tcBorders>
            <w:shd w:val="clear" w:color="auto" w:fill="FFFFFF"/>
            <w:vAlign w:val="bottom"/>
          </w:tcPr>
          <w:p w14:paraId="7E8A8DE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10,730</w:t>
            </w:r>
          </w:p>
        </w:tc>
      </w:tr>
      <w:tr w:rsidR="002E375F" w14:paraId="160A899F" w14:textId="77777777" w:rsidTr="00CD6D17">
        <w:tc>
          <w:tcPr>
            <w:tcW w:w="7124" w:type="dxa"/>
            <w:tcBorders>
              <w:top w:val="nil"/>
              <w:left w:val="nil"/>
              <w:bottom w:val="nil"/>
              <w:right w:val="nil"/>
            </w:tcBorders>
            <w:shd w:val="clear" w:color="auto" w:fill="FFFFFF"/>
            <w:vAlign w:val="bottom"/>
          </w:tcPr>
          <w:p w14:paraId="031E939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Grants from Queensland Reconstruction Authority</w:t>
            </w:r>
          </w:p>
        </w:tc>
        <w:tc>
          <w:tcPr>
            <w:tcW w:w="964" w:type="dxa"/>
            <w:tcBorders>
              <w:top w:val="nil"/>
              <w:left w:val="nil"/>
              <w:bottom w:val="nil"/>
              <w:right w:val="nil"/>
            </w:tcBorders>
            <w:shd w:val="clear" w:color="auto" w:fill="FFFFFF"/>
            <w:vAlign w:val="bottom"/>
          </w:tcPr>
          <w:p w14:paraId="4710E10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131</w:t>
            </w:r>
          </w:p>
        </w:tc>
        <w:tc>
          <w:tcPr>
            <w:tcW w:w="964" w:type="dxa"/>
            <w:tcBorders>
              <w:top w:val="nil"/>
              <w:left w:val="nil"/>
              <w:bottom w:val="nil"/>
              <w:right w:val="nil"/>
            </w:tcBorders>
            <w:shd w:val="clear" w:color="auto" w:fill="FFFFFF"/>
            <w:vAlign w:val="bottom"/>
          </w:tcPr>
          <w:p w14:paraId="6D955C8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0FC787BA" w14:textId="77777777" w:rsidTr="00CD6D17">
        <w:tc>
          <w:tcPr>
            <w:tcW w:w="7124" w:type="dxa"/>
            <w:tcBorders>
              <w:top w:val="nil"/>
              <w:left w:val="nil"/>
              <w:bottom w:val="nil"/>
              <w:right w:val="nil"/>
            </w:tcBorders>
            <w:shd w:val="clear" w:color="auto" w:fill="FFFFFF"/>
            <w:vAlign w:val="bottom"/>
          </w:tcPr>
          <w:p w14:paraId="2D4E5AA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 grants under AASB 1058</w:t>
            </w:r>
          </w:p>
        </w:tc>
        <w:tc>
          <w:tcPr>
            <w:tcW w:w="964" w:type="dxa"/>
            <w:tcBorders>
              <w:top w:val="nil"/>
              <w:left w:val="nil"/>
              <w:bottom w:val="nil"/>
              <w:right w:val="nil"/>
            </w:tcBorders>
            <w:shd w:val="clear" w:color="auto" w:fill="FFFFFF"/>
            <w:vAlign w:val="bottom"/>
          </w:tcPr>
          <w:p w14:paraId="31F7790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7DE9DCC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735</w:t>
            </w:r>
          </w:p>
        </w:tc>
      </w:tr>
      <w:tr w:rsidR="002E375F" w14:paraId="6A2AB262" w14:textId="77777777" w:rsidTr="00CD6D17">
        <w:tc>
          <w:tcPr>
            <w:tcW w:w="7124" w:type="dxa"/>
            <w:tcBorders>
              <w:top w:val="nil"/>
              <w:left w:val="nil"/>
              <w:bottom w:val="nil"/>
              <w:right w:val="nil"/>
            </w:tcBorders>
            <w:shd w:val="clear" w:color="auto" w:fill="FFFFFF"/>
            <w:vAlign w:val="bottom"/>
          </w:tcPr>
          <w:p w14:paraId="74AE9E5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Services received below fair value</w:t>
            </w:r>
          </w:p>
        </w:tc>
        <w:tc>
          <w:tcPr>
            <w:tcW w:w="964" w:type="dxa"/>
            <w:tcBorders>
              <w:top w:val="nil"/>
              <w:left w:val="nil"/>
              <w:bottom w:val="nil"/>
              <w:right w:val="nil"/>
            </w:tcBorders>
            <w:shd w:val="clear" w:color="auto" w:fill="FFFFFF"/>
            <w:vAlign w:val="bottom"/>
          </w:tcPr>
          <w:p w14:paraId="69FD838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2,009</w:t>
            </w:r>
          </w:p>
        </w:tc>
        <w:tc>
          <w:tcPr>
            <w:tcW w:w="964" w:type="dxa"/>
            <w:tcBorders>
              <w:top w:val="nil"/>
              <w:left w:val="nil"/>
              <w:bottom w:val="nil"/>
              <w:right w:val="nil"/>
            </w:tcBorders>
            <w:shd w:val="clear" w:color="auto" w:fill="FFFFFF"/>
            <w:vAlign w:val="bottom"/>
          </w:tcPr>
          <w:p w14:paraId="3DAB280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4,782</w:t>
            </w:r>
          </w:p>
        </w:tc>
      </w:tr>
      <w:tr w:rsidR="002E375F" w14:paraId="7E1428E5" w14:textId="77777777" w:rsidTr="00CD6D17">
        <w:tc>
          <w:tcPr>
            <w:tcW w:w="7124" w:type="dxa"/>
            <w:tcBorders>
              <w:top w:val="nil"/>
              <w:left w:val="nil"/>
              <w:bottom w:val="nil"/>
              <w:right w:val="nil"/>
            </w:tcBorders>
            <w:shd w:val="clear" w:color="auto" w:fill="FFFFFF"/>
            <w:vAlign w:val="bottom"/>
          </w:tcPr>
          <w:p w14:paraId="030A5BC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Assets received below fair value</w:t>
            </w:r>
          </w:p>
        </w:tc>
        <w:tc>
          <w:tcPr>
            <w:tcW w:w="964" w:type="dxa"/>
            <w:tcBorders>
              <w:top w:val="nil"/>
              <w:left w:val="nil"/>
              <w:bottom w:val="single" w:sz="2" w:space="0" w:color="auto"/>
              <w:right w:val="nil"/>
            </w:tcBorders>
            <w:shd w:val="clear" w:color="auto" w:fill="FFFFFF"/>
            <w:vAlign w:val="bottom"/>
          </w:tcPr>
          <w:p w14:paraId="3F6EC22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171AE6C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3,069</w:t>
            </w:r>
          </w:p>
        </w:tc>
      </w:tr>
      <w:tr w:rsidR="002E375F" w14:paraId="42F9F396" w14:textId="77777777" w:rsidTr="00CD6D17">
        <w:tc>
          <w:tcPr>
            <w:tcW w:w="7124" w:type="dxa"/>
            <w:tcBorders>
              <w:top w:val="nil"/>
              <w:left w:val="nil"/>
              <w:bottom w:val="nil"/>
              <w:right w:val="nil"/>
            </w:tcBorders>
            <w:shd w:val="clear" w:color="auto" w:fill="FFFFFF"/>
            <w:vAlign w:val="bottom"/>
          </w:tcPr>
          <w:p w14:paraId="6671D9C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38BC28B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14,920</w:t>
            </w:r>
          </w:p>
        </w:tc>
        <w:tc>
          <w:tcPr>
            <w:tcW w:w="964" w:type="dxa"/>
            <w:tcBorders>
              <w:top w:val="nil"/>
              <w:left w:val="nil"/>
              <w:bottom w:val="single" w:sz="2" w:space="0" w:color="auto"/>
              <w:right w:val="nil"/>
            </w:tcBorders>
            <w:shd w:val="clear" w:color="auto" w:fill="FFFFFF"/>
            <w:vAlign w:val="bottom"/>
          </w:tcPr>
          <w:p w14:paraId="2572DFA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30,377</w:t>
            </w:r>
          </w:p>
        </w:tc>
      </w:tr>
    </w:tbl>
    <w:p w14:paraId="0A02A201" w14:textId="77777777" w:rsidR="002E375F" w:rsidRPr="00723A51" w:rsidRDefault="00EB2569" w:rsidP="00723A51">
      <w:pPr>
        <w:pStyle w:val="Heading3"/>
        <w:rPr>
          <w:sz w:val="18"/>
          <w:szCs w:val="18"/>
        </w:rPr>
      </w:pPr>
      <w:r w:rsidRPr="00723A51">
        <w:rPr>
          <w:sz w:val="18"/>
          <w:szCs w:val="18"/>
        </w:rPr>
        <w:t>Accounting Policy - Grants, contributions and donations</w:t>
      </w:r>
    </w:p>
    <w:p w14:paraId="220DB20B"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Grants, contributions and donations are non-reciprocal transactions where the department does not directly provide the grantor with value approximately equal to the revenue received.</w:t>
      </w:r>
    </w:p>
    <w:p w14:paraId="027413E3"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Where the grant agreement is enforceable and contains sufficiently specific performance obligations for the department to transfer goods or services to a third-party on the grantor’s behalf, the revenue is accounted for under AASB15 </w:t>
      </w:r>
      <w:r>
        <w:rPr>
          <w:rFonts w:ascii="Arial" w:hAnsi="Arial" w:cs="Arial"/>
          <w:i/>
          <w:iCs/>
          <w:sz w:val="18"/>
          <w:szCs w:val="18"/>
        </w:rPr>
        <w:t>Revenue from Contracts with Customers</w:t>
      </w:r>
      <w:r>
        <w:rPr>
          <w:rFonts w:ascii="Arial" w:hAnsi="Arial" w:cs="Arial"/>
          <w:sz w:val="18"/>
          <w:szCs w:val="18"/>
        </w:rPr>
        <w:t>. In this case revenue is initially deferred (as unearned revenue) and recognised as or when the performance obligations are satisfied.</w:t>
      </w:r>
    </w:p>
    <w:p w14:paraId="3A2B8E4F"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In all other cases the revenue is accounted for in accordance with AASB 1058</w:t>
      </w:r>
      <w:r>
        <w:rPr>
          <w:rFonts w:ascii="Arial" w:hAnsi="Arial" w:cs="Arial"/>
          <w:i/>
          <w:iCs/>
          <w:sz w:val="18"/>
          <w:szCs w:val="18"/>
        </w:rPr>
        <w:t xml:space="preserve"> Income of Not-for-Profit Entities</w:t>
      </w:r>
      <w:r>
        <w:rPr>
          <w:rFonts w:ascii="Arial" w:hAnsi="Arial" w:cs="Arial"/>
          <w:sz w:val="18"/>
          <w:szCs w:val="18"/>
        </w:rPr>
        <w:t>. Revenue is recognised upon receipt unless it is related to special purpose capital grants for construction of non-financial assets that will be controlled by the department. Under the latter circumstances the grant is recognised as unearned revenue initially, and subsequently recognised as revenue progressively as obligations are met through construction of the related asset.</w:t>
      </w:r>
    </w:p>
    <w:p w14:paraId="33FF31F0" w14:textId="77777777" w:rsidR="002E375F" w:rsidRPr="00723A51" w:rsidRDefault="00EB2569" w:rsidP="00723A51">
      <w:pPr>
        <w:pStyle w:val="Heading3"/>
        <w:rPr>
          <w:sz w:val="18"/>
          <w:szCs w:val="18"/>
        </w:rPr>
      </w:pPr>
      <w:r w:rsidRPr="00723A51">
        <w:rPr>
          <w:sz w:val="18"/>
          <w:szCs w:val="18"/>
        </w:rPr>
        <w:t>Disclosure - Grants and contributions</w:t>
      </w:r>
    </w:p>
    <w:p w14:paraId="602B885F"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 has a number of grant arrangements with the Commonwealth that relate to funding of activity-based services. One of these arrangements is for the Continuity of Support (</w:t>
      </w:r>
      <w:proofErr w:type="spellStart"/>
      <w:r>
        <w:rPr>
          <w:rFonts w:ascii="Arial" w:hAnsi="Arial" w:cs="Arial"/>
          <w:sz w:val="18"/>
          <w:szCs w:val="18"/>
        </w:rPr>
        <w:t>CoS</w:t>
      </w:r>
      <w:proofErr w:type="spellEnd"/>
      <w:r>
        <w:rPr>
          <w:rFonts w:ascii="Arial" w:hAnsi="Arial" w:cs="Arial"/>
          <w:sz w:val="18"/>
          <w:szCs w:val="18"/>
        </w:rPr>
        <w:t>) program and has been identified as having sufficiently specific performance obligations under enforceable grant agreements.</w:t>
      </w:r>
    </w:p>
    <w:p w14:paraId="011B8998"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remaining Commonwealth grants, although under enforceable agreements, do not contain sufficiently specific performance obligations, these grants are recognised upon receipt.</w:t>
      </w:r>
    </w:p>
    <w:p w14:paraId="187A40F9" w14:textId="77777777" w:rsidR="002E375F" w:rsidRPr="004212EA" w:rsidRDefault="00EB2569" w:rsidP="004212EA">
      <w:pPr>
        <w:pStyle w:val="Heading3"/>
      </w:pPr>
      <w:r w:rsidRPr="004212EA">
        <w:t>Commonwealth grants - recognised as performance obligations are satisfied</w:t>
      </w:r>
    </w:p>
    <w:p w14:paraId="251B3F24"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following table provides information about the nature and timing of the satisfaction of performance obligations, significant payment terms, and revenue recognition for the department's grants and contributions that are contracts with customers.</w:t>
      </w:r>
    </w:p>
    <w:p w14:paraId="21520D47" w14:textId="77777777" w:rsidR="002E375F" w:rsidRDefault="002E375F" w:rsidP="00E101AE">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63D419AC" w14:textId="77777777" w:rsidR="002E375F" w:rsidRDefault="00EB2569" w:rsidP="00F45CE1">
      <w:pPr>
        <w:pStyle w:val="Heading2"/>
        <w:spacing w:before="0"/>
        <w:rPr>
          <w:rFonts w:ascii="Times New Roman" w:hAnsi="Times New Roman" w:cs="Times New Roman"/>
          <w:sz w:val="24"/>
          <w:szCs w:val="24"/>
        </w:rPr>
      </w:pPr>
      <w:r>
        <w:lastRenderedPageBreak/>
        <w:t>Department of Communities, Disability Services and Seniors</w:t>
      </w:r>
    </w:p>
    <w:p w14:paraId="5AE9B882" w14:textId="77777777" w:rsidR="002E375F" w:rsidRDefault="00EB2569" w:rsidP="00F45CE1">
      <w:pPr>
        <w:pStyle w:val="Heading2"/>
        <w:spacing w:before="0"/>
        <w:rPr>
          <w:rFonts w:ascii="Times New Roman" w:hAnsi="Times New Roman" w:cs="Times New Roman"/>
          <w:sz w:val="24"/>
          <w:szCs w:val="24"/>
        </w:rPr>
      </w:pPr>
      <w:r>
        <w:t>Notes to the Financial Statements</w:t>
      </w:r>
    </w:p>
    <w:p w14:paraId="53582D4A" w14:textId="77777777" w:rsidR="002E375F" w:rsidRDefault="00EB2569" w:rsidP="00F45CE1">
      <w:pPr>
        <w:pStyle w:val="Heading2"/>
        <w:spacing w:before="0"/>
        <w:rPr>
          <w:rFonts w:ascii="Times New Roman" w:hAnsi="Times New Roman" w:cs="Times New Roman"/>
          <w:sz w:val="24"/>
          <w:szCs w:val="24"/>
        </w:rPr>
      </w:pPr>
      <w:r>
        <w:t>for the year ended 30 June 2020</w:t>
      </w:r>
    </w:p>
    <w:p w14:paraId="78CE5675"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1ED7B9E5" w14:textId="77777777" w:rsidR="00CD6D17" w:rsidRDefault="00CD6D17" w:rsidP="00CD6D17">
      <w:pPr>
        <w:pStyle w:val="Heading3"/>
        <w:rPr>
          <w:rFonts w:ascii="Times New Roman" w:hAnsi="Times New Roman" w:cs="Times New Roman"/>
        </w:rPr>
      </w:pPr>
      <w:r>
        <w:t>B1 Revenue (continued)</w:t>
      </w:r>
    </w:p>
    <w:p w14:paraId="5503558A" w14:textId="77777777" w:rsidR="00CD6D17" w:rsidRDefault="00CD6D17" w:rsidP="00CD6D17">
      <w:pPr>
        <w:pStyle w:val="Heading3"/>
        <w:rPr>
          <w:rFonts w:ascii="Times New Roman" w:hAnsi="Times New Roman" w:cs="Times New Roman"/>
        </w:rPr>
      </w:pPr>
      <w:r>
        <w:t>B1-2 Grants and Other Contributions (continued)</w:t>
      </w:r>
    </w:p>
    <w:tbl>
      <w:tblPr>
        <w:tblW w:w="9012" w:type="dxa"/>
        <w:tblLayout w:type="fixed"/>
        <w:tblCellMar>
          <w:left w:w="0" w:type="dxa"/>
          <w:right w:w="0" w:type="dxa"/>
        </w:tblCellMar>
        <w:tblLook w:val="0000" w:firstRow="0" w:lastRow="0" w:firstColumn="0" w:lastColumn="0" w:noHBand="0" w:noVBand="0"/>
      </w:tblPr>
      <w:tblGrid>
        <w:gridCol w:w="1437"/>
        <w:gridCol w:w="4375"/>
        <w:gridCol w:w="3200"/>
      </w:tblGrid>
      <w:tr w:rsidR="002E375F" w:rsidRPr="005A3B27" w14:paraId="08C60572" w14:textId="77777777" w:rsidTr="00862FE1">
        <w:tc>
          <w:tcPr>
            <w:tcW w:w="1437" w:type="dxa"/>
            <w:tcBorders>
              <w:top w:val="nil"/>
              <w:left w:val="nil"/>
              <w:bottom w:val="single" w:sz="2" w:space="0" w:color="auto"/>
              <w:right w:val="single" w:sz="2" w:space="0" w:color="auto"/>
            </w:tcBorders>
            <w:shd w:val="clear" w:color="auto" w:fill="FFFFFF"/>
          </w:tcPr>
          <w:p w14:paraId="7BF576AE" w14:textId="77777777" w:rsidR="002E375F" w:rsidRPr="00862FE1" w:rsidRDefault="00EB2569" w:rsidP="001C442D">
            <w:pPr>
              <w:pStyle w:val="Heading2"/>
              <w:rPr>
                <w:rFonts w:ascii="Arial" w:hAnsi="Arial" w:cs="Arial"/>
                <w:b/>
                <w:sz w:val="18"/>
                <w:szCs w:val="18"/>
              </w:rPr>
            </w:pPr>
            <w:r w:rsidRPr="00862FE1">
              <w:rPr>
                <w:rFonts w:ascii="Arial" w:hAnsi="Arial" w:cs="Arial"/>
                <w:b/>
                <w:sz w:val="18"/>
                <w:szCs w:val="18"/>
              </w:rPr>
              <w:t>Type of good or service</w:t>
            </w:r>
          </w:p>
        </w:tc>
        <w:tc>
          <w:tcPr>
            <w:tcW w:w="4375" w:type="dxa"/>
            <w:tcBorders>
              <w:top w:val="nil"/>
              <w:left w:val="nil"/>
              <w:bottom w:val="single" w:sz="2" w:space="0" w:color="auto"/>
              <w:right w:val="single" w:sz="2" w:space="0" w:color="auto"/>
            </w:tcBorders>
            <w:shd w:val="clear" w:color="auto" w:fill="FFFFFF"/>
          </w:tcPr>
          <w:p w14:paraId="12D6F277" w14:textId="77777777" w:rsidR="002E375F" w:rsidRPr="00862FE1" w:rsidRDefault="00EB2569" w:rsidP="001C442D">
            <w:pPr>
              <w:pStyle w:val="Heading2"/>
              <w:rPr>
                <w:rFonts w:ascii="Arial" w:hAnsi="Arial" w:cs="Arial"/>
                <w:b/>
                <w:sz w:val="18"/>
                <w:szCs w:val="18"/>
              </w:rPr>
            </w:pPr>
            <w:r w:rsidRPr="00862FE1">
              <w:rPr>
                <w:rFonts w:ascii="Arial" w:hAnsi="Arial" w:cs="Arial"/>
                <w:b/>
                <w:sz w:val="18"/>
                <w:szCs w:val="18"/>
              </w:rPr>
              <w:t>Nature and timing of satisfaction of performance obligations, including significant payment terms</w:t>
            </w:r>
          </w:p>
        </w:tc>
        <w:tc>
          <w:tcPr>
            <w:tcW w:w="3200" w:type="dxa"/>
            <w:tcBorders>
              <w:top w:val="nil"/>
              <w:left w:val="nil"/>
              <w:bottom w:val="single" w:sz="2" w:space="0" w:color="auto"/>
              <w:right w:val="single" w:sz="2" w:space="0" w:color="auto"/>
            </w:tcBorders>
            <w:shd w:val="clear" w:color="auto" w:fill="FFFFFF"/>
          </w:tcPr>
          <w:p w14:paraId="5B207F71" w14:textId="77777777" w:rsidR="002E375F" w:rsidRPr="00862FE1" w:rsidRDefault="00EB2569" w:rsidP="001C442D">
            <w:pPr>
              <w:pStyle w:val="Heading2"/>
              <w:rPr>
                <w:rFonts w:ascii="Arial" w:hAnsi="Arial" w:cs="Arial"/>
                <w:b/>
                <w:sz w:val="18"/>
                <w:szCs w:val="18"/>
              </w:rPr>
            </w:pPr>
            <w:r w:rsidRPr="00862FE1">
              <w:rPr>
                <w:rFonts w:ascii="Arial" w:hAnsi="Arial" w:cs="Arial"/>
                <w:b/>
                <w:sz w:val="18"/>
                <w:szCs w:val="18"/>
              </w:rPr>
              <w:t>Revenue recognition policies</w:t>
            </w:r>
          </w:p>
        </w:tc>
      </w:tr>
      <w:tr w:rsidR="00B55A2A" w14:paraId="0E9180AB" w14:textId="77777777" w:rsidTr="00862FE1">
        <w:tc>
          <w:tcPr>
            <w:tcW w:w="1437" w:type="dxa"/>
            <w:tcBorders>
              <w:top w:val="nil"/>
              <w:left w:val="nil"/>
              <w:bottom w:val="nil"/>
              <w:right w:val="single" w:sz="2" w:space="0" w:color="auto"/>
            </w:tcBorders>
            <w:shd w:val="clear" w:color="auto" w:fill="FFFFFF"/>
          </w:tcPr>
          <w:p w14:paraId="2FCB8F67" w14:textId="77777777" w:rsidR="00B55A2A" w:rsidRDefault="00B55A2A">
            <w:pPr>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sz w:val="18"/>
                <w:szCs w:val="18"/>
              </w:rPr>
              <w:t>CoS</w:t>
            </w:r>
            <w:proofErr w:type="spellEnd"/>
            <w:r>
              <w:rPr>
                <w:rFonts w:ascii="Arial" w:hAnsi="Arial" w:cs="Arial"/>
                <w:sz w:val="18"/>
                <w:szCs w:val="18"/>
              </w:rPr>
              <w:t xml:space="preserve"> Accommodation Support - Group Homes</w:t>
            </w:r>
          </w:p>
        </w:tc>
        <w:tc>
          <w:tcPr>
            <w:tcW w:w="4375" w:type="dxa"/>
            <w:tcBorders>
              <w:top w:val="nil"/>
              <w:left w:val="nil"/>
              <w:right w:val="single" w:sz="2" w:space="0" w:color="auto"/>
            </w:tcBorders>
            <w:shd w:val="clear" w:color="auto" w:fill="FFFFFF"/>
          </w:tcPr>
          <w:p w14:paraId="2F49239B" w14:textId="77777777" w:rsidR="00B55A2A" w:rsidRDefault="00B55A2A">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The department's obligation under the grant agreement is to provide accommodation support for a minimum of 38 clients over a three and a half year period, with the current agreement running until 30 June 2020.</w:t>
            </w:r>
          </w:p>
        </w:tc>
        <w:tc>
          <w:tcPr>
            <w:tcW w:w="3200" w:type="dxa"/>
            <w:tcBorders>
              <w:top w:val="nil"/>
              <w:left w:val="nil"/>
              <w:right w:val="single" w:sz="2" w:space="0" w:color="auto"/>
            </w:tcBorders>
            <w:shd w:val="clear" w:color="auto" w:fill="FFFFFF"/>
          </w:tcPr>
          <w:p w14:paraId="23E7CC33" w14:textId="77777777" w:rsidR="00B55A2A" w:rsidRDefault="00B55A2A">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The total grant funding of $11.349M is allocated to the services to be performed in 2019-20 and revenue is recognised monthly as those services are being performed.</w:t>
            </w:r>
          </w:p>
        </w:tc>
      </w:tr>
      <w:tr w:rsidR="002E375F" w14:paraId="0394579F" w14:textId="77777777" w:rsidTr="00862FE1">
        <w:tc>
          <w:tcPr>
            <w:tcW w:w="1437" w:type="dxa"/>
            <w:tcBorders>
              <w:top w:val="nil"/>
              <w:left w:val="nil"/>
              <w:bottom w:val="single" w:sz="2" w:space="0" w:color="auto"/>
              <w:right w:val="single" w:sz="2" w:space="0" w:color="auto"/>
            </w:tcBorders>
            <w:shd w:val="clear" w:color="auto" w:fill="FFFFFF"/>
          </w:tcPr>
          <w:p w14:paraId="7F01E62D" w14:textId="77777777" w:rsidR="002E375F" w:rsidRDefault="00EB2569">
            <w:pPr>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sz w:val="18"/>
                <w:szCs w:val="18"/>
              </w:rPr>
              <w:t>CoS</w:t>
            </w:r>
            <w:proofErr w:type="spellEnd"/>
            <w:r>
              <w:rPr>
                <w:rFonts w:ascii="Arial" w:hAnsi="Arial" w:cs="Arial"/>
                <w:sz w:val="18"/>
                <w:szCs w:val="18"/>
              </w:rPr>
              <w:t xml:space="preserve"> Community Access - Learning and Skills Development</w:t>
            </w:r>
          </w:p>
        </w:tc>
        <w:tc>
          <w:tcPr>
            <w:tcW w:w="4375" w:type="dxa"/>
            <w:tcBorders>
              <w:top w:val="nil"/>
              <w:left w:val="nil"/>
              <w:bottom w:val="single" w:sz="2" w:space="0" w:color="auto"/>
              <w:right w:val="single" w:sz="2" w:space="0" w:color="auto"/>
            </w:tcBorders>
            <w:shd w:val="clear" w:color="auto" w:fill="FFFFFF"/>
          </w:tcPr>
          <w:p w14:paraId="06E8462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The department's obligation under the grant agreement is to deliver 966 hours of learning and skill development over a two year period, with the current agreement running until 30 June 2020.</w:t>
            </w:r>
          </w:p>
        </w:tc>
        <w:tc>
          <w:tcPr>
            <w:tcW w:w="3200" w:type="dxa"/>
            <w:tcBorders>
              <w:top w:val="nil"/>
              <w:left w:val="nil"/>
              <w:bottom w:val="single" w:sz="2" w:space="0" w:color="auto"/>
              <w:right w:val="single" w:sz="2" w:space="0" w:color="auto"/>
            </w:tcBorders>
            <w:shd w:val="clear" w:color="auto" w:fill="FFFFFF"/>
          </w:tcPr>
          <w:p w14:paraId="17D93A0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The total grant funding of $0.051M is allocated to the services to be performed in 2019-20 and revenue is recognised quarterly as those services are being performed.</w:t>
            </w:r>
          </w:p>
        </w:tc>
      </w:tr>
      <w:tr w:rsidR="002E375F" w14:paraId="6ADECAB2" w14:textId="77777777" w:rsidTr="00862FE1">
        <w:tc>
          <w:tcPr>
            <w:tcW w:w="1437" w:type="dxa"/>
            <w:tcBorders>
              <w:top w:val="nil"/>
              <w:left w:val="nil"/>
              <w:bottom w:val="single" w:sz="2" w:space="0" w:color="auto"/>
              <w:right w:val="single" w:sz="2" w:space="0" w:color="auto"/>
            </w:tcBorders>
            <w:shd w:val="clear" w:color="auto" w:fill="FFFFFF"/>
          </w:tcPr>
          <w:p w14:paraId="6CF214E6" w14:textId="77777777" w:rsidR="002E375F" w:rsidRDefault="00EB2569">
            <w:pPr>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sz w:val="18"/>
                <w:szCs w:val="18"/>
              </w:rPr>
              <w:t>CoS</w:t>
            </w:r>
            <w:proofErr w:type="spellEnd"/>
            <w:r>
              <w:rPr>
                <w:rFonts w:ascii="Arial" w:hAnsi="Arial" w:cs="Arial"/>
                <w:sz w:val="18"/>
                <w:szCs w:val="18"/>
              </w:rPr>
              <w:t xml:space="preserve"> Community Support - Therapy support for individuals</w:t>
            </w:r>
          </w:p>
        </w:tc>
        <w:tc>
          <w:tcPr>
            <w:tcW w:w="4375" w:type="dxa"/>
            <w:tcBorders>
              <w:top w:val="nil"/>
              <w:left w:val="nil"/>
              <w:bottom w:val="single" w:sz="2" w:space="0" w:color="auto"/>
              <w:right w:val="single" w:sz="2" w:space="0" w:color="auto"/>
            </w:tcBorders>
            <w:shd w:val="clear" w:color="auto" w:fill="FFFFFF"/>
          </w:tcPr>
          <w:p w14:paraId="1E18A6D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The department's obligation under the grant agreement is to deliver 1,570 hours of therapy support over a three year period, with the current agreement running until 30 June 2020.</w:t>
            </w:r>
          </w:p>
        </w:tc>
        <w:tc>
          <w:tcPr>
            <w:tcW w:w="3200" w:type="dxa"/>
            <w:tcBorders>
              <w:top w:val="nil"/>
              <w:left w:val="nil"/>
              <w:bottom w:val="single" w:sz="2" w:space="0" w:color="auto"/>
              <w:right w:val="single" w:sz="2" w:space="0" w:color="auto"/>
            </w:tcBorders>
            <w:shd w:val="clear" w:color="auto" w:fill="FFFFFF"/>
          </w:tcPr>
          <w:p w14:paraId="32C5D73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The total grant funding of $0.125M is allocated to the services to be performed in 2019-20 and revenue is recognised quarterly as those services are being performed.</w:t>
            </w:r>
          </w:p>
        </w:tc>
      </w:tr>
      <w:tr w:rsidR="00B55A2A" w14:paraId="233E0AC7" w14:textId="77777777" w:rsidTr="00862FE1">
        <w:tc>
          <w:tcPr>
            <w:tcW w:w="1437" w:type="dxa"/>
            <w:tcBorders>
              <w:top w:val="nil"/>
              <w:left w:val="nil"/>
              <w:right w:val="single" w:sz="2" w:space="0" w:color="auto"/>
            </w:tcBorders>
            <w:shd w:val="clear" w:color="auto" w:fill="FFFFFF"/>
          </w:tcPr>
          <w:p w14:paraId="00130DD2" w14:textId="77777777" w:rsidR="00B55A2A" w:rsidRDefault="00B55A2A">
            <w:pPr>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sz w:val="18"/>
                <w:szCs w:val="18"/>
              </w:rPr>
              <w:t>CoS</w:t>
            </w:r>
            <w:proofErr w:type="spellEnd"/>
            <w:r>
              <w:rPr>
                <w:rFonts w:ascii="Arial" w:hAnsi="Arial" w:cs="Arial"/>
                <w:sz w:val="18"/>
                <w:szCs w:val="18"/>
              </w:rPr>
              <w:t xml:space="preserve"> Community Support - Behaviour / specialist intervention</w:t>
            </w:r>
          </w:p>
        </w:tc>
        <w:tc>
          <w:tcPr>
            <w:tcW w:w="4375" w:type="dxa"/>
            <w:tcBorders>
              <w:top w:val="nil"/>
              <w:left w:val="nil"/>
              <w:right w:val="single" w:sz="2" w:space="0" w:color="auto"/>
            </w:tcBorders>
            <w:shd w:val="clear" w:color="auto" w:fill="FFFFFF"/>
          </w:tcPr>
          <w:p w14:paraId="7605EE34" w14:textId="77777777" w:rsidR="00B55A2A" w:rsidRDefault="00B55A2A">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The department's obligation under the grant agreement is to deliver 555 hours of therapy support over a three year period, with the current agreement running until 30 June 2020.</w:t>
            </w:r>
          </w:p>
        </w:tc>
        <w:tc>
          <w:tcPr>
            <w:tcW w:w="3200" w:type="dxa"/>
            <w:tcBorders>
              <w:top w:val="nil"/>
              <w:left w:val="nil"/>
              <w:right w:val="single" w:sz="2" w:space="0" w:color="auto"/>
            </w:tcBorders>
            <w:shd w:val="clear" w:color="auto" w:fill="FFFFFF"/>
          </w:tcPr>
          <w:p w14:paraId="5C903494" w14:textId="77777777" w:rsidR="00B55A2A" w:rsidRDefault="00B55A2A">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The total grant funding of $0.045M is allocated to the services to be performed in 2019-20 and revenue is recognised quarterly as those services are being performed.</w:t>
            </w:r>
          </w:p>
        </w:tc>
      </w:tr>
      <w:tr w:rsidR="002E375F" w14:paraId="5DEAFEBE" w14:textId="77777777" w:rsidTr="00862FE1">
        <w:tc>
          <w:tcPr>
            <w:tcW w:w="1437" w:type="dxa"/>
            <w:tcBorders>
              <w:top w:val="nil"/>
              <w:left w:val="nil"/>
              <w:bottom w:val="single" w:sz="2" w:space="0" w:color="auto"/>
              <w:right w:val="single" w:sz="2" w:space="0" w:color="auto"/>
            </w:tcBorders>
            <w:shd w:val="clear" w:color="auto" w:fill="FFFFFF"/>
          </w:tcPr>
          <w:p w14:paraId="1E30352F" w14:textId="77777777" w:rsidR="002E375F" w:rsidRDefault="00EB2569">
            <w:pPr>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sz w:val="18"/>
                <w:szCs w:val="18"/>
              </w:rPr>
              <w:t>CoS</w:t>
            </w:r>
            <w:proofErr w:type="spellEnd"/>
            <w:r>
              <w:rPr>
                <w:rFonts w:ascii="Arial" w:hAnsi="Arial" w:cs="Arial"/>
                <w:sz w:val="18"/>
                <w:szCs w:val="18"/>
              </w:rPr>
              <w:t xml:space="preserve"> Individual Support Packages</w:t>
            </w:r>
          </w:p>
        </w:tc>
        <w:tc>
          <w:tcPr>
            <w:tcW w:w="4375" w:type="dxa"/>
            <w:tcBorders>
              <w:top w:val="nil"/>
              <w:left w:val="nil"/>
              <w:bottom w:val="single" w:sz="2" w:space="0" w:color="auto"/>
              <w:right w:val="single" w:sz="2" w:space="0" w:color="auto"/>
            </w:tcBorders>
            <w:shd w:val="clear" w:color="auto" w:fill="FFFFFF"/>
          </w:tcPr>
          <w:p w14:paraId="3A750B1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The department's obligation under the grant agreement is to deliver individual support packages to three clients over a three and a half year period, with the current agreement running until 30 June 2020.</w:t>
            </w:r>
          </w:p>
        </w:tc>
        <w:tc>
          <w:tcPr>
            <w:tcW w:w="3200" w:type="dxa"/>
            <w:tcBorders>
              <w:top w:val="nil"/>
              <w:left w:val="nil"/>
              <w:bottom w:val="single" w:sz="2" w:space="0" w:color="auto"/>
              <w:right w:val="single" w:sz="2" w:space="0" w:color="auto"/>
            </w:tcBorders>
            <w:shd w:val="clear" w:color="auto" w:fill="FFFFFF"/>
          </w:tcPr>
          <w:p w14:paraId="373741F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The total grant funding of $0.020M is allocated to the services to be performed in 2019-20 and revenue is recognised quarterly as those services are being performed.</w:t>
            </w:r>
          </w:p>
        </w:tc>
      </w:tr>
    </w:tbl>
    <w:p w14:paraId="1B3BA095" w14:textId="77777777" w:rsidR="002E375F" w:rsidRDefault="00EB2569" w:rsidP="00862FE1">
      <w:pPr>
        <w:pStyle w:val="Heading3"/>
        <w:spacing w:before="240"/>
        <w:rPr>
          <w:rFonts w:ascii="Times New Roman" w:hAnsi="Times New Roman" w:cs="Times New Roman"/>
        </w:rPr>
      </w:pPr>
      <w:r>
        <w:t>Commonwealth grants - recognised upfront</w:t>
      </w:r>
    </w:p>
    <w:p w14:paraId="598C3AA3"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The department received $1.190 million in 2019-20 for the </w:t>
      </w:r>
      <w:proofErr w:type="spellStart"/>
      <w:r>
        <w:rPr>
          <w:rFonts w:ascii="Arial" w:hAnsi="Arial" w:cs="Arial"/>
          <w:sz w:val="18"/>
          <w:szCs w:val="18"/>
        </w:rPr>
        <w:t>CoS</w:t>
      </w:r>
      <w:proofErr w:type="spellEnd"/>
      <w:r>
        <w:rPr>
          <w:rFonts w:ascii="Arial" w:hAnsi="Arial" w:cs="Arial"/>
          <w:sz w:val="18"/>
          <w:szCs w:val="18"/>
        </w:rPr>
        <w:t xml:space="preserve"> accommodation management grant. This funding has been recognised as revenue in the 2019-20 financial year as the department's obligations are not sufficiently specific. The terms of the grant are that it must be used to provide support for clients in the </w:t>
      </w:r>
      <w:proofErr w:type="spellStart"/>
      <w:r>
        <w:rPr>
          <w:rFonts w:ascii="Arial" w:hAnsi="Arial" w:cs="Arial"/>
          <w:sz w:val="18"/>
          <w:szCs w:val="18"/>
        </w:rPr>
        <w:t>CoS</w:t>
      </w:r>
      <w:proofErr w:type="spellEnd"/>
      <w:r>
        <w:rPr>
          <w:rFonts w:ascii="Arial" w:hAnsi="Arial" w:cs="Arial"/>
          <w:sz w:val="18"/>
          <w:szCs w:val="18"/>
        </w:rPr>
        <w:t xml:space="preserve"> program with the department having discretion as to how the support is provided. The department decided the best ongoing use of these funds was to fund a number of capital improvements in the properties occupied by the </w:t>
      </w:r>
      <w:proofErr w:type="spellStart"/>
      <w:r>
        <w:rPr>
          <w:rFonts w:ascii="Arial" w:hAnsi="Arial" w:cs="Arial"/>
          <w:sz w:val="18"/>
          <w:szCs w:val="18"/>
        </w:rPr>
        <w:t>CoS</w:t>
      </w:r>
      <w:proofErr w:type="spellEnd"/>
      <w:r>
        <w:rPr>
          <w:rFonts w:ascii="Arial" w:hAnsi="Arial" w:cs="Arial"/>
          <w:sz w:val="18"/>
          <w:szCs w:val="18"/>
        </w:rPr>
        <w:t xml:space="preserve"> clients.</w:t>
      </w:r>
    </w:p>
    <w:p w14:paraId="73B25621" w14:textId="77777777" w:rsidR="002E375F" w:rsidRDefault="002E375F" w:rsidP="00E101AE">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1B9F24CE"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4353AD35"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7C2890D5"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3B493FA1"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041ACDE5" w14:textId="77777777" w:rsidR="004212EA" w:rsidRDefault="004212EA" w:rsidP="004212EA">
      <w:pPr>
        <w:pStyle w:val="Heading3"/>
        <w:rPr>
          <w:sz w:val="18"/>
          <w:szCs w:val="18"/>
        </w:rPr>
      </w:pPr>
      <w:r>
        <w:t>B1 Revenue (continued)</w:t>
      </w:r>
    </w:p>
    <w:p w14:paraId="13598BD5" w14:textId="77777777" w:rsidR="004212EA" w:rsidRDefault="004212EA" w:rsidP="004212EA">
      <w:pPr>
        <w:pStyle w:val="Heading3"/>
      </w:pPr>
      <w:r>
        <w:t>B1-2 Grants and Other Contributions (continued)</w:t>
      </w:r>
    </w:p>
    <w:p w14:paraId="6D562259"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At 30 June 2020, $0.892M of this grant remains unspent. The department plans to spend this remaining funding on additional capital improvements for the </w:t>
      </w:r>
      <w:proofErr w:type="spellStart"/>
      <w:r>
        <w:rPr>
          <w:rFonts w:ascii="Arial" w:hAnsi="Arial" w:cs="Arial"/>
          <w:sz w:val="18"/>
          <w:szCs w:val="18"/>
        </w:rPr>
        <w:t>CoS</w:t>
      </w:r>
      <w:proofErr w:type="spellEnd"/>
      <w:r>
        <w:rPr>
          <w:rFonts w:ascii="Arial" w:hAnsi="Arial" w:cs="Arial"/>
          <w:sz w:val="18"/>
          <w:szCs w:val="18"/>
        </w:rPr>
        <w:t xml:space="preserve"> clients in the 2020-21 financial year, as construction is scheduled to be completed in that year.</w:t>
      </w:r>
    </w:p>
    <w:p w14:paraId="1C70A479" w14:textId="77777777" w:rsidR="002E375F" w:rsidRPr="00723A51" w:rsidRDefault="00EB2569" w:rsidP="00723A51">
      <w:pPr>
        <w:pStyle w:val="Heading3"/>
        <w:rPr>
          <w:sz w:val="18"/>
          <w:szCs w:val="18"/>
        </w:rPr>
      </w:pPr>
      <w:r w:rsidRPr="00723A51">
        <w:rPr>
          <w:sz w:val="18"/>
          <w:szCs w:val="18"/>
        </w:rPr>
        <w:t>Accounting Policy - Assets received below fair value</w:t>
      </w:r>
    </w:p>
    <w:p w14:paraId="28627E6A"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Assets received below fair value relate to assets that have been acquired for no cost or for a nominal consideration, other than those acquired through Machinery-of-Government changes. As assets must be initially recorded at their fair value on acquisition, the difference between the consideration given and the fair value of the assets acquired is recognised as a gain in the department's financial statements. Refer to Note C4-1 for further information about the nature of the assets acquired.</w:t>
      </w:r>
    </w:p>
    <w:p w14:paraId="659874C8" w14:textId="77777777" w:rsidR="002E375F" w:rsidRPr="00723A51" w:rsidRDefault="00EB2569" w:rsidP="00723A51">
      <w:pPr>
        <w:pStyle w:val="Heading3"/>
        <w:rPr>
          <w:sz w:val="18"/>
          <w:szCs w:val="18"/>
        </w:rPr>
      </w:pPr>
      <w:r w:rsidRPr="00723A51">
        <w:rPr>
          <w:sz w:val="18"/>
          <w:szCs w:val="18"/>
        </w:rPr>
        <w:t>Services received below fair value</w:t>
      </w:r>
    </w:p>
    <w:p w14:paraId="24C5196A"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Contributions of services are recognised only if the services would have been purchased if they had not been donated and their fair value can be measured reliably. Where this is the case, an equal amount is recognised as revenue and expense.</w:t>
      </w:r>
    </w:p>
    <w:p w14:paraId="386CBB8B" w14:textId="77777777" w:rsidR="002E375F" w:rsidRDefault="00EB2569" w:rsidP="00E101AE">
      <w:pPr>
        <w:autoSpaceDE w:val="0"/>
        <w:autoSpaceDN w:val="0"/>
        <w:adjustRightInd w:val="0"/>
        <w:spacing w:after="141" w:line="240" w:lineRule="auto"/>
        <w:rPr>
          <w:rFonts w:ascii="Arial" w:hAnsi="Arial" w:cs="Arial"/>
          <w:sz w:val="18"/>
          <w:szCs w:val="18"/>
        </w:rPr>
      </w:pPr>
      <w:r>
        <w:rPr>
          <w:rFonts w:ascii="Arial" w:hAnsi="Arial" w:cs="Arial"/>
          <w:sz w:val="18"/>
          <w:szCs w:val="18"/>
        </w:rPr>
        <w:t>Refer to Note A4 for additional information about the services the department receives that are below fair value.</w:t>
      </w:r>
    </w:p>
    <w:p w14:paraId="3E639AA3" w14:textId="77777777" w:rsidR="00CD6D17" w:rsidRDefault="00CD6D17" w:rsidP="00CD6D17">
      <w:pPr>
        <w:pStyle w:val="Heading3"/>
        <w:rPr>
          <w:rFonts w:ascii="Times New Roman" w:hAnsi="Times New Roman" w:cs="Times New Roman"/>
        </w:rPr>
      </w:pPr>
      <w:r>
        <w:t>B1-3 Other Revenue</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1B1712A1" w14:textId="77777777" w:rsidTr="00CD6D17">
        <w:tc>
          <w:tcPr>
            <w:tcW w:w="7124" w:type="dxa"/>
            <w:tcBorders>
              <w:top w:val="nil"/>
              <w:left w:val="nil"/>
              <w:bottom w:val="nil"/>
              <w:right w:val="nil"/>
            </w:tcBorders>
            <w:shd w:val="clear" w:color="auto" w:fill="FFFFFF"/>
            <w:vAlign w:val="bottom"/>
          </w:tcPr>
          <w:p w14:paraId="0E304293"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6C76AF55" w14:textId="77777777" w:rsidR="002E375F" w:rsidRPr="00862FE1" w:rsidRDefault="00EB2569" w:rsidP="00862FE1">
            <w:pPr>
              <w:pStyle w:val="Heading2"/>
              <w:jc w:val="right"/>
              <w:rPr>
                <w:b/>
              </w:rPr>
            </w:pPr>
            <w:r w:rsidRPr="005A3B27">
              <w:rPr>
                <w:rFonts w:ascii="Arial" w:hAnsi="Arial" w:cs="Arial"/>
                <w:b/>
                <w:bCs/>
                <w:sz w:val="18"/>
                <w:szCs w:val="18"/>
              </w:rPr>
              <w:t>2020</w:t>
            </w:r>
            <w:r w:rsidRPr="005A3B27">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203136FC"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6746F6C9" w14:textId="77777777" w:rsidTr="00CD6D17">
        <w:tc>
          <w:tcPr>
            <w:tcW w:w="7124" w:type="dxa"/>
            <w:tcBorders>
              <w:top w:val="nil"/>
              <w:left w:val="nil"/>
              <w:bottom w:val="nil"/>
              <w:right w:val="nil"/>
            </w:tcBorders>
            <w:shd w:val="clear" w:color="auto" w:fill="FFFFFF"/>
            <w:vAlign w:val="bottom"/>
          </w:tcPr>
          <w:p w14:paraId="5F325CF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Expenditure recoveries</w:t>
            </w:r>
          </w:p>
        </w:tc>
        <w:tc>
          <w:tcPr>
            <w:tcW w:w="964" w:type="dxa"/>
            <w:tcBorders>
              <w:top w:val="nil"/>
              <w:left w:val="nil"/>
              <w:bottom w:val="nil"/>
              <w:right w:val="nil"/>
            </w:tcBorders>
            <w:shd w:val="clear" w:color="auto" w:fill="FFFFFF"/>
            <w:vAlign w:val="bottom"/>
          </w:tcPr>
          <w:p w14:paraId="2A26401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w:t>
            </w:r>
          </w:p>
        </w:tc>
        <w:tc>
          <w:tcPr>
            <w:tcW w:w="964" w:type="dxa"/>
            <w:tcBorders>
              <w:top w:val="nil"/>
              <w:left w:val="nil"/>
              <w:bottom w:val="nil"/>
              <w:right w:val="nil"/>
            </w:tcBorders>
            <w:shd w:val="clear" w:color="auto" w:fill="FFFFFF"/>
            <w:vAlign w:val="bottom"/>
          </w:tcPr>
          <w:p w14:paraId="18754E3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6EC553AA" w14:textId="77777777" w:rsidTr="00CD6D17">
        <w:tc>
          <w:tcPr>
            <w:tcW w:w="7124" w:type="dxa"/>
            <w:tcBorders>
              <w:top w:val="nil"/>
              <w:left w:val="nil"/>
              <w:bottom w:val="nil"/>
              <w:right w:val="nil"/>
            </w:tcBorders>
            <w:shd w:val="clear" w:color="auto" w:fill="FFFFFF"/>
            <w:vAlign w:val="bottom"/>
          </w:tcPr>
          <w:p w14:paraId="2876768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Grant and service procurement refunds^</w:t>
            </w:r>
          </w:p>
        </w:tc>
        <w:tc>
          <w:tcPr>
            <w:tcW w:w="964" w:type="dxa"/>
            <w:tcBorders>
              <w:top w:val="nil"/>
              <w:left w:val="nil"/>
              <w:bottom w:val="nil"/>
              <w:right w:val="nil"/>
            </w:tcBorders>
            <w:shd w:val="clear" w:color="auto" w:fill="FFFFFF"/>
            <w:vAlign w:val="bottom"/>
          </w:tcPr>
          <w:p w14:paraId="63AEF0E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15,197</w:t>
            </w:r>
          </w:p>
        </w:tc>
        <w:tc>
          <w:tcPr>
            <w:tcW w:w="964" w:type="dxa"/>
            <w:tcBorders>
              <w:top w:val="nil"/>
              <w:left w:val="nil"/>
              <w:bottom w:val="nil"/>
              <w:right w:val="nil"/>
            </w:tcBorders>
            <w:shd w:val="clear" w:color="auto" w:fill="FFFFFF"/>
            <w:vAlign w:val="bottom"/>
          </w:tcPr>
          <w:p w14:paraId="495C235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17,107</w:t>
            </w:r>
          </w:p>
        </w:tc>
      </w:tr>
      <w:tr w:rsidR="002E375F" w14:paraId="3DE6BFB5" w14:textId="77777777" w:rsidTr="00CD6D17">
        <w:tc>
          <w:tcPr>
            <w:tcW w:w="7124" w:type="dxa"/>
            <w:tcBorders>
              <w:top w:val="nil"/>
              <w:left w:val="nil"/>
              <w:bottom w:val="nil"/>
              <w:right w:val="nil"/>
            </w:tcBorders>
            <w:shd w:val="clear" w:color="auto" w:fill="FFFFFF"/>
            <w:vAlign w:val="bottom"/>
          </w:tcPr>
          <w:p w14:paraId="2327996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w:t>
            </w:r>
          </w:p>
        </w:tc>
        <w:tc>
          <w:tcPr>
            <w:tcW w:w="964" w:type="dxa"/>
            <w:tcBorders>
              <w:top w:val="nil"/>
              <w:left w:val="nil"/>
              <w:bottom w:val="single" w:sz="2" w:space="0" w:color="auto"/>
              <w:right w:val="nil"/>
            </w:tcBorders>
            <w:shd w:val="clear" w:color="auto" w:fill="FFFFFF"/>
            <w:vAlign w:val="bottom"/>
          </w:tcPr>
          <w:p w14:paraId="41347C4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3,274</w:t>
            </w:r>
          </w:p>
        </w:tc>
        <w:tc>
          <w:tcPr>
            <w:tcW w:w="964" w:type="dxa"/>
            <w:tcBorders>
              <w:top w:val="nil"/>
              <w:left w:val="nil"/>
              <w:bottom w:val="single" w:sz="2" w:space="0" w:color="auto"/>
              <w:right w:val="nil"/>
            </w:tcBorders>
            <w:shd w:val="clear" w:color="auto" w:fill="FFFFFF"/>
            <w:vAlign w:val="bottom"/>
          </w:tcPr>
          <w:p w14:paraId="158F84C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413</w:t>
            </w:r>
          </w:p>
        </w:tc>
      </w:tr>
      <w:tr w:rsidR="002E375F" w14:paraId="30D692AA" w14:textId="77777777" w:rsidTr="00CD6D17">
        <w:tc>
          <w:tcPr>
            <w:tcW w:w="7124" w:type="dxa"/>
            <w:tcBorders>
              <w:top w:val="nil"/>
              <w:left w:val="nil"/>
              <w:bottom w:val="nil"/>
              <w:right w:val="nil"/>
            </w:tcBorders>
            <w:shd w:val="clear" w:color="auto" w:fill="FFFFFF"/>
            <w:vAlign w:val="bottom"/>
          </w:tcPr>
          <w:p w14:paraId="585559A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5D5DE9E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18,474</w:t>
            </w:r>
          </w:p>
        </w:tc>
        <w:tc>
          <w:tcPr>
            <w:tcW w:w="964" w:type="dxa"/>
            <w:tcBorders>
              <w:top w:val="nil"/>
              <w:left w:val="nil"/>
              <w:bottom w:val="single" w:sz="2" w:space="0" w:color="auto"/>
              <w:right w:val="nil"/>
            </w:tcBorders>
            <w:shd w:val="clear" w:color="auto" w:fill="FFFFFF"/>
            <w:vAlign w:val="bottom"/>
          </w:tcPr>
          <w:p w14:paraId="76E4567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17,520</w:t>
            </w:r>
          </w:p>
        </w:tc>
      </w:tr>
    </w:tbl>
    <w:p w14:paraId="32C53F7A" w14:textId="77777777" w:rsidR="002E375F" w:rsidRDefault="00EB2569">
      <w:pPr>
        <w:autoSpaceDE w:val="0"/>
        <w:autoSpaceDN w:val="0"/>
        <w:adjustRightInd w:val="0"/>
        <w:spacing w:after="141" w:line="240" w:lineRule="auto"/>
        <w:jc w:val="both"/>
        <w:rPr>
          <w:rFonts w:ascii="Arial" w:hAnsi="Arial" w:cs="Arial"/>
          <w:sz w:val="18"/>
          <w:szCs w:val="18"/>
        </w:rPr>
      </w:pPr>
      <w:r>
        <w:rPr>
          <w:rFonts w:ascii="Arial" w:hAnsi="Arial" w:cs="Arial"/>
          <w:sz w:val="18"/>
          <w:szCs w:val="18"/>
        </w:rPr>
        <w:t>^ These refunds relate to the return of prior year unspent funds by non-government organisations.</w:t>
      </w:r>
    </w:p>
    <w:p w14:paraId="5420FC3E" w14:textId="77777777" w:rsidR="00CD6D17" w:rsidRDefault="00CD6D17" w:rsidP="00CD6D17">
      <w:pPr>
        <w:pStyle w:val="Heading3"/>
      </w:pPr>
      <w:r>
        <w:t>B2 Expenses</w:t>
      </w:r>
    </w:p>
    <w:p w14:paraId="1079B6F6" w14:textId="77777777" w:rsidR="00CD6D17" w:rsidRDefault="00CD6D17" w:rsidP="00CD6D17">
      <w:pPr>
        <w:pStyle w:val="Heading3"/>
        <w:rPr>
          <w:rFonts w:ascii="Times New Roman" w:hAnsi="Times New Roman" w:cs="Times New Roman"/>
        </w:rPr>
      </w:pPr>
      <w:r>
        <w:t>B2-1 Employee Expenses</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430CBE18" w14:textId="77777777" w:rsidTr="00CD6D17">
        <w:tc>
          <w:tcPr>
            <w:tcW w:w="7124" w:type="dxa"/>
            <w:tcBorders>
              <w:top w:val="nil"/>
              <w:left w:val="nil"/>
              <w:bottom w:val="nil"/>
              <w:right w:val="nil"/>
            </w:tcBorders>
            <w:shd w:val="clear" w:color="auto" w:fill="FFFFFF"/>
            <w:vAlign w:val="bottom"/>
          </w:tcPr>
          <w:p w14:paraId="286CA614"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6B2C1545" w14:textId="77777777" w:rsidR="002E375F" w:rsidRPr="00862FE1" w:rsidRDefault="00EB2569" w:rsidP="00862FE1">
            <w:pPr>
              <w:pStyle w:val="Heading2"/>
              <w:jc w:val="right"/>
              <w:rPr>
                <w:b/>
              </w:rPr>
            </w:pPr>
            <w:r w:rsidRPr="005A3B27">
              <w:rPr>
                <w:rFonts w:ascii="Arial" w:hAnsi="Arial" w:cs="Arial"/>
                <w:b/>
                <w:bCs/>
                <w:sz w:val="18"/>
                <w:szCs w:val="18"/>
              </w:rPr>
              <w:t>2020</w:t>
            </w:r>
            <w:r w:rsidRPr="005A3B27">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1538E743" w14:textId="77777777" w:rsidR="002E375F" w:rsidRPr="00A776CC"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6AA5251F" w14:textId="77777777" w:rsidTr="00CD6D17">
        <w:tc>
          <w:tcPr>
            <w:tcW w:w="7124" w:type="dxa"/>
            <w:tcBorders>
              <w:top w:val="nil"/>
              <w:left w:val="nil"/>
              <w:bottom w:val="nil"/>
              <w:right w:val="nil"/>
            </w:tcBorders>
            <w:shd w:val="clear" w:color="auto" w:fill="FFFFFF"/>
            <w:vAlign w:val="bottom"/>
          </w:tcPr>
          <w:p w14:paraId="5AE586D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Employee Benefits</w:t>
            </w:r>
          </w:p>
        </w:tc>
        <w:tc>
          <w:tcPr>
            <w:tcW w:w="964" w:type="dxa"/>
            <w:tcBorders>
              <w:top w:val="nil"/>
              <w:left w:val="nil"/>
              <w:bottom w:val="nil"/>
              <w:right w:val="nil"/>
            </w:tcBorders>
            <w:shd w:val="clear" w:color="auto" w:fill="FFFFFF"/>
            <w:vAlign w:val="bottom"/>
          </w:tcPr>
          <w:p w14:paraId="3273DEE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23BC94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4E293673" w14:textId="77777777" w:rsidTr="00CD6D17">
        <w:tc>
          <w:tcPr>
            <w:tcW w:w="7124" w:type="dxa"/>
            <w:tcBorders>
              <w:top w:val="nil"/>
              <w:left w:val="nil"/>
              <w:bottom w:val="nil"/>
              <w:right w:val="nil"/>
            </w:tcBorders>
            <w:shd w:val="clear" w:color="auto" w:fill="FFFFFF"/>
            <w:vAlign w:val="bottom"/>
          </w:tcPr>
          <w:p w14:paraId="5C8DF3E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Wages and salaries *</w:t>
            </w:r>
          </w:p>
        </w:tc>
        <w:tc>
          <w:tcPr>
            <w:tcW w:w="964" w:type="dxa"/>
            <w:tcBorders>
              <w:top w:val="nil"/>
              <w:left w:val="nil"/>
              <w:bottom w:val="nil"/>
              <w:right w:val="nil"/>
            </w:tcBorders>
            <w:shd w:val="clear" w:color="auto" w:fill="FFFFFF"/>
            <w:vAlign w:val="bottom"/>
          </w:tcPr>
          <w:p w14:paraId="4CD3808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151,552</w:t>
            </w:r>
          </w:p>
        </w:tc>
        <w:tc>
          <w:tcPr>
            <w:tcW w:w="964" w:type="dxa"/>
            <w:tcBorders>
              <w:top w:val="nil"/>
              <w:left w:val="nil"/>
              <w:bottom w:val="nil"/>
              <w:right w:val="nil"/>
            </w:tcBorders>
            <w:shd w:val="clear" w:color="auto" w:fill="FFFFFF"/>
            <w:vAlign w:val="bottom"/>
          </w:tcPr>
          <w:p w14:paraId="68F65BB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175,512</w:t>
            </w:r>
          </w:p>
        </w:tc>
      </w:tr>
      <w:tr w:rsidR="002E375F" w14:paraId="69CC589E" w14:textId="77777777" w:rsidTr="00CD6D17">
        <w:tc>
          <w:tcPr>
            <w:tcW w:w="7124" w:type="dxa"/>
            <w:tcBorders>
              <w:top w:val="nil"/>
              <w:left w:val="nil"/>
              <w:bottom w:val="nil"/>
              <w:right w:val="nil"/>
            </w:tcBorders>
            <w:shd w:val="clear" w:color="auto" w:fill="FFFFFF"/>
            <w:vAlign w:val="bottom"/>
          </w:tcPr>
          <w:p w14:paraId="1E1AB1B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Employer superannuation contributions</w:t>
            </w:r>
          </w:p>
        </w:tc>
        <w:tc>
          <w:tcPr>
            <w:tcW w:w="964" w:type="dxa"/>
            <w:tcBorders>
              <w:top w:val="nil"/>
              <w:left w:val="nil"/>
              <w:bottom w:val="nil"/>
              <w:right w:val="nil"/>
            </w:tcBorders>
            <w:shd w:val="clear" w:color="auto" w:fill="FFFFFF"/>
            <w:vAlign w:val="bottom"/>
          </w:tcPr>
          <w:p w14:paraId="0121A94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17,479</w:t>
            </w:r>
          </w:p>
        </w:tc>
        <w:tc>
          <w:tcPr>
            <w:tcW w:w="964" w:type="dxa"/>
            <w:tcBorders>
              <w:top w:val="nil"/>
              <w:left w:val="nil"/>
              <w:bottom w:val="nil"/>
              <w:right w:val="nil"/>
            </w:tcBorders>
            <w:shd w:val="clear" w:color="auto" w:fill="FFFFFF"/>
            <w:vAlign w:val="bottom"/>
          </w:tcPr>
          <w:p w14:paraId="0368E2A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21,291</w:t>
            </w:r>
          </w:p>
        </w:tc>
      </w:tr>
      <w:tr w:rsidR="002E375F" w14:paraId="4C8A1BA4" w14:textId="77777777" w:rsidTr="00CD6D17">
        <w:tc>
          <w:tcPr>
            <w:tcW w:w="7124" w:type="dxa"/>
            <w:tcBorders>
              <w:top w:val="nil"/>
              <w:left w:val="nil"/>
              <w:bottom w:val="nil"/>
              <w:right w:val="nil"/>
            </w:tcBorders>
            <w:shd w:val="clear" w:color="auto" w:fill="FFFFFF"/>
            <w:vAlign w:val="bottom"/>
          </w:tcPr>
          <w:p w14:paraId="5F7087F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Annual leave levy</w:t>
            </w:r>
          </w:p>
        </w:tc>
        <w:tc>
          <w:tcPr>
            <w:tcW w:w="964" w:type="dxa"/>
            <w:tcBorders>
              <w:top w:val="nil"/>
              <w:left w:val="nil"/>
              <w:bottom w:val="nil"/>
              <w:right w:val="nil"/>
            </w:tcBorders>
            <w:shd w:val="clear" w:color="auto" w:fill="FFFFFF"/>
            <w:vAlign w:val="bottom"/>
          </w:tcPr>
          <w:p w14:paraId="7B1CCBC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14,697</w:t>
            </w:r>
          </w:p>
        </w:tc>
        <w:tc>
          <w:tcPr>
            <w:tcW w:w="964" w:type="dxa"/>
            <w:tcBorders>
              <w:top w:val="nil"/>
              <w:left w:val="nil"/>
              <w:bottom w:val="nil"/>
              <w:right w:val="nil"/>
            </w:tcBorders>
            <w:shd w:val="clear" w:color="auto" w:fill="FFFFFF"/>
            <w:vAlign w:val="bottom"/>
          </w:tcPr>
          <w:p w14:paraId="1AC32C6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17,166</w:t>
            </w:r>
          </w:p>
        </w:tc>
      </w:tr>
      <w:tr w:rsidR="002E375F" w14:paraId="4897D1EE" w14:textId="77777777" w:rsidTr="00CD6D17">
        <w:tc>
          <w:tcPr>
            <w:tcW w:w="7124" w:type="dxa"/>
            <w:tcBorders>
              <w:top w:val="nil"/>
              <w:left w:val="nil"/>
              <w:bottom w:val="nil"/>
              <w:right w:val="nil"/>
            </w:tcBorders>
            <w:shd w:val="clear" w:color="auto" w:fill="FFFFFF"/>
            <w:vAlign w:val="bottom"/>
          </w:tcPr>
          <w:p w14:paraId="6953485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Long service leave levy</w:t>
            </w:r>
          </w:p>
        </w:tc>
        <w:tc>
          <w:tcPr>
            <w:tcW w:w="964" w:type="dxa"/>
            <w:tcBorders>
              <w:top w:val="nil"/>
              <w:left w:val="nil"/>
              <w:bottom w:val="nil"/>
              <w:right w:val="nil"/>
            </w:tcBorders>
            <w:shd w:val="clear" w:color="auto" w:fill="FFFFFF"/>
            <w:vAlign w:val="bottom"/>
          </w:tcPr>
          <w:p w14:paraId="3B0AB1F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3,497</w:t>
            </w:r>
          </w:p>
        </w:tc>
        <w:tc>
          <w:tcPr>
            <w:tcW w:w="964" w:type="dxa"/>
            <w:tcBorders>
              <w:top w:val="nil"/>
              <w:left w:val="nil"/>
              <w:bottom w:val="nil"/>
              <w:right w:val="nil"/>
            </w:tcBorders>
            <w:shd w:val="clear" w:color="auto" w:fill="FFFFFF"/>
            <w:vAlign w:val="bottom"/>
          </w:tcPr>
          <w:p w14:paraId="245AC08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3,675</w:t>
            </w:r>
          </w:p>
        </w:tc>
      </w:tr>
      <w:tr w:rsidR="002E375F" w14:paraId="24A58DF5" w14:textId="77777777" w:rsidTr="00CD6D17">
        <w:tc>
          <w:tcPr>
            <w:tcW w:w="7124" w:type="dxa"/>
            <w:tcBorders>
              <w:top w:val="nil"/>
              <w:left w:val="nil"/>
              <w:bottom w:val="nil"/>
              <w:right w:val="nil"/>
            </w:tcBorders>
            <w:shd w:val="clear" w:color="auto" w:fill="FFFFFF"/>
            <w:vAlign w:val="bottom"/>
          </w:tcPr>
          <w:p w14:paraId="035D72B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 employee benefits</w:t>
            </w:r>
          </w:p>
        </w:tc>
        <w:tc>
          <w:tcPr>
            <w:tcW w:w="964" w:type="dxa"/>
            <w:tcBorders>
              <w:top w:val="nil"/>
              <w:left w:val="nil"/>
              <w:bottom w:val="single" w:sz="2" w:space="0" w:color="auto"/>
              <w:right w:val="nil"/>
            </w:tcBorders>
            <w:shd w:val="clear" w:color="auto" w:fill="FFFFFF"/>
            <w:vAlign w:val="bottom"/>
          </w:tcPr>
          <w:p w14:paraId="3307063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3,150</w:t>
            </w:r>
          </w:p>
        </w:tc>
        <w:tc>
          <w:tcPr>
            <w:tcW w:w="964" w:type="dxa"/>
            <w:tcBorders>
              <w:top w:val="nil"/>
              <w:left w:val="nil"/>
              <w:bottom w:val="single" w:sz="2" w:space="0" w:color="auto"/>
              <w:right w:val="nil"/>
            </w:tcBorders>
            <w:shd w:val="clear" w:color="auto" w:fill="FFFFFF"/>
            <w:vAlign w:val="bottom"/>
          </w:tcPr>
          <w:p w14:paraId="2F85374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35,033</w:t>
            </w:r>
          </w:p>
        </w:tc>
      </w:tr>
      <w:tr w:rsidR="002E375F" w14:paraId="043DF123" w14:textId="77777777" w:rsidTr="00CD6D17">
        <w:tc>
          <w:tcPr>
            <w:tcW w:w="7124" w:type="dxa"/>
            <w:tcBorders>
              <w:top w:val="nil"/>
              <w:left w:val="nil"/>
              <w:bottom w:val="nil"/>
              <w:right w:val="nil"/>
            </w:tcBorders>
            <w:shd w:val="clear" w:color="auto" w:fill="FFFFFF"/>
            <w:vAlign w:val="bottom"/>
          </w:tcPr>
          <w:p w14:paraId="7E43C592"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08FF5C8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190,375</w:t>
            </w:r>
          </w:p>
        </w:tc>
        <w:tc>
          <w:tcPr>
            <w:tcW w:w="964" w:type="dxa"/>
            <w:tcBorders>
              <w:top w:val="nil"/>
              <w:left w:val="nil"/>
              <w:bottom w:val="single" w:sz="2" w:space="0" w:color="auto"/>
              <w:right w:val="nil"/>
            </w:tcBorders>
            <w:shd w:val="clear" w:color="auto" w:fill="FFFFFF"/>
            <w:vAlign w:val="bottom"/>
          </w:tcPr>
          <w:p w14:paraId="478CEBC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252,677</w:t>
            </w:r>
          </w:p>
        </w:tc>
      </w:tr>
      <w:tr w:rsidR="002E375F" w14:paraId="36B2267D" w14:textId="77777777" w:rsidTr="00CD6D17">
        <w:tc>
          <w:tcPr>
            <w:tcW w:w="7124" w:type="dxa"/>
            <w:tcBorders>
              <w:top w:val="nil"/>
              <w:left w:val="nil"/>
              <w:bottom w:val="nil"/>
              <w:right w:val="nil"/>
            </w:tcBorders>
            <w:shd w:val="clear" w:color="auto" w:fill="FFFFFF"/>
            <w:vAlign w:val="bottom"/>
          </w:tcPr>
          <w:p w14:paraId="575875E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Employee Related Expenses</w:t>
            </w:r>
          </w:p>
        </w:tc>
        <w:tc>
          <w:tcPr>
            <w:tcW w:w="964" w:type="dxa"/>
            <w:tcBorders>
              <w:top w:val="nil"/>
              <w:left w:val="nil"/>
              <w:bottom w:val="nil"/>
              <w:right w:val="nil"/>
            </w:tcBorders>
            <w:shd w:val="clear" w:color="auto" w:fill="FFFFFF"/>
            <w:vAlign w:val="bottom"/>
          </w:tcPr>
          <w:p w14:paraId="77AFDC82"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0AB4CE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6FFEB046" w14:textId="77777777" w:rsidTr="00CD6D17">
        <w:tc>
          <w:tcPr>
            <w:tcW w:w="7124" w:type="dxa"/>
            <w:tcBorders>
              <w:top w:val="nil"/>
              <w:left w:val="nil"/>
              <w:bottom w:val="nil"/>
              <w:right w:val="nil"/>
            </w:tcBorders>
            <w:shd w:val="clear" w:color="auto" w:fill="FFFFFF"/>
            <w:vAlign w:val="bottom"/>
          </w:tcPr>
          <w:p w14:paraId="6B7B6AD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Workers' compensation premium</w:t>
            </w:r>
          </w:p>
        </w:tc>
        <w:tc>
          <w:tcPr>
            <w:tcW w:w="964" w:type="dxa"/>
            <w:tcBorders>
              <w:top w:val="nil"/>
              <w:left w:val="nil"/>
              <w:bottom w:val="nil"/>
              <w:right w:val="nil"/>
            </w:tcBorders>
            <w:shd w:val="clear" w:color="auto" w:fill="FFFFFF"/>
            <w:vAlign w:val="bottom"/>
          </w:tcPr>
          <w:p w14:paraId="78BDB2D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2,113</w:t>
            </w:r>
          </w:p>
        </w:tc>
        <w:tc>
          <w:tcPr>
            <w:tcW w:w="964" w:type="dxa"/>
            <w:tcBorders>
              <w:top w:val="nil"/>
              <w:left w:val="nil"/>
              <w:bottom w:val="nil"/>
              <w:right w:val="nil"/>
            </w:tcBorders>
            <w:shd w:val="clear" w:color="auto" w:fill="FFFFFF"/>
            <w:vAlign w:val="bottom"/>
          </w:tcPr>
          <w:p w14:paraId="2083812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3,436</w:t>
            </w:r>
          </w:p>
        </w:tc>
      </w:tr>
      <w:tr w:rsidR="002E375F" w14:paraId="677338F2" w14:textId="77777777" w:rsidTr="00CD6D17">
        <w:tc>
          <w:tcPr>
            <w:tcW w:w="7124" w:type="dxa"/>
            <w:tcBorders>
              <w:top w:val="nil"/>
              <w:left w:val="nil"/>
              <w:bottom w:val="nil"/>
              <w:right w:val="nil"/>
            </w:tcBorders>
            <w:shd w:val="clear" w:color="auto" w:fill="FFFFFF"/>
            <w:vAlign w:val="bottom"/>
          </w:tcPr>
          <w:p w14:paraId="18BD57F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 employee related expenses</w:t>
            </w:r>
          </w:p>
        </w:tc>
        <w:tc>
          <w:tcPr>
            <w:tcW w:w="964" w:type="dxa"/>
            <w:tcBorders>
              <w:top w:val="nil"/>
              <w:left w:val="nil"/>
              <w:bottom w:val="single" w:sz="2" w:space="0" w:color="auto"/>
              <w:right w:val="nil"/>
            </w:tcBorders>
            <w:shd w:val="clear" w:color="auto" w:fill="FFFFFF"/>
            <w:vAlign w:val="bottom"/>
          </w:tcPr>
          <w:p w14:paraId="32E4F70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1,294</w:t>
            </w:r>
          </w:p>
        </w:tc>
        <w:tc>
          <w:tcPr>
            <w:tcW w:w="964" w:type="dxa"/>
            <w:tcBorders>
              <w:top w:val="nil"/>
              <w:left w:val="nil"/>
              <w:bottom w:val="single" w:sz="2" w:space="0" w:color="auto"/>
              <w:right w:val="nil"/>
            </w:tcBorders>
            <w:shd w:val="clear" w:color="auto" w:fill="FFFFFF"/>
            <w:vAlign w:val="bottom"/>
          </w:tcPr>
          <w:p w14:paraId="14E6706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874</w:t>
            </w:r>
          </w:p>
        </w:tc>
      </w:tr>
      <w:tr w:rsidR="002E375F" w14:paraId="52C6733A" w14:textId="77777777" w:rsidTr="00CD6D17">
        <w:tc>
          <w:tcPr>
            <w:tcW w:w="7124" w:type="dxa"/>
            <w:tcBorders>
              <w:top w:val="nil"/>
              <w:left w:val="nil"/>
              <w:bottom w:val="nil"/>
              <w:right w:val="nil"/>
            </w:tcBorders>
            <w:shd w:val="clear" w:color="auto" w:fill="FFFFFF"/>
            <w:vAlign w:val="bottom"/>
          </w:tcPr>
          <w:p w14:paraId="4A5C7CB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592992C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3,407</w:t>
            </w:r>
          </w:p>
        </w:tc>
        <w:tc>
          <w:tcPr>
            <w:tcW w:w="964" w:type="dxa"/>
            <w:tcBorders>
              <w:top w:val="nil"/>
              <w:left w:val="nil"/>
              <w:bottom w:val="single" w:sz="2" w:space="0" w:color="auto"/>
              <w:right w:val="nil"/>
            </w:tcBorders>
            <w:shd w:val="clear" w:color="auto" w:fill="FFFFFF"/>
            <w:vAlign w:val="bottom"/>
          </w:tcPr>
          <w:p w14:paraId="2AEFF63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4,310</w:t>
            </w:r>
          </w:p>
        </w:tc>
      </w:tr>
      <w:tr w:rsidR="002E375F" w14:paraId="0A0E373D" w14:textId="77777777" w:rsidTr="00CD6D17">
        <w:tc>
          <w:tcPr>
            <w:tcW w:w="7124" w:type="dxa"/>
            <w:tcBorders>
              <w:top w:val="nil"/>
              <w:left w:val="nil"/>
              <w:bottom w:val="nil"/>
              <w:right w:val="nil"/>
            </w:tcBorders>
            <w:shd w:val="clear" w:color="auto" w:fill="FFFFFF"/>
            <w:vAlign w:val="bottom"/>
          </w:tcPr>
          <w:p w14:paraId="223F559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72C302F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193,782</w:t>
            </w:r>
          </w:p>
        </w:tc>
        <w:tc>
          <w:tcPr>
            <w:tcW w:w="964" w:type="dxa"/>
            <w:tcBorders>
              <w:top w:val="nil"/>
              <w:left w:val="nil"/>
              <w:bottom w:val="single" w:sz="2" w:space="0" w:color="auto"/>
              <w:right w:val="nil"/>
            </w:tcBorders>
            <w:shd w:val="clear" w:color="auto" w:fill="FFFFFF"/>
            <w:vAlign w:val="bottom"/>
          </w:tcPr>
          <w:p w14:paraId="3E56267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256,987</w:t>
            </w:r>
          </w:p>
        </w:tc>
      </w:tr>
    </w:tbl>
    <w:p w14:paraId="5E69E5BE" w14:textId="77777777" w:rsidR="002E375F" w:rsidRDefault="00EB2569" w:rsidP="00862FE1">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Wages and salaries includes $2.327M of $1,250 one-off, pro-rata payments for 1862 full-time equivalent employees (announced in September 2019).</w:t>
      </w:r>
    </w:p>
    <w:p w14:paraId="1F9F87E9"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462DBFF9"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642A947D"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508F61DE"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27AA4F0D"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4BA7718D" w14:textId="77777777" w:rsidR="00CD6D17" w:rsidRDefault="00CD6D17" w:rsidP="00CD6D17">
      <w:pPr>
        <w:pStyle w:val="Heading3"/>
      </w:pPr>
      <w:r>
        <w:t>B2 Expenses (continued)</w:t>
      </w:r>
    </w:p>
    <w:p w14:paraId="71BC012A" w14:textId="77777777" w:rsidR="00CD6D17" w:rsidRDefault="00CD6D17" w:rsidP="00CD6D17">
      <w:pPr>
        <w:pStyle w:val="Heading3"/>
        <w:rPr>
          <w:rFonts w:ascii="Arial" w:hAnsi="Arial" w:cs="Arial"/>
        </w:rPr>
      </w:pPr>
      <w:r>
        <w:t>B2-1 Employee Expenses (continued)</w:t>
      </w:r>
    </w:p>
    <w:p w14:paraId="5485AB62"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number of employees on a full-time equivalent (FTE) basis under the Minimum Obligatory Human Resource Information (MOHRI) classification methodology is:</w:t>
      </w:r>
    </w:p>
    <w:tbl>
      <w:tblPr>
        <w:tblW w:w="0" w:type="auto"/>
        <w:tblLayout w:type="fixed"/>
        <w:tblCellMar>
          <w:left w:w="0" w:type="dxa"/>
          <w:right w:w="0" w:type="dxa"/>
        </w:tblCellMar>
        <w:tblLook w:val="0000" w:firstRow="0" w:lastRow="0" w:firstColumn="0" w:lastColumn="0" w:noHBand="0" w:noVBand="0"/>
      </w:tblPr>
      <w:tblGrid>
        <w:gridCol w:w="7105"/>
        <w:gridCol w:w="964"/>
        <w:gridCol w:w="964"/>
      </w:tblGrid>
      <w:tr w:rsidR="002E375F" w14:paraId="4B13C0D4" w14:textId="77777777" w:rsidTr="00922E1C">
        <w:tc>
          <w:tcPr>
            <w:tcW w:w="7105" w:type="dxa"/>
            <w:tcBorders>
              <w:top w:val="nil"/>
              <w:left w:val="nil"/>
              <w:bottom w:val="nil"/>
              <w:right w:val="nil"/>
            </w:tcBorders>
            <w:shd w:val="clear" w:color="auto" w:fill="FFFFFF"/>
            <w:vAlign w:val="bottom"/>
          </w:tcPr>
          <w:p w14:paraId="270CA3A6" w14:textId="77777777" w:rsidR="002E375F" w:rsidRDefault="002E375F" w:rsidP="001C442D">
            <w:pPr>
              <w:pStyle w:val="Heading2"/>
            </w:pPr>
          </w:p>
        </w:tc>
        <w:tc>
          <w:tcPr>
            <w:tcW w:w="964" w:type="dxa"/>
            <w:tcBorders>
              <w:top w:val="nil"/>
              <w:left w:val="nil"/>
              <w:right w:val="nil"/>
            </w:tcBorders>
            <w:shd w:val="clear" w:color="auto" w:fill="FFFFFF"/>
            <w:vAlign w:val="bottom"/>
          </w:tcPr>
          <w:p w14:paraId="2AEED100" w14:textId="77777777" w:rsidR="002E375F" w:rsidRPr="00862FE1" w:rsidRDefault="00EB2569" w:rsidP="00862FE1">
            <w:pPr>
              <w:pStyle w:val="Heading2"/>
              <w:jc w:val="right"/>
              <w:rPr>
                <w:b/>
              </w:rPr>
            </w:pPr>
            <w:r w:rsidRPr="005A3B27">
              <w:rPr>
                <w:rFonts w:ascii="Arial" w:hAnsi="Arial" w:cs="Arial"/>
                <w:b/>
                <w:bCs/>
                <w:sz w:val="18"/>
                <w:szCs w:val="18"/>
              </w:rPr>
              <w:t>2020</w:t>
            </w:r>
          </w:p>
        </w:tc>
        <w:tc>
          <w:tcPr>
            <w:tcW w:w="964" w:type="dxa"/>
            <w:tcBorders>
              <w:top w:val="nil"/>
              <w:left w:val="nil"/>
              <w:right w:val="nil"/>
            </w:tcBorders>
            <w:shd w:val="clear" w:color="auto" w:fill="FFFFFF"/>
            <w:vAlign w:val="bottom"/>
          </w:tcPr>
          <w:p w14:paraId="26D4C199" w14:textId="77777777" w:rsidR="002E375F" w:rsidRPr="007726EE" w:rsidRDefault="00EB2569" w:rsidP="00862FE1">
            <w:pPr>
              <w:pStyle w:val="Heading2"/>
              <w:jc w:val="right"/>
            </w:pPr>
            <w:r w:rsidRPr="007726EE">
              <w:rPr>
                <w:rFonts w:ascii="Arial" w:hAnsi="Arial" w:cs="Arial"/>
                <w:sz w:val="18"/>
                <w:szCs w:val="18"/>
              </w:rPr>
              <w:t>2019</w:t>
            </w:r>
          </w:p>
        </w:tc>
      </w:tr>
      <w:tr w:rsidR="002E375F" w:rsidRPr="00922E1C" w14:paraId="0389A29A" w14:textId="77777777" w:rsidTr="00922E1C">
        <w:tc>
          <w:tcPr>
            <w:tcW w:w="7105" w:type="dxa"/>
            <w:tcBorders>
              <w:top w:val="nil"/>
              <w:left w:val="nil"/>
              <w:bottom w:val="nil"/>
              <w:right w:val="nil"/>
            </w:tcBorders>
            <w:shd w:val="clear" w:color="auto" w:fill="FFFFFF"/>
            <w:vAlign w:val="bottom"/>
          </w:tcPr>
          <w:p w14:paraId="4FD9725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Number of full-time equivalent employees:</w:t>
            </w:r>
          </w:p>
        </w:tc>
        <w:tc>
          <w:tcPr>
            <w:tcW w:w="964" w:type="dxa"/>
            <w:tcBorders>
              <w:top w:val="nil"/>
              <w:left w:val="nil"/>
              <w:right w:val="nil"/>
            </w:tcBorders>
            <w:shd w:val="clear" w:color="auto" w:fill="FFFFFF"/>
            <w:vAlign w:val="bottom"/>
          </w:tcPr>
          <w:p w14:paraId="6404279B" w14:textId="77777777" w:rsidR="002E375F" w:rsidRPr="00922E1C" w:rsidRDefault="00EB2569">
            <w:pPr>
              <w:autoSpaceDE w:val="0"/>
              <w:autoSpaceDN w:val="0"/>
              <w:adjustRightInd w:val="0"/>
              <w:spacing w:after="0" w:line="240" w:lineRule="auto"/>
              <w:jc w:val="right"/>
              <w:rPr>
                <w:rFonts w:ascii="Times New Roman" w:hAnsi="Times New Roman" w:cs="Times New Roman"/>
                <w:sz w:val="24"/>
                <w:szCs w:val="24"/>
              </w:rPr>
            </w:pPr>
            <w:r w:rsidRPr="00922E1C">
              <w:rPr>
                <w:rFonts w:ascii="Arial" w:hAnsi="Arial" w:cs="Arial"/>
                <w:b/>
                <w:bCs/>
                <w:sz w:val="18"/>
                <w:szCs w:val="18"/>
              </w:rPr>
              <w:t>1,767</w:t>
            </w:r>
          </w:p>
        </w:tc>
        <w:tc>
          <w:tcPr>
            <w:tcW w:w="964" w:type="dxa"/>
            <w:tcBorders>
              <w:top w:val="nil"/>
              <w:left w:val="nil"/>
              <w:right w:val="nil"/>
            </w:tcBorders>
            <w:shd w:val="clear" w:color="auto" w:fill="FFFFFF"/>
            <w:vAlign w:val="bottom"/>
          </w:tcPr>
          <w:p w14:paraId="0E704166" w14:textId="77777777" w:rsidR="002E375F" w:rsidRPr="00922E1C" w:rsidRDefault="00EB2569">
            <w:pPr>
              <w:autoSpaceDE w:val="0"/>
              <w:autoSpaceDN w:val="0"/>
              <w:adjustRightInd w:val="0"/>
              <w:spacing w:after="0" w:line="240" w:lineRule="auto"/>
              <w:jc w:val="right"/>
              <w:rPr>
                <w:rFonts w:ascii="Times New Roman" w:hAnsi="Times New Roman" w:cs="Times New Roman"/>
                <w:sz w:val="24"/>
                <w:szCs w:val="24"/>
              </w:rPr>
            </w:pPr>
            <w:r w:rsidRPr="00922E1C">
              <w:rPr>
                <w:rFonts w:ascii="Arial" w:hAnsi="Arial" w:cs="Arial"/>
                <w:sz w:val="18"/>
                <w:szCs w:val="18"/>
              </w:rPr>
              <w:t>2,033</w:t>
            </w:r>
          </w:p>
        </w:tc>
      </w:tr>
    </w:tbl>
    <w:p w14:paraId="522F986E" w14:textId="77777777" w:rsidR="002E375F" w:rsidRDefault="00EB2569" w:rsidP="00E101AE">
      <w:pPr>
        <w:autoSpaceDE w:val="0"/>
        <w:autoSpaceDN w:val="0"/>
        <w:adjustRightInd w:val="0"/>
        <w:spacing w:after="141" w:line="240" w:lineRule="auto"/>
        <w:rPr>
          <w:rFonts w:ascii="Arial" w:hAnsi="Arial" w:cs="Arial"/>
          <w:sz w:val="18"/>
          <w:szCs w:val="18"/>
        </w:rPr>
      </w:pPr>
      <w:r>
        <w:rPr>
          <w:rFonts w:ascii="Arial" w:hAnsi="Arial" w:cs="Arial"/>
          <w:sz w:val="18"/>
          <w:szCs w:val="18"/>
        </w:rPr>
        <w:t>The decrease in the number of employees was due to the continuing transfer of disability services responsibilities to the NDIA. Refer to Note D3-5 for further information.</w:t>
      </w:r>
    </w:p>
    <w:p w14:paraId="06F78D6E" w14:textId="77777777" w:rsidR="004212EA" w:rsidRDefault="004212EA" w:rsidP="004212EA">
      <w:pPr>
        <w:pStyle w:val="Heading3"/>
        <w:rPr>
          <w:rFonts w:ascii="Times New Roman" w:hAnsi="Times New Roman" w:cs="Times New Roman"/>
        </w:rPr>
      </w:pPr>
      <w:r w:rsidRPr="00E116EC">
        <w:t>Accounting Policies - Employee Benefits</w:t>
      </w:r>
    </w:p>
    <w:p w14:paraId="61F963CA" w14:textId="77777777" w:rsidR="002E375F" w:rsidRPr="00E116EC" w:rsidRDefault="00EB2569" w:rsidP="00E116EC">
      <w:pPr>
        <w:pStyle w:val="Heading3"/>
        <w:rPr>
          <w:sz w:val="18"/>
          <w:szCs w:val="18"/>
        </w:rPr>
      </w:pPr>
      <w:r w:rsidRPr="00E116EC">
        <w:rPr>
          <w:sz w:val="18"/>
          <w:szCs w:val="18"/>
        </w:rPr>
        <w:t>Accounting Policy - Wages and Salaries</w:t>
      </w:r>
    </w:p>
    <w:p w14:paraId="37762A61"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Wages and salaries due, but unpaid at reporting date, are recognised in the balance sheet at the current salary rates. As the department expects such liabilities to be wholly settled within 12 months of reporting date, the liabilities are recognised at undiscounted amounts. Wages and salaries includes any non-vesting sick leave that has been paid by the department during the financial year.</w:t>
      </w:r>
    </w:p>
    <w:p w14:paraId="4B449797" w14:textId="77777777" w:rsidR="002E375F" w:rsidRPr="00E116EC" w:rsidRDefault="00EB2569" w:rsidP="00E116EC">
      <w:pPr>
        <w:pStyle w:val="Heading3"/>
        <w:rPr>
          <w:sz w:val="18"/>
          <w:szCs w:val="18"/>
        </w:rPr>
      </w:pPr>
      <w:r w:rsidRPr="00E116EC">
        <w:rPr>
          <w:sz w:val="18"/>
          <w:szCs w:val="18"/>
        </w:rPr>
        <w:t>Accounting Policy - Annual Leave</w:t>
      </w:r>
    </w:p>
    <w:p w14:paraId="21785938"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State Government's Annual Leave Central Scheme (ALCS) became operational on 30 June 2008 for departments, commercialised business units and shared service providers. Under this scheme, a levy is made on the department to cover the cost of employees’ annual leave (including leave loading and on-costs). The levies are expensed in the period in which they are payable. Amounts paid to employees for annual leave are claimed from the scheme quarterly in arrears.</w:t>
      </w:r>
    </w:p>
    <w:p w14:paraId="21037943" w14:textId="77777777" w:rsidR="002E375F" w:rsidRPr="00E116EC" w:rsidRDefault="00EB2569" w:rsidP="00E116EC">
      <w:pPr>
        <w:pStyle w:val="Heading3"/>
        <w:rPr>
          <w:sz w:val="18"/>
          <w:szCs w:val="18"/>
        </w:rPr>
      </w:pPr>
      <w:r w:rsidRPr="00E116EC">
        <w:rPr>
          <w:sz w:val="18"/>
          <w:szCs w:val="18"/>
        </w:rPr>
        <w:t>Accounting Policy - Long Service Leave</w:t>
      </w:r>
    </w:p>
    <w:p w14:paraId="1D4FB07F"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Under the State Government’s Long Service Leave Scheme, a levy is made on the department to cover the cost of employee's long service leave. The levies are expensed in the period in which they are payable. Amounts paid to employees for long service leave are claimed from the scheme quarterly in arrears.</w:t>
      </w:r>
    </w:p>
    <w:p w14:paraId="1532B19C" w14:textId="77777777" w:rsidR="002E375F" w:rsidRPr="00E116EC" w:rsidRDefault="00EB2569" w:rsidP="00E116EC">
      <w:pPr>
        <w:pStyle w:val="Heading3"/>
        <w:rPr>
          <w:sz w:val="18"/>
          <w:szCs w:val="18"/>
        </w:rPr>
      </w:pPr>
      <w:r w:rsidRPr="00E116EC">
        <w:rPr>
          <w:sz w:val="18"/>
          <w:szCs w:val="18"/>
        </w:rPr>
        <w:t>Accounting Policy - Superannuation</w:t>
      </w:r>
    </w:p>
    <w:p w14:paraId="54D46D5C"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Post-employment benefits for superannuation are provided through defined contribution (accumulation) plans or the State Government’s QSuper defined benefit plan as determined by the employee’s conditions of employment.</w:t>
      </w:r>
    </w:p>
    <w:p w14:paraId="74744B65" w14:textId="77777777" w:rsidR="002E375F" w:rsidRPr="004212EA" w:rsidRDefault="00EB2569" w:rsidP="00E101AE">
      <w:pPr>
        <w:autoSpaceDE w:val="0"/>
        <w:autoSpaceDN w:val="0"/>
        <w:adjustRightInd w:val="0"/>
        <w:spacing w:after="141" w:line="240" w:lineRule="auto"/>
        <w:rPr>
          <w:rFonts w:ascii="Times New Roman" w:hAnsi="Times New Roman" w:cs="Times New Roman"/>
          <w:sz w:val="24"/>
          <w:szCs w:val="24"/>
        </w:rPr>
      </w:pPr>
      <w:r w:rsidRPr="008405EE">
        <w:rPr>
          <w:rFonts w:ascii="Arial" w:hAnsi="Arial" w:cs="Arial"/>
          <w:sz w:val="18"/>
          <w:szCs w:val="18"/>
        </w:rPr>
        <w:t>Defined Contribution Plans</w:t>
      </w:r>
      <w:r>
        <w:rPr>
          <w:rFonts w:ascii="Arial" w:hAnsi="Arial" w:cs="Arial"/>
          <w:sz w:val="18"/>
          <w:szCs w:val="18"/>
        </w:rPr>
        <w:t xml:space="preserve"> - Contributions are made to eligible complying superannuation funds based on the rates specified in the relevant EBA or other conditions of employment. Contributions are expensed when they are paid </w:t>
      </w:r>
      <w:r w:rsidRPr="004212EA">
        <w:rPr>
          <w:rFonts w:ascii="Arial" w:hAnsi="Arial" w:cs="Arial"/>
          <w:sz w:val="18"/>
          <w:szCs w:val="18"/>
        </w:rPr>
        <w:t>or become payable following completion of the employee’s service each pay period.</w:t>
      </w:r>
    </w:p>
    <w:p w14:paraId="2C7D4DE4"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sidRPr="004212EA">
        <w:rPr>
          <w:rFonts w:ascii="Arial" w:hAnsi="Arial" w:cs="Arial"/>
          <w:sz w:val="18"/>
          <w:szCs w:val="18"/>
        </w:rPr>
        <w:t>Defined Benefit Plan - The liability for defined benefits is held on a Whole-of-Government basis and reported in</w:t>
      </w:r>
      <w:r>
        <w:rPr>
          <w:rFonts w:ascii="Arial" w:hAnsi="Arial" w:cs="Arial"/>
          <w:sz w:val="18"/>
          <w:szCs w:val="18"/>
        </w:rPr>
        <w:t xml:space="preserve"> those financial statements pursuant to AASB 1049 </w:t>
      </w:r>
      <w:r>
        <w:rPr>
          <w:rFonts w:ascii="Arial" w:hAnsi="Arial" w:cs="Arial"/>
          <w:i/>
          <w:iCs/>
          <w:sz w:val="18"/>
          <w:szCs w:val="18"/>
        </w:rPr>
        <w:t>Whole of Government and General Government Sector Financial Reporting</w:t>
      </w:r>
      <w:r>
        <w:rPr>
          <w:rFonts w:ascii="Arial" w:hAnsi="Arial" w:cs="Arial"/>
          <w:sz w:val="18"/>
          <w:szCs w:val="18"/>
        </w:rPr>
        <w:t>. The amount of contributions for defined benefit plan obligations is based upon the rates determined on the advice of the State Actuary. Contributions are paid by the department at the specified rate following completion of the employee’s service each pay period. The department’s obligations are limited to those contributions paid.</w:t>
      </w:r>
    </w:p>
    <w:p w14:paraId="5E21E264" w14:textId="77777777" w:rsidR="002E375F" w:rsidRPr="00E116EC" w:rsidRDefault="00EB2569" w:rsidP="00E116EC">
      <w:pPr>
        <w:pStyle w:val="Heading3"/>
        <w:rPr>
          <w:sz w:val="18"/>
          <w:szCs w:val="18"/>
        </w:rPr>
      </w:pPr>
      <w:r w:rsidRPr="00E116EC">
        <w:rPr>
          <w:sz w:val="18"/>
          <w:szCs w:val="18"/>
        </w:rPr>
        <w:t>Accounting Policy - Workers Compensation Premiums</w:t>
      </w:r>
    </w:p>
    <w:p w14:paraId="54F709DE"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 pays premiums to WorkCover Queensland in respect of its obligations for employee compensation. Workers compensation insurance is a consequence of employing employees, but is not counted in an employee’s total remuneration package. It is not employee benefits and is recognised separately as employee related expenses.</w:t>
      </w:r>
    </w:p>
    <w:p w14:paraId="244266F0" w14:textId="77777777" w:rsidR="002E375F" w:rsidRDefault="00EB2569" w:rsidP="00E101A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Key management personnel and remuneration disclosures are detailed in Note F1.</w:t>
      </w:r>
    </w:p>
    <w:p w14:paraId="2273BE23" w14:textId="77777777" w:rsidR="002E375F" w:rsidRDefault="002E375F" w:rsidP="00E101AE">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4D51F9FD"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5CF03E5E"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079585BA"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0E37E16D"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10CFD690" w14:textId="77777777" w:rsidR="00CD6D17" w:rsidRDefault="00CD6D17" w:rsidP="00CD6D17">
      <w:pPr>
        <w:pStyle w:val="Heading3"/>
      </w:pPr>
      <w:r>
        <w:t>B2 Expenses (continued)</w:t>
      </w:r>
    </w:p>
    <w:p w14:paraId="1066FC20" w14:textId="77777777" w:rsidR="002E375F" w:rsidRDefault="00CD6D17" w:rsidP="00CD6D17">
      <w:pPr>
        <w:pStyle w:val="Heading3"/>
        <w:rPr>
          <w:rFonts w:ascii="Times New Roman" w:hAnsi="Times New Roman" w:cs="Times New Roman"/>
        </w:rPr>
      </w:pPr>
      <w:r>
        <w:t>B2-2 Supplies and Services</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2EF7C816" w14:textId="77777777" w:rsidTr="00CD6D17">
        <w:tc>
          <w:tcPr>
            <w:tcW w:w="7124" w:type="dxa"/>
            <w:tcBorders>
              <w:top w:val="nil"/>
              <w:left w:val="nil"/>
              <w:bottom w:val="nil"/>
              <w:right w:val="nil"/>
            </w:tcBorders>
            <w:shd w:val="clear" w:color="auto" w:fill="FFFFFF"/>
            <w:vAlign w:val="bottom"/>
          </w:tcPr>
          <w:p w14:paraId="59E318BD"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7838DE94" w14:textId="77777777" w:rsidR="002E375F" w:rsidRPr="00862FE1" w:rsidRDefault="00EB2569" w:rsidP="00862FE1">
            <w:pPr>
              <w:pStyle w:val="Heading2"/>
              <w:jc w:val="right"/>
              <w:rPr>
                <w:b/>
              </w:rPr>
            </w:pPr>
            <w:r w:rsidRPr="005A3B27">
              <w:rPr>
                <w:rFonts w:ascii="Arial" w:hAnsi="Arial" w:cs="Arial"/>
                <w:b/>
                <w:bCs/>
                <w:sz w:val="18"/>
                <w:szCs w:val="18"/>
              </w:rPr>
              <w:t>2020</w:t>
            </w:r>
            <w:r w:rsidRPr="005A3B27">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38BFBE64"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64C5C3C8" w14:textId="77777777" w:rsidTr="00CD6D17">
        <w:tc>
          <w:tcPr>
            <w:tcW w:w="7124" w:type="dxa"/>
            <w:tcBorders>
              <w:top w:val="nil"/>
              <w:left w:val="nil"/>
              <w:bottom w:val="nil"/>
              <w:right w:val="nil"/>
            </w:tcBorders>
            <w:shd w:val="clear" w:color="auto" w:fill="FFFFFF"/>
            <w:vAlign w:val="bottom"/>
          </w:tcPr>
          <w:p w14:paraId="72C3D1F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Service Procurement</w:t>
            </w:r>
          </w:p>
        </w:tc>
        <w:tc>
          <w:tcPr>
            <w:tcW w:w="964" w:type="dxa"/>
            <w:tcBorders>
              <w:top w:val="nil"/>
              <w:left w:val="nil"/>
              <w:bottom w:val="nil"/>
              <w:right w:val="nil"/>
            </w:tcBorders>
            <w:shd w:val="clear" w:color="auto" w:fill="FFFFFF"/>
            <w:vAlign w:val="bottom"/>
          </w:tcPr>
          <w:p w14:paraId="5D5A4EF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C932A2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20C934A2" w14:textId="77777777" w:rsidTr="00CD6D17">
        <w:tc>
          <w:tcPr>
            <w:tcW w:w="7124" w:type="dxa"/>
            <w:tcBorders>
              <w:top w:val="nil"/>
              <w:left w:val="nil"/>
              <w:bottom w:val="nil"/>
              <w:right w:val="nil"/>
            </w:tcBorders>
            <w:shd w:val="clear" w:color="auto" w:fill="FFFFFF"/>
            <w:vAlign w:val="bottom"/>
          </w:tcPr>
          <w:p w14:paraId="11F4BBC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Disability Services</w:t>
            </w:r>
          </w:p>
        </w:tc>
        <w:tc>
          <w:tcPr>
            <w:tcW w:w="964" w:type="dxa"/>
            <w:tcBorders>
              <w:top w:val="nil"/>
              <w:left w:val="nil"/>
              <w:bottom w:val="nil"/>
              <w:right w:val="nil"/>
            </w:tcBorders>
            <w:shd w:val="clear" w:color="auto" w:fill="FFFFFF"/>
            <w:vAlign w:val="bottom"/>
          </w:tcPr>
          <w:p w14:paraId="74D49F4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48,707</w:t>
            </w:r>
          </w:p>
        </w:tc>
        <w:tc>
          <w:tcPr>
            <w:tcW w:w="964" w:type="dxa"/>
            <w:tcBorders>
              <w:top w:val="nil"/>
              <w:left w:val="nil"/>
              <w:bottom w:val="nil"/>
              <w:right w:val="nil"/>
            </w:tcBorders>
            <w:shd w:val="clear" w:color="auto" w:fill="FFFFFF"/>
            <w:vAlign w:val="bottom"/>
          </w:tcPr>
          <w:p w14:paraId="1BEE51E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452,308</w:t>
            </w:r>
          </w:p>
        </w:tc>
      </w:tr>
      <w:tr w:rsidR="002E375F" w14:paraId="7B61EE6D" w14:textId="77777777" w:rsidTr="00CD6D17">
        <w:tc>
          <w:tcPr>
            <w:tcW w:w="7124" w:type="dxa"/>
            <w:tcBorders>
              <w:top w:val="nil"/>
              <w:left w:val="nil"/>
              <w:bottom w:val="nil"/>
              <w:right w:val="nil"/>
            </w:tcBorders>
            <w:shd w:val="clear" w:color="auto" w:fill="FFFFFF"/>
            <w:vAlign w:val="bottom"/>
          </w:tcPr>
          <w:p w14:paraId="61F4EE4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Community Services*</w:t>
            </w:r>
          </w:p>
        </w:tc>
        <w:tc>
          <w:tcPr>
            <w:tcW w:w="964" w:type="dxa"/>
            <w:tcBorders>
              <w:top w:val="nil"/>
              <w:left w:val="nil"/>
              <w:bottom w:val="nil"/>
              <w:right w:val="nil"/>
            </w:tcBorders>
            <w:shd w:val="clear" w:color="auto" w:fill="FFFFFF"/>
            <w:vAlign w:val="bottom"/>
          </w:tcPr>
          <w:p w14:paraId="0C6652A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55,433</w:t>
            </w:r>
          </w:p>
        </w:tc>
        <w:tc>
          <w:tcPr>
            <w:tcW w:w="964" w:type="dxa"/>
            <w:tcBorders>
              <w:top w:val="nil"/>
              <w:left w:val="nil"/>
              <w:bottom w:val="nil"/>
              <w:right w:val="nil"/>
            </w:tcBorders>
            <w:shd w:val="clear" w:color="auto" w:fill="FFFFFF"/>
            <w:vAlign w:val="bottom"/>
          </w:tcPr>
          <w:p w14:paraId="4C7D3B8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169,734</w:t>
            </w:r>
          </w:p>
        </w:tc>
      </w:tr>
      <w:tr w:rsidR="002E375F" w14:paraId="05B016CB" w14:textId="77777777" w:rsidTr="00CD6D17">
        <w:tc>
          <w:tcPr>
            <w:tcW w:w="7124" w:type="dxa"/>
            <w:tcBorders>
              <w:top w:val="nil"/>
              <w:left w:val="nil"/>
              <w:bottom w:val="nil"/>
              <w:right w:val="nil"/>
            </w:tcBorders>
            <w:shd w:val="clear" w:color="auto" w:fill="FFFFFF"/>
            <w:vAlign w:val="bottom"/>
          </w:tcPr>
          <w:p w14:paraId="7704CED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Seniors Services</w:t>
            </w:r>
          </w:p>
        </w:tc>
        <w:tc>
          <w:tcPr>
            <w:tcW w:w="964" w:type="dxa"/>
            <w:tcBorders>
              <w:top w:val="nil"/>
              <w:left w:val="nil"/>
              <w:bottom w:val="nil"/>
              <w:right w:val="nil"/>
            </w:tcBorders>
            <w:shd w:val="clear" w:color="auto" w:fill="FFFFFF"/>
            <w:vAlign w:val="bottom"/>
          </w:tcPr>
          <w:p w14:paraId="0E8123D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10,339</w:t>
            </w:r>
          </w:p>
        </w:tc>
        <w:tc>
          <w:tcPr>
            <w:tcW w:w="964" w:type="dxa"/>
            <w:tcBorders>
              <w:top w:val="nil"/>
              <w:left w:val="nil"/>
              <w:bottom w:val="nil"/>
              <w:right w:val="nil"/>
            </w:tcBorders>
            <w:shd w:val="clear" w:color="auto" w:fill="FFFFFF"/>
            <w:vAlign w:val="bottom"/>
          </w:tcPr>
          <w:p w14:paraId="0B48DF6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9,741</w:t>
            </w:r>
          </w:p>
        </w:tc>
      </w:tr>
      <w:tr w:rsidR="002E375F" w14:paraId="21A21CFA" w14:textId="77777777" w:rsidTr="00CD6D17">
        <w:tc>
          <w:tcPr>
            <w:tcW w:w="7124" w:type="dxa"/>
            <w:tcBorders>
              <w:top w:val="nil"/>
              <w:left w:val="nil"/>
              <w:bottom w:val="nil"/>
              <w:right w:val="nil"/>
            </w:tcBorders>
            <w:shd w:val="clear" w:color="auto" w:fill="FFFFFF"/>
            <w:vAlign w:val="bottom"/>
          </w:tcPr>
          <w:p w14:paraId="4F67141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Outsourced corporate services</w:t>
            </w:r>
          </w:p>
        </w:tc>
        <w:tc>
          <w:tcPr>
            <w:tcW w:w="964" w:type="dxa"/>
            <w:tcBorders>
              <w:top w:val="nil"/>
              <w:left w:val="nil"/>
              <w:bottom w:val="nil"/>
              <w:right w:val="nil"/>
            </w:tcBorders>
            <w:shd w:val="clear" w:color="auto" w:fill="FFFFFF"/>
            <w:vAlign w:val="bottom"/>
          </w:tcPr>
          <w:p w14:paraId="407A352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15,599</w:t>
            </w:r>
          </w:p>
        </w:tc>
        <w:tc>
          <w:tcPr>
            <w:tcW w:w="964" w:type="dxa"/>
            <w:tcBorders>
              <w:top w:val="nil"/>
              <w:left w:val="nil"/>
              <w:bottom w:val="nil"/>
              <w:right w:val="nil"/>
            </w:tcBorders>
            <w:shd w:val="clear" w:color="auto" w:fill="FFFFFF"/>
            <w:vAlign w:val="bottom"/>
          </w:tcPr>
          <w:p w14:paraId="2B561CF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21,834</w:t>
            </w:r>
          </w:p>
        </w:tc>
      </w:tr>
      <w:tr w:rsidR="002E375F" w14:paraId="2771C18A" w14:textId="77777777" w:rsidTr="00CD6D17">
        <w:tc>
          <w:tcPr>
            <w:tcW w:w="7124" w:type="dxa"/>
            <w:tcBorders>
              <w:top w:val="nil"/>
              <w:left w:val="nil"/>
              <w:bottom w:val="nil"/>
              <w:right w:val="nil"/>
            </w:tcBorders>
            <w:shd w:val="clear" w:color="auto" w:fill="FFFFFF"/>
            <w:vAlign w:val="bottom"/>
          </w:tcPr>
          <w:p w14:paraId="633E763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Property and other leasing expenses</w:t>
            </w:r>
          </w:p>
        </w:tc>
        <w:tc>
          <w:tcPr>
            <w:tcW w:w="964" w:type="dxa"/>
            <w:tcBorders>
              <w:top w:val="nil"/>
              <w:left w:val="nil"/>
              <w:bottom w:val="nil"/>
              <w:right w:val="nil"/>
            </w:tcBorders>
            <w:shd w:val="clear" w:color="auto" w:fill="FFFFFF"/>
            <w:vAlign w:val="bottom"/>
          </w:tcPr>
          <w:p w14:paraId="6E49FC3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11,461</w:t>
            </w:r>
          </w:p>
        </w:tc>
        <w:tc>
          <w:tcPr>
            <w:tcW w:w="964" w:type="dxa"/>
            <w:tcBorders>
              <w:top w:val="nil"/>
              <w:left w:val="nil"/>
              <w:bottom w:val="nil"/>
              <w:right w:val="nil"/>
            </w:tcBorders>
            <w:shd w:val="clear" w:color="auto" w:fill="FFFFFF"/>
            <w:vAlign w:val="bottom"/>
          </w:tcPr>
          <w:p w14:paraId="275C9FF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18,144</w:t>
            </w:r>
          </w:p>
        </w:tc>
      </w:tr>
      <w:tr w:rsidR="002E375F" w14:paraId="7B654E3F" w14:textId="77777777" w:rsidTr="00CD6D17">
        <w:tc>
          <w:tcPr>
            <w:tcW w:w="7124" w:type="dxa"/>
            <w:tcBorders>
              <w:top w:val="nil"/>
              <w:left w:val="nil"/>
              <w:bottom w:val="nil"/>
              <w:right w:val="nil"/>
            </w:tcBorders>
            <w:shd w:val="clear" w:color="auto" w:fill="FFFFFF"/>
            <w:vAlign w:val="bottom"/>
          </w:tcPr>
          <w:p w14:paraId="521A99C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Property support, repairs and maintenance costs</w:t>
            </w:r>
          </w:p>
        </w:tc>
        <w:tc>
          <w:tcPr>
            <w:tcW w:w="964" w:type="dxa"/>
            <w:tcBorders>
              <w:top w:val="nil"/>
              <w:left w:val="nil"/>
              <w:bottom w:val="nil"/>
              <w:right w:val="nil"/>
            </w:tcBorders>
            <w:shd w:val="clear" w:color="auto" w:fill="FFFFFF"/>
            <w:vAlign w:val="bottom"/>
          </w:tcPr>
          <w:p w14:paraId="618B696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8,904</w:t>
            </w:r>
          </w:p>
        </w:tc>
        <w:tc>
          <w:tcPr>
            <w:tcW w:w="964" w:type="dxa"/>
            <w:tcBorders>
              <w:top w:val="nil"/>
              <w:left w:val="nil"/>
              <w:bottom w:val="nil"/>
              <w:right w:val="nil"/>
            </w:tcBorders>
            <w:shd w:val="clear" w:color="auto" w:fill="FFFFFF"/>
            <w:vAlign w:val="bottom"/>
          </w:tcPr>
          <w:p w14:paraId="3C5747A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10,189</w:t>
            </w:r>
          </w:p>
        </w:tc>
      </w:tr>
      <w:tr w:rsidR="002E375F" w14:paraId="58F89AF1" w14:textId="77777777" w:rsidTr="00CD6D17">
        <w:tc>
          <w:tcPr>
            <w:tcW w:w="7124" w:type="dxa"/>
            <w:tcBorders>
              <w:top w:val="nil"/>
              <w:left w:val="nil"/>
              <w:bottom w:val="nil"/>
              <w:right w:val="nil"/>
            </w:tcBorders>
            <w:shd w:val="clear" w:color="auto" w:fill="FFFFFF"/>
            <w:vAlign w:val="bottom"/>
          </w:tcPr>
          <w:p w14:paraId="7877D30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Professional and technical fees</w:t>
            </w:r>
          </w:p>
        </w:tc>
        <w:tc>
          <w:tcPr>
            <w:tcW w:w="964" w:type="dxa"/>
            <w:tcBorders>
              <w:top w:val="nil"/>
              <w:left w:val="nil"/>
              <w:bottom w:val="nil"/>
              <w:right w:val="nil"/>
            </w:tcBorders>
            <w:shd w:val="clear" w:color="auto" w:fill="FFFFFF"/>
            <w:vAlign w:val="bottom"/>
          </w:tcPr>
          <w:p w14:paraId="27E69A9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9,256</w:t>
            </w:r>
          </w:p>
        </w:tc>
        <w:tc>
          <w:tcPr>
            <w:tcW w:w="964" w:type="dxa"/>
            <w:tcBorders>
              <w:top w:val="nil"/>
              <w:left w:val="nil"/>
              <w:bottom w:val="nil"/>
              <w:right w:val="nil"/>
            </w:tcBorders>
            <w:shd w:val="clear" w:color="auto" w:fill="FFFFFF"/>
            <w:vAlign w:val="bottom"/>
          </w:tcPr>
          <w:p w14:paraId="54C65D5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11,923</w:t>
            </w:r>
          </w:p>
        </w:tc>
      </w:tr>
      <w:tr w:rsidR="002E375F" w14:paraId="49FFC548" w14:textId="77777777" w:rsidTr="00CD6D17">
        <w:tc>
          <w:tcPr>
            <w:tcW w:w="7124" w:type="dxa"/>
            <w:tcBorders>
              <w:top w:val="nil"/>
              <w:left w:val="nil"/>
              <w:bottom w:val="nil"/>
              <w:right w:val="nil"/>
            </w:tcBorders>
            <w:shd w:val="clear" w:color="auto" w:fill="FFFFFF"/>
            <w:vAlign w:val="bottom"/>
          </w:tcPr>
          <w:p w14:paraId="545CE77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w:t>
            </w:r>
          </w:p>
        </w:tc>
        <w:tc>
          <w:tcPr>
            <w:tcW w:w="964" w:type="dxa"/>
            <w:tcBorders>
              <w:top w:val="nil"/>
              <w:left w:val="nil"/>
              <w:bottom w:val="nil"/>
              <w:right w:val="nil"/>
            </w:tcBorders>
            <w:shd w:val="clear" w:color="auto" w:fill="FFFFFF"/>
            <w:vAlign w:val="bottom"/>
          </w:tcPr>
          <w:p w14:paraId="0B27B65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4,028</w:t>
            </w:r>
          </w:p>
        </w:tc>
        <w:tc>
          <w:tcPr>
            <w:tcW w:w="964" w:type="dxa"/>
            <w:tcBorders>
              <w:top w:val="nil"/>
              <w:left w:val="nil"/>
              <w:bottom w:val="nil"/>
              <w:right w:val="nil"/>
            </w:tcBorders>
            <w:shd w:val="clear" w:color="auto" w:fill="FFFFFF"/>
            <w:vAlign w:val="bottom"/>
          </w:tcPr>
          <w:p w14:paraId="0D8BDF3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6,592</w:t>
            </w:r>
          </w:p>
        </w:tc>
      </w:tr>
      <w:tr w:rsidR="002E375F" w14:paraId="07FD9E9D" w14:textId="77777777" w:rsidTr="00CD6D17">
        <w:tc>
          <w:tcPr>
            <w:tcW w:w="7124" w:type="dxa"/>
            <w:tcBorders>
              <w:top w:val="nil"/>
              <w:left w:val="nil"/>
              <w:bottom w:val="nil"/>
              <w:right w:val="nil"/>
            </w:tcBorders>
            <w:shd w:val="clear" w:color="auto" w:fill="FFFFFF"/>
            <w:vAlign w:val="bottom"/>
          </w:tcPr>
          <w:p w14:paraId="744035B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Consultancies</w:t>
            </w:r>
          </w:p>
        </w:tc>
        <w:tc>
          <w:tcPr>
            <w:tcW w:w="964" w:type="dxa"/>
            <w:tcBorders>
              <w:top w:val="nil"/>
              <w:left w:val="nil"/>
              <w:bottom w:val="single" w:sz="2" w:space="0" w:color="auto"/>
              <w:right w:val="nil"/>
            </w:tcBorders>
            <w:shd w:val="clear" w:color="auto" w:fill="FFFFFF"/>
            <w:vAlign w:val="bottom"/>
          </w:tcPr>
          <w:p w14:paraId="5E5AAB0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125</w:t>
            </w:r>
          </w:p>
        </w:tc>
        <w:tc>
          <w:tcPr>
            <w:tcW w:w="964" w:type="dxa"/>
            <w:tcBorders>
              <w:top w:val="nil"/>
              <w:left w:val="nil"/>
              <w:bottom w:val="single" w:sz="2" w:space="0" w:color="auto"/>
              <w:right w:val="nil"/>
            </w:tcBorders>
            <w:shd w:val="clear" w:color="auto" w:fill="FFFFFF"/>
            <w:vAlign w:val="bottom"/>
          </w:tcPr>
          <w:p w14:paraId="575F8EF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109</w:t>
            </w:r>
          </w:p>
        </w:tc>
      </w:tr>
      <w:tr w:rsidR="002E375F" w14:paraId="78ABF88D" w14:textId="77777777" w:rsidTr="00CD6D17">
        <w:tc>
          <w:tcPr>
            <w:tcW w:w="7124" w:type="dxa"/>
            <w:tcBorders>
              <w:top w:val="nil"/>
              <w:left w:val="nil"/>
              <w:bottom w:val="nil"/>
              <w:right w:val="nil"/>
            </w:tcBorders>
            <w:shd w:val="clear" w:color="auto" w:fill="FFFFFF"/>
            <w:vAlign w:val="bottom"/>
          </w:tcPr>
          <w:p w14:paraId="27BA959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3C08E62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163,852</w:t>
            </w:r>
          </w:p>
        </w:tc>
        <w:tc>
          <w:tcPr>
            <w:tcW w:w="964" w:type="dxa"/>
            <w:tcBorders>
              <w:top w:val="nil"/>
              <w:left w:val="nil"/>
              <w:bottom w:val="single" w:sz="2" w:space="0" w:color="auto"/>
              <w:right w:val="nil"/>
            </w:tcBorders>
            <w:shd w:val="clear" w:color="auto" w:fill="FFFFFF"/>
            <w:vAlign w:val="bottom"/>
          </w:tcPr>
          <w:p w14:paraId="3C71E6B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700,574</w:t>
            </w:r>
          </w:p>
        </w:tc>
      </w:tr>
    </w:tbl>
    <w:p w14:paraId="786B3AC5" w14:textId="77777777" w:rsidR="002E375F" w:rsidRDefault="00EB2569">
      <w:pPr>
        <w:autoSpaceDE w:val="0"/>
        <w:autoSpaceDN w:val="0"/>
        <w:adjustRightInd w:val="0"/>
        <w:spacing w:after="141" w:line="240" w:lineRule="auto"/>
        <w:jc w:val="both"/>
        <w:rPr>
          <w:rFonts w:ascii="Times New Roman" w:hAnsi="Times New Roman" w:cs="Times New Roman"/>
          <w:sz w:val="24"/>
          <w:szCs w:val="24"/>
        </w:rPr>
      </w:pPr>
      <w:r>
        <w:rPr>
          <w:rFonts w:ascii="Arial" w:hAnsi="Arial" w:cs="Arial"/>
          <w:sz w:val="18"/>
          <w:szCs w:val="18"/>
        </w:rPr>
        <w:t>* Community Services now includes the Community Care category that was previously reported separately in the department's 2018-19 financial statements. As a result the department's comparatives have been restated to reflect this.</w:t>
      </w:r>
    </w:p>
    <w:p w14:paraId="44BA9A04" w14:textId="77777777" w:rsidR="002E375F" w:rsidRPr="00E116EC" w:rsidRDefault="00EB2569" w:rsidP="00E116EC">
      <w:pPr>
        <w:pStyle w:val="Heading3"/>
        <w:rPr>
          <w:sz w:val="18"/>
          <w:szCs w:val="18"/>
        </w:rPr>
      </w:pPr>
      <w:r w:rsidRPr="00E116EC">
        <w:rPr>
          <w:sz w:val="18"/>
          <w:szCs w:val="18"/>
        </w:rPr>
        <w:t>Accounting Policy - Property and Motor Vehicle Leasing Expenses</w:t>
      </w:r>
    </w:p>
    <w:p w14:paraId="45B36E6F" w14:textId="77777777" w:rsidR="002E375F" w:rsidRDefault="00EB2569" w:rsidP="00AD77C0">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majority of the lease expenses relate to arrangements where the Department of Housing and Public Works provides the department with access to office accommodation and motor vehicles under government-wide frameworks. These arrangements are categorised as procurement of services rather than as leases because the Department of Housing and Public Works has substantive substitution rights over the assets. Refer to Note D4-1 for further information.</w:t>
      </w:r>
    </w:p>
    <w:p w14:paraId="0FA07025" w14:textId="77777777" w:rsidR="002E375F" w:rsidRDefault="00EB2569" w:rsidP="00AD77C0">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These lease payments are representative of the pattern of benefits derived from the leased assets and are expensed in the periods in which they are incurred. Incentives received on entering into leases are recognised as liabilities. Lease payments are allocated between rental expense and reduction of the liability.</w:t>
      </w:r>
    </w:p>
    <w:p w14:paraId="18FAEA6D" w14:textId="77777777" w:rsidR="002E375F" w:rsidRPr="00E116EC" w:rsidRDefault="00EB2569" w:rsidP="00E116EC">
      <w:pPr>
        <w:pStyle w:val="Heading3"/>
        <w:rPr>
          <w:sz w:val="18"/>
          <w:szCs w:val="18"/>
        </w:rPr>
      </w:pPr>
      <w:r w:rsidRPr="00E116EC">
        <w:rPr>
          <w:sz w:val="18"/>
          <w:szCs w:val="18"/>
        </w:rPr>
        <w:t>Disclosure - Property leases</w:t>
      </w:r>
    </w:p>
    <w:p w14:paraId="6D0006CD" w14:textId="77777777" w:rsidR="002E375F" w:rsidRDefault="00EB2569" w:rsidP="00AD77C0">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Property leases are entered into as a means of acquiring access to office accommodation and storage facilities. The lease term is generally for an initial fixed period with options to extend the lease for a further period or periods. The department has no option to purchase the leased item at the conclusion of the lease although the leases may provide for a right of renewal at which time the lease terms are renegotiated.</w:t>
      </w:r>
    </w:p>
    <w:p w14:paraId="3511D0F2" w14:textId="77777777" w:rsidR="002E375F" w:rsidRDefault="00EB2569" w:rsidP="00AD77C0">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Lease expenses comprises the minimum lease payments payable under lease contracts. Lease payments are generally fixed, but with annual inflation escalation clauses on which future year rentals are determined.</w:t>
      </w:r>
    </w:p>
    <w:p w14:paraId="0789B21A" w14:textId="77777777" w:rsidR="002E375F" w:rsidRPr="00E116EC" w:rsidRDefault="00EB2569" w:rsidP="00E116EC">
      <w:pPr>
        <w:pStyle w:val="Heading3"/>
        <w:rPr>
          <w:sz w:val="18"/>
          <w:szCs w:val="18"/>
        </w:rPr>
      </w:pPr>
      <w:r w:rsidRPr="00E116EC">
        <w:rPr>
          <w:sz w:val="18"/>
          <w:szCs w:val="18"/>
        </w:rPr>
        <w:t>Accounting Policy - Distinction between Service Procurement and Grants</w:t>
      </w:r>
    </w:p>
    <w:p w14:paraId="48824F49" w14:textId="77777777" w:rsidR="002E375F" w:rsidRDefault="00EB2569">
      <w:pPr>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18"/>
          <w:szCs w:val="18"/>
        </w:rPr>
        <w:t>For a transaction to be classified as service procurement, the value of goods or services received by the department must be of approximately equal value to the value of the consideration exchanged for those goods or services. Where this is not the substance of the arrangement, the transaction is classified as a grant (refer to Note B2-3</w:t>
      </w:r>
      <w:r w:rsidR="006626B2">
        <w:rPr>
          <w:rFonts w:ascii="Arial" w:hAnsi="Arial" w:cs="Arial"/>
          <w:sz w:val="18"/>
          <w:szCs w:val="18"/>
        </w:rPr>
        <w:t>)</w:t>
      </w:r>
      <w:r>
        <w:rPr>
          <w:rFonts w:ascii="Arial" w:hAnsi="Arial" w:cs="Arial"/>
          <w:sz w:val="18"/>
          <w:szCs w:val="18"/>
        </w:rPr>
        <w:t>.</w:t>
      </w:r>
    </w:p>
    <w:p w14:paraId="4A287411" w14:textId="77777777" w:rsidR="002E375F" w:rsidRDefault="002E375F" w:rsidP="00AD77C0">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0CF99422"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5DB49BAA"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74C4B540"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396A590D"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3FE72ADA" w14:textId="77777777" w:rsidR="00CD6D17" w:rsidRDefault="00CD6D17" w:rsidP="00CD6D17">
      <w:pPr>
        <w:pStyle w:val="Heading3"/>
      </w:pPr>
      <w:r>
        <w:t>B2 Expenses (continued)</w:t>
      </w:r>
    </w:p>
    <w:p w14:paraId="2263D2F3" w14:textId="77777777" w:rsidR="00CD6D17" w:rsidRDefault="00CD6D17" w:rsidP="00CD6D17">
      <w:pPr>
        <w:pStyle w:val="Heading3"/>
        <w:rPr>
          <w:rFonts w:ascii="Times New Roman" w:hAnsi="Times New Roman" w:cs="Times New Roman"/>
        </w:rPr>
      </w:pPr>
      <w:r>
        <w:t>B2-3 Grants and Subsidies</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34642FB8" w14:textId="77777777" w:rsidTr="00CD6D17">
        <w:tc>
          <w:tcPr>
            <w:tcW w:w="7124" w:type="dxa"/>
            <w:tcBorders>
              <w:top w:val="nil"/>
              <w:left w:val="nil"/>
              <w:bottom w:val="nil"/>
              <w:right w:val="nil"/>
            </w:tcBorders>
            <w:shd w:val="clear" w:color="auto" w:fill="FFFFFF"/>
            <w:vAlign w:val="bottom"/>
          </w:tcPr>
          <w:p w14:paraId="6AA08160" w14:textId="77777777" w:rsidR="002E375F" w:rsidRDefault="002E375F" w:rsidP="00CD6D17"/>
        </w:tc>
        <w:tc>
          <w:tcPr>
            <w:tcW w:w="964" w:type="dxa"/>
            <w:tcBorders>
              <w:top w:val="nil"/>
              <w:left w:val="nil"/>
              <w:bottom w:val="nil"/>
              <w:right w:val="nil"/>
            </w:tcBorders>
            <w:shd w:val="clear" w:color="auto" w:fill="FFFFFF"/>
            <w:vAlign w:val="bottom"/>
          </w:tcPr>
          <w:p w14:paraId="2A903C8F" w14:textId="77777777" w:rsidR="002E375F" w:rsidRPr="00862FE1" w:rsidRDefault="00EB2569" w:rsidP="00862FE1">
            <w:pPr>
              <w:pStyle w:val="Heading2"/>
              <w:jc w:val="right"/>
              <w:rPr>
                <w:b/>
              </w:rPr>
            </w:pPr>
            <w:r w:rsidRPr="005A3B27">
              <w:rPr>
                <w:rFonts w:ascii="Arial" w:hAnsi="Arial" w:cs="Arial"/>
                <w:b/>
                <w:bCs/>
                <w:sz w:val="18"/>
                <w:szCs w:val="18"/>
              </w:rPr>
              <w:t>2020</w:t>
            </w:r>
            <w:r w:rsidRPr="005A3B27">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7A6FF703"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3026FA59" w14:textId="77777777" w:rsidTr="00CD6D17">
        <w:tc>
          <w:tcPr>
            <w:tcW w:w="7124" w:type="dxa"/>
            <w:tcBorders>
              <w:top w:val="nil"/>
              <w:left w:val="nil"/>
              <w:bottom w:val="nil"/>
              <w:right w:val="nil"/>
            </w:tcBorders>
            <w:shd w:val="clear" w:color="auto" w:fill="FFFFFF"/>
            <w:vAlign w:val="bottom"/>
          </w:tcPr>
          <w:p w14:paraId="0287629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Disability Services</w:t>
            </w:r>
          </w:p>
        </w:tc>
        <w:tc>
          <w:tcPr>
            <w:tcW w:w="964" w:type="dxa"/>
            <w:tcBorders>
              <w:top w:val="nil"/>
              <w:left w:val="nil"/>
              <w:bottom w:val="nil"/>
              <w:right w:val="nil"/>
            </w:tcBorders>
            <w:shd w:val="clear" w:color="auto" w:fill="FFFFFF"/>
            <w:vAlign w:val="bottom"/>
          </w:tcPr>
          <w:p w14:paraId="1EDEE06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13,707</w:t>
            </w:r>
          </w:p>
        </w:tc>
        <w:tc>
          <w:tcPr>
            <w:tcW w:w="964" w:type="dxa"/>
            <w:tcBorders>
              <w:top w:val="nil"/>
              <w:left w:val="nil"/>
              <w:bottom w:val="nil"/>
              <w:right w:val="nil"/>
            </w:tcBorders>
            <w:shd w:val="clear" w:color="auto" w:fill="FFFFFF"/>
            <w:vAlign w:val="bottom"/>
          </w:tcPr>
          <w:p w14:paraId="675482B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18,806</w:t>
            </w:r>
          </w:p>
        </w:tc>
      </w:tr>
      <w:tr w:rsidR="002E375F" w14:paraId="6D14D7E0" w14:textId="77777777" w:rsidTr="00CD6D17">
        <w:tc>
          <w:tcPr>
            <w:tcW w:w="7124" w:type="dxa"/>
            <w:tcBorders>
              <w:top w:val="nil"/>
              <w:left w:val="nil"/>
              <w:bottom w:val="nil"/>
              <w:right w:val="nil"/>
            </w:tcBorders>
            <w:shd w:val="clear" w:color="auto" w:fill="FFFFFF"/>
            <w:vAlign w:val="bottom"/>
          </w:tcPr>
          <w:p w14:paraId="625F02B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Community Services</w:t>
            </w:r>
          </w:p>
        </w:tc>
        <w:tc>
          <w:tcPr>
            <w:tcW w:w="964" w:type="dxa"/>
            <w:tcBorders>
              <w:top w:val="nil"/>
              <w:left w:val="nil"/>
              <w:bottom w:val="nil"/>
              <w:right w:val="nil"/>
            </w:tcBorders>
            <w:shd w:val="clear" w:color="auto" w:fill="FFFFFF"/>
            <w:vAlign w:val="bottom"/>
          </w:tcPr>
          <w:p w14:paraId="71F742C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15,843</w:t>
            </w:r>
          </w:p>
        </w:tc>
        <w:tc>
          <w:tcPr>
            <w:tcW w:w="964" w:type="dxa"/>
            <w:tcBorders>
              <w:top w:val="nil"/>
              <w:left w:val="nil"/>
              <w:bottom w:val="nil"/>
              <w:right w:val="nil"/>
            </w:tcBorders>
            <w:shd w:val="clear" w:color="auto" w:fill="FFFFFF"/>
            <w:vAlign w:val="bottom"/>
          </w:tcPr>
          <w:p w14:paraId="35C8A2A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5,701</w:t>
            </w:r>
          </w:p>
        </w:tc>
      </w:tr>
      <w:tr w:rsidR="002E375F" w14:paraId="49617D42" w14:textId="77777777" w:rsidTr="00CD6D17">
        <w:tc>
          <w:tcPr>
            <w:tcW w:w="7124" w:type="dxa"/>
            <w:tcBorders>
              <w:top w:val="nil"/>
              <w:left w:val="nil"/>
              <w:bottom w:val="nil"/>
              <w:right w:val="nil"/>
            </w:tcBorders>
            <w:shd w:val="clear" w:color="auto" w:fill="FFFFFF"/>
            <w:vAlign w:val="bottom"/>
          </w:tcPr>
          <w:p w14:paraId="53AAAC3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Seniors Services</w:t>
            </w:r>
          </w:p>
        </w:tc>
        <w:tc>
          <w:tcPr>
            <w:tcW w:w="964" w:type="dxa"/>
            <w:tcBorders>
              <w:top w:val="nil"/>
              <w:left w:val="nil"/>
              <w:bottom w:val="nil"/>
              <w:right w:val="nil"/>
            </w:tcBorders>
            <w:shd w:val="clear" w:color="auto" w:fill="FFFFFF"/>
            <w:vAlign w:val="bottom"/>
          </w:tcPr>
          <w:p w14:paraId="559D1C3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1,394</w:t>
            </w:r>
          </w:p>
        </w:tc>
        <w:tc>
          <w:tcPr>
            <w:tcW w:w="964" w:type="dxa"/>
            <w:tcBorders>
              <w:top w:val="nil"/>
              <w:left w:val="nil"/>
              <w:bottom w:val="nil"/>
              <w:right w:val="nil"/>
            </w:tcBorders>
            <w:shd w:val="clear" w:color="auto" w:fill="FFFFFF"/>
            <w:vAlign w:val="bottom"/>
          </w:tcPr>
          <w:p w14:paraId="0750FF5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1,451</w:t>
            </w:r>
          </w:p>
        </w:tc>
      </w:tr>
      <w:tr w:rsidR="002E375F" w14:paraId="5F0D213D" w14:textId="77777777" w:rsidTr="00CD6D17">
        <w:tc>
          <w:tcPr>
            <w:tcW w:w="7124" w:type="dxa"/>
            <w:tcBorders>
              <w:top w:val="nil"/>
              <w:left w:val="nil"/>
              <w:bottom w:val="nil"/>
              <w:right w:val="nil"/>
            </w:tcBorders>
            <w:shd w:val="clear" w:color="auto" w:fill="FFFFFF"/>
            <w:vAlign w:val="bottom"/>
          </w:tcPr>
          <w:p w14:paraId="3C0F2B1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Donations and gifts</w:t>
            </w:r>
          </w:p>
        </w:tc>
        <w:tc>
          <w:tcPr>
            <w:tcW w:w="964" w:type="dxa"/>
            <w:tcBorders>
              <w:top w:val="nil"/>
              <w:left w:val="nil"/>
              <w:bottom w:val="single" w:sz="2" w:space="0" w:color="auto"/>
              <w:right w:val="nil"/>
            </w:tcBorders>
            <w:shd w:val="clear" w:color="auto" w:fill="FFFFFF"/>
            <w:vAlign w:val="bottom"/>
          </w:tcPr>
          <w:p w14:paraId="2CF4CA3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168</w:t>
            </w:r>
          </w:p>
        </w:tc>
        <w:tc>
          <w:tcPr>
            <w:tcW w:w="964" w:type="dxa"/>
            <w:tcBorders>
              <w:top w:val="nil"/>
              <w:left w:val="nil"/>
              <w:bottom w:val="single" w:sz="2" w:space="0" w:color="auto"/>
              <w:right w:val="nil"/>
            </w:tcBorders>
            <w:shd w:val="clear" w:color="auto" w:fill="FFFFFF"/>
            <w:vAlign w:val="bottom"/>
          </w:tcPr>
          <w:p w14:paraId="45FEE7B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108</w:t>
            </w:r>
          </w:p>
        </w:tc>
      </w:tr>
      <w:tr w:rsidR="002E375F" w14:paraId="0C265C2C" w14:textId="77777777" w:rsidTr="00CD6D17">
        <w:tc>
          <w:tcPr>
            <w:tcW w:w="7124" w:type="dxa"/>
            <w:tcBorders>
              <w:top w:val="nil"/>
              <w:left w:val="nil"/>
              <w:bottom w:val="nil"/>
              <w:right w:val="nil"/>
            </w:tcBorders>
            <w:shd w:val="clear" w:color="auto" w:fill="FFFFFF"/>
            <w:vAlign w:val="bottom"/>
          </w:tcPr>
          <w:p w14:paraId="15C10A5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29B7462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31,112</w:t>
            </w:r>
          </w:p>
        </w:tc>
        <w:tc>
          <w:tcPr>
            <w:tcW w:w="964" w:type="dxa"/>
            <w:tcBorders>
              <w:top w:val="nil"/>
              <w:left w:val="nil"/>
              <w:bottom w:val="single" w:sz="2" w:space="0" w:color="auto"/>
              <w:right w:val="nil"/>
            </w:tcBorders>
            <w:shd w:val="clear" w:color="auto" w:fill="FFFFFF"/>
            <w:vAlign w:val="bottom"/>
          </w:tcPr>
          <w:p w14:paraId="770B6B7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26,066</w:t>
            </w:r>
          </w:p>
        </w:tc>
      </w:tr>
    </w:tbl>
    <w:p w14:paraId="36AAB06B" w14:textId="77777777" w:rsidR="002E375F" w:rsidRDefault="00EB2569">
      <w:pPr>
        <w:autoSpaceDE w:val="0"/>
        <w:autoSpaceDN w:val="0"/>
        <w:adjustRightInd w:val="0"/>
        <w:spacing w:after="141" w:line="240" w:lineRule="auto"/>
        <w:jc w:val="both"/>
        <w:rPr>
          <w:rFonts w:ascii="Arial" w:hAnsi="Arial" w:cs="Arial"/>
          <w:sz w:val="18"/>
          <w:szCs w:val="18"/>
        </w:rPr>
      </w:pPr>
      <w:r>
        <w:rPr>
          <w:rFonts w:ascii="Arial" w:hAnsi="Arial" w:cs="Arial"/>
          <w:sz w:val="18"/>
          <w:szCs w:val="18"/>
        </w:rPr>
        <w:t>^ Refer to B2-2 for the accounting policy on the distinction between service procurement and grants.</w:t>
      </w:r>
    </w:p>
    <w:p w14:paraId="4D3EC7B2" w14:textId="77777777" w:rsidR="00CD6D17" w:rsidRPr="00CD6D17" w:rsidRDefault="00CD6D17" w:rsidP="00CD6D17">
      <w:pPr>
        <w:pStyle w:val="Heading3"/>
      </w:pPr>
      <w:r w:rsidRPr="00CD6D17">
        <w:t>B2-4 Depreciation and Amortisation</w:t>
      </w:r>
    </w:p>
    <w:tbl>
      <w:tblPr>
        <w:tblW w:w="9052" w:type="dxa"/>
        <w:tblLayout w:type="fixed"/>
        <w:tblCellMar>
          <w:left w:w="0" w:type="dxa"/>
          <w:right w:w="0" w:type="dxa"/>
        </w:tblCellMar>
        <w:tblLook w:val="0000" w:firstRow="0" w:lastRow="0" w:firstColumn="0" w:lastColumn="0" w:noHBand="0" w:noVBand="0"/>
      </w:tblPr>
      <w:tblGrid>
        <w:gridCol w:w="344"/>
        <w:gridCol w:w="6780"/>
        <w:gridCol w:w="964"/>
        <w:gridCol w:w="964"/>
      </w:tblGrid>
      <w:tr w:rsidR="002E375F" w14:paraId="6ACFA3C8" w14:textId="77777777" w:rsidTr="00CD6D17">
        <w:tc>
          <w:tcPr>
            <w:tcW w:w="7124" w:type="dxa"/>
            <w:gridSpan w:val="2"/>
            <w:tcBorders>
              <w:top w:val="nil"/>
              <w:left w:val="nil"/>
              <w:bottom w:val="nil"/>
              <w:right w:val="nil"/>
            </w:tcBorders>
            <w:shd w:val="clear" w:color="auto" w:fill="FFFFFF"/>
            <w:vAlign w:val="bottom"/>
          </w:tcPr>
          <w:p w14:paraId="7C7FD4CC" w14:textId="77777777" w:rsidR="002E375F" w:rsidRDefault="002E375F" w:rsidP="00CD6D17"/>
        </w:tc>
        <w:tc>
          <w:tcPr>
            <w:tcW w:w="964" w:type="dxa"/>
            <w:tcBorders>
              <w:top w:val="nil"/>
              <w:left w:val="nil"/>
              <w:bottom w:val="nil"/>
              <w:right w:val="nil"/>
            </w:tcBorders>
            <w:shd w:val="clear" w:color="auto" w:fill="FFFFFF"/>
            <w:vAlign w:val="bottom"/>
          </w:tcPr>
          <w:p w14:paraId="4F138DD8" w14:textId="77777777" w:rsidR="002E375F" w:rsidRPr="00862FE1" w:rsidRDefault="00EB2569" w:rsidP="00862FE1">
            <w:pPr>
              <w:pStyle w:val="Heading2"/>
              <w:jc w:val="right"/>
              <w:rPr>
                <w:b/>
              </w:rPr>
            </w:pPr>
            <w:r w:rsidRPr="005A3B27">
              <w:rPr>
                <w:rFonts w:ascii="Arial" w:hAnsi="Arial" w:cs="Arial"/>
                <w:b/>
                <w:bCs/>
                <w:sz w:val="18"/>
                <w:szCs w:val="18"/>
              </w:rPr>
              <w:t>2020</w:t>
            </w:r>
            <w:r w:rsidRPr="005A3B27">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3C357B80"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5157D44F" w14:textId="77777777" w:rsidTr="00CD6D17">
        <w:tc>
          <w:tcPr>
            <w:tcW w:w="7124" w:type="dxa"/>
            <w:gridSpan w:val="2"/>
            <w:tcBorders>
              <w:top w:val="nil"/>
              <w:left w:val="nil"/>
              <w:bottom w:val="nil"/>
              <w:right w:val="nil"/>
            </w:tcBorders>
            <w:shd w:val="clear" w:color="auto" w:fill="FFFFFF"/>
            <w:vAlign w:val="bottom"/>
          </w:tcPr>
          <w:p w14:paraId="3ACB180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Depreciation - property, plant and equipment (refer C4-1)</w:t>
            </w:r>
          </w:p>
        </w:tc>
        <w:tc>
          <w:tcPr>
            <w:tcW w:w="964" w:type="dxa"/>
            <w:tcBorders>
              <w:top w:val="nil"/>
              <w:left w:val="nil"/>
              <w:bottom w:val="nil"/>
              <w:right w:val="nil"/>
            </w:tcBorders>
            <w:shd w:val="clear" w:color="auto" w:fill="FFFFFF"/>
            <w:vAlign w:val="bottom"/>
          </w:tcPr>
          <w:p w14:paraId="1C65C5C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5,448</w:t>
            </w:r>
          </w:p>
        </w:tc>
        <w:tc>
          <w:tcPr>
            <w:tcW w:w="964" w:type="dxa"/>
            <w:tcBorders>
              <w:top w:val="nil"/>
              <w:left w:val="nil"/>
              <w:bottom w:val="nil"/>
              <w:right w:val="nil"/>
            </w:tcBorders>
            <w:shd w:val="clear" w:color="auto" w:fill="FFFFFF"/>
            <w:vAlign w:val="bottom"/>
          </w:tcPr>
          <w:p w14:paraId="0761E34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4,944</w:t>
            </w:r>
          </w:p>
        </w:tc>
      </w:tr>
      <w:tr w:rsidR="002E375F" w14:paraId="47FBF10F" w14:textId="77777777" w:rsidTr="00CD6D17">
        <w:tc>
          <w:tcPr>
            <w:tcW w:w="7124" w:type="dxa"/>
            <w:gridSpan w:val="2"/>
            <w:tcBorders>
              <w:top w:val="nil"/>
              <w:left w:val="nil"/>
              <w:bottom w:val="nil"/>
              <w:right w:val="nil"/>
            </w:tcBorders>
            <w:shd w:val="clear" w:color="auto" w:fill="FFFFFF"/>
            <w:vAlign w:val="bottom"/>
          </w:tcPr>
          <w:p w14:paraId="3178AE2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Depreciation - right-of-use assets *</w:t>
            </w:r>
          </w:p>
        </w:tc>
        <w:tc>
          <w:tcPr>
            <w:tcW w:w="964" w:type="dxa"/>
            <w:tcBorders>
              <w:top w:val="nil"/>
              <w:left w:val="nil"/>
              <w:bottom w:val="nil"/>
              <w:right w:val="nil"/>
            </w:tcBorders>
            <w:shd w:val="clear" w:color="auto" w:fill="FFFFFF"/>
            <w:vAlign w:val="bottom"/>
          </w:tcPr>
          <w:p w14:paraId="7DBE8EC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51</w:t>
            </w:r>
          </w:p>
        </w:tc>
        <w:tc>
          <w:tcPr>
            <w:tcW w:w="964" w:type="dxa"/>
            <w:tcBorders>
              <w:top w:val="nil"/>
              <w:left w:val="nil"/>
              <w:bottom w:val="nil"/>
              <w:right w:val="nil"/>
            </w:tcBorders>
            <w:shd w:val="clear" w:color="auto" w:fill="FFFFFF"/>
            <w:vAlign w:val="bottom"/>
          </w:tcPr>
          <w:p w14:paraId="1279068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1B592844" w14:textId="77777777" w:rsidTr="00CD6D17">
        <w:tc>
          <w:tcPr>
            <w:tcW w:w="7124" w:type="dxa"/>
            <w:gridSpan w:val="2"/>
            <w:tcBorders>
              <w:top w:val="nil"/>
              <w:left w:val="nil"/>
              <w:bottom w:val="nil"/>
              <w:right w:val="nil"/>
            </w:tcBorders>
            <w:shd w:val="clear" w:color="auto" w:fill="FFFFFF"/>
            <w:vAlign w:val="bottom"/>
          </w:tcPr>
          <w:p w14:paraId="275BB70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Amortisation - intangible assets (refer C5-1)</w:t>
            </w:r>
          </w:p>
        </w:tc>
        <w:tc>
          <w:tcPr>
            <w:tcW w:w="964" w:type="dxa"/>
            <w:tcBorders>
              <w:top w:val="nil"/>
              <w:left w:val="nil"/>
              <w:bottom w:val="single" w:sz="2" w:space="0" w:color="auto"/>
              <w:right w:val="nil"/>
            </w:tcBorders>
            <w:shd w:val="clear" w:color="auto" w:fill="FFFFFF"/>
            <w:vAlign w:val="bottom"/>
          </w:tcPr>
          <w:p w14:paraId="048839B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408</w:t>
            </w:r>
          </w:p>
        </w:tc>
        <w:tc>
          <w:tcPr>
            <w:tcW w:w="964" w:type="dxa"/>
            <w:tcBorders>
              <w:top w:val="nil"/>
              <w:left w:val="nil"/>
              <w:bottom w:val="single" w:sz="2" w:space="0" w:color="auto"/>
              <w:right w:val="nil"/>
            </w:tcBorders>
            <w:shd w:val="clear" w:color="auto" w:fill="FFFFFF"/>
            <w:vAlign w:val="bottom"/>
          </w:tcPr>
          <w:p w14:paraId="791AFC9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3,389</w:t>
            </w:r>
          </w:p>
        </w:tc>
      </w:tr>
      <w:tr w:rsidR="002E375F" w14:paraId="41B9999B" w14:textId="77777777" w:rsidTr="00CD6D17">
        <w:tc>
          <w:tcPr>
            <w:tcW w:w="7124" w:type="dxa"/>
            <w:gridSpan w:val="2"/>
            <w:tcBorders>
              <w:top w:val="nil"/>
              <w:left w:val="nil"/>
              <w:bottom w:val="nil"/>
              <w:right w:val="nil"/>
            </w:tcBorders>
            <w:shd w:val="clear" w:color="auto" w:fill="FFFFFF"/>
            <w:vAlign w:val="bottom"/>
          </w:tcPr>
          <w:p w14:paraId="466A727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7CB6678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5,907</w:t>
            </w:r>
          </w:p>
        </w:tc>
        <w:tc>
          <w:tcPr>
            <w:tcW w:w="964" w:type="dxa"/>
            <w:tcBorders>
              <w:top w:val="nil"/>
              <w:left w:val="nil"/>
              <w:bottom w:val="single" w:sz="2" w:space="0" w:color="auto"/>
              <w:right w:val="nil"/>
            </w:tcBorders>
            <w:shd w:val="clear" w:color="auto" w:fill="FFFFFF"/>
            <w:vAlign w:val="bottom"/>
          </w:tcPr>
          <w:p w14:paraId="7CAE31C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8,333</w:t>
            </w:r>
          </w:p>
        </w:tc>
      </w:tr>
      <w:tr w:rsidR="002E375F" w14:paraId="3464BFCE" w14:textId="77777777" w:rsidTr="00CD6D17">
        <w:tc>
          <w:tcPr>
            <w:tcW w:w="344" w:type="dxa"/>
            <w:tcBorders>
              <w:top w:val="nil"/>
              <w:left w:val="nil"/>
              <w:bottom w:val="nil"/>
              <w:right w:val="nil"/>
            </w:tcBorders>
            <w:shd w:val="clear" w:color="auto" w:fill="FFFFFF"/>
          </w:tcPr>
          <w:p w14:paraId="0846AD33" w14:textId="77777777" w:rsidR="002E375F" w:rsidRDefault="00EB2569">
            <w:pPr>
              <w:autoSpaceDE w:val="0"/>
              <w:autoSpaceDN w:val="0"/>
              <w:adjustRightInd w:val="0"/>
              <w:spacing w:after="0" w:line="240" w:lineRule="auto"/>
              <w:ind w:right="255"/>
              <w:jc w:val="center"/>
              <w:rPr>
                <w:rFonts w:ascii="Times New Roman" w:hAnsi="Times New Roman" w:cs="Times New Roman"/>
                <w:sz w:val="24"/>
                <w:szCs w:val="24"/>
              </w:rPr>
            </w:pPr>
            <w:r>
              <w:rPr>
                <w:rFonts w:ascii="Arial" w:hAnsi="Arial" w:cs="Arial"/>
                <w:sz w:val="18"/>
                <w:szCs w:val="18"/>
              </w:rPr>
              <w:t>*</w:t>
            </w:r>
          </w:p>
        </w:tc>
        <w:tc>
          <w:tcPr>
            <w:tcW w:w="8708" w:type="dxa"/>
            <w:gridSpan w:val="3"/>
            <w:tcBorders>
              <w:top w:val="nil"/>
              <w:left w:val="nil"/>
              <w:bottom w:val="nil"/>
              <w:right w:val="nil"/>
            </w:tcBorders>
            <w:shd w:val="clear" w:color="auto" w:fill="FFFFFF"/>
            <w:vAlign w:val="bottom"/>
          </w:tcPr>
          <w:p w14:paraId="1A6F217F" w14:textId="77777777" w:rsidR="002E375F" w:rsidRDefault="00EB2569">
            <w:pPr>
              <w:autoSpaceDE w:val="0"/>
              <w:autoSpaceDN w:val="0"/>
              <w:adjustRightInd w:val="0"/>
              <w:spacing w:after="141" w:line="240" w:lineRule="auto"/>
              <w:jc w:val="both"/>
              <w:rPr>
                <w:rFonts w:ascii="Times New Roman" w:hAnsi="Times New Roman" w:cs="Times New Roman"/>
                <w:sz w:val="24"/>
                <w:szCs w:val="24"/>
              </w:rPr>
            </w:pPr>
            <w:r>
              <w:rPr>
                <w:rFonts w:ascii="Arial" w:hAnsi="Arial" w:cs="Arial"/>
                <w:sz w:val="18"/>
                <w:szCs w:val="18"/>
              </w:rPr>
              <w:t xml:space="preserve">The department has one right-of-use asset as a result of the impact of AASB 16 </w:t>
            </w:r>
            <w:r>
              <w:rPr>
                <w:rFonts w:ascii="Arial" w:hAnsi="Arial" w:cs="Arial"/>
                <w:i/>
                <w:iCs/>
                <w:sz w:val="18"/>
                <w:szCs w:val="18"/>
              </w:rPr>
              <w:t>Leases</w:t>
            </w:r>
            <w:r>
              <w:rPr>
                <w:rFonts w:ascii="Arial" w:hAnsi="Arial" w:cs="Arial"/>
                <w:sz w:val="18"/>
                <w:szCs w:val="18"/>
              </w:rPr>
              <w:t xml:space="preserve"> which came into effect in 2019-20. This right-of-use asset had an opening value of $0.102M with $0.051M in additional depreciation expense being incurred in the 2019-20 financial year. This leaves the net book value at $0.051M which is shown on the department's balance sheet. Refer to Note D4-1 (iii) for further information about the impacts associated with this change in Australian Accounting Standards.</w:t>
            </w:r>
          </w:p>
        </w:tc>
      </w:tr>
    </w:tbl>
    <w:p w14:paraId="181F244B" w14:textId="77777777" w:rsidR="002E375F" w:rsidRDefault="00EB2569">
      <w:pPr>
        <w:autoSpaceDE w:val="0"/>
        <w:autoSpaceDN w:val="0"/>
        <w:adjustRightInd w:val="0"/>
        <w:spacing w:after="141" w:line="240" w:lineRule="auto"/>
        <w:jc w:val="both"/>
        <w:rPr>
          <w:rFonts w:ascii="Arial" w:hAnsi="Arial" w:cs="Arial"/>
          <w:sz w:val="18"/>
          <w:szCs w:val="18"/>
        </w:rPr>
      </w:pPr>
      <w:r>
        <w:rPr>
          <w:rFonts w:ascii="Arial" w:hAnsi="Arial" w:cs="Arial"/>
          <w:sz w:val="18"/>
          <w:szCs w:val="18"/>
        </w:rPr>
        <w:t>Refer to Notes C4-5 and C5-3 for the accounting policies for depreciation and amortisation expense.</w:t>
      </w:r>
    </w:p>
    <w:p w14:paraId="7DC01EA5" w14:textId="77777777" w:rsidR="00CD6D17" w:rsidRDefault="00CD6D17" w:rsidP="00CD6D17">
      <w:pPr>
        <w:pStyle w:val="Heading3"/>
        <w:rPr>
          <w:rFonts w:ascii="Times New Roman" w:hAnsi="Times New Roman" w:cs="Times New Roman"/>
        </w:rPr>
      </w:pPr>
      <w:r>
        <w:t>B2-5 Other Expenses</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4D01AE68" w14:textId="77777777" w:rsidTr="00CD6D17">
        <w:tc>
          <w:tcPr>
            <w:tcW w:w="7124" w:type="dxa"/>
            <w:tcBorders>
              <w:top w:val="nil"/>
              <w:left w:val="nil"/>
              <w:bottom w:val="nil"/>
              <w:right w:val="nil"/>
            </w:tcBorders>
            <w:shd w:val="clear" w:color="auto" w:fill="FFFFFF"/>
            <w:vAlign w:val="bottom"/>
          </w:tcPr>
          <w:p w14:paraId="4E649222"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0346F54D" w14:textId="77777777" w:rsidR="002E375F" w:rsidRPr="00862FE1" w:rsidRDefault="00EB2569" w:rsidP="00862FE1">
            <w:pPr>
              <w:pStyle w:val="Heading2"/>
              <w:jc w:val="right"/>
              <w:rPr>
                <w:b/>
              </w:rPr>
            </w:pPr>
            <w:r w:rsidRPr="005A3B27">
              <w:rPr>
                <w:rFonts w:ascii="Arial" w:hAnsi="Arial" w:cs="Arial"/>
                <w:b/>
                <w:bCs/>
                <w:sz w:val="18"/>
                <w:szCs w:val="18"/>
              </w:rPr>
              <w:t>2020</w:t>
            </w:r>
            <w:r w:rsidRPr="005A3B27">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543D415F"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752D9911" w14:textId="77777777" w:rsidTr="00CD6D17">
        <w:tc>
          <w:tcPr>
            <w:tcW w:w="7124" w:type="dxa"/>
            <w:tcBorders>
              <w:top w:val="nil"/>
              <w:left w:val="nil"/>
              <w:bottom w:val="nil"/>
              <w:right w:val="nil"/>
            </w:tcBorders>
            <w:shd w:val="clear" w:color="auto" w:fill="FFFFFF"/>
            <w:vAlign w:val="bottom"/>
          </w:tcPr>
          <w:p w14:paraId="548CB4E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Departmental appropriation adjustments#</w:t>
            </w:r>
          </w:p>
        </w:tc>
        <w:tc>
          <w:tcPr>
            <w:tcW w:w="964" w:type="dxa"/>
            <w:tcBorders>
              <w:top w:val="nil"/>
              <w:left w:val="nil"/>
              <w:bottom w:val="nil"/>
              <w:right w:val="nil"/>
            </w:tcBorders>
            <w:shd w:val="clear" w:color="auto" w:fill="FFFFFF"/>
            <w:vAlign w:val="bottom"/>
          </w:tcPr>
          <w:p w14:paraId="3504FC0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1B465B6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32,530</w:t>
            </w:r>
          </w:p>
        </w:tc>
      </w:tr>
      <w:tr w:rsidR="002E375F" w14:paraId="35DCEA86" w14:textId="77777777" w:rsidTr="00CD6D17">
        <w:tc>
          <w:tcPr>
            <w:tcW w:w="7124" w:type="dxa"/>
            <w:tcBorders>
              <w:top w:val="nil"/>
              <w:left w:val="nil"/>
              <w:bottom w:val="nil"/>
              <w:right w:val="nil"/>
            </w:tcBorders>
            <w:shd w:val="clear" w:color="auto" w:fill="FFFFFF"/>
            <w:vAlign w:val="bottom"/>
          </w:tcPr>
          <w:p w14:paraId="71561DC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Net losses on disposal of property, plant and equipment</w:t>
            </w:r>
          </w:p>
        </w:tc>
        <w:tc>
          <w:tcPr>
            <w:tcW w:w="964" w:type="dxa"/>
            <w:tcBorders>
              <w:top w:val="nil"/>
              <w:left w:val="nil"/>
              <w:bottom w:val="nil"/>
              <w:right w:val="nil"/>
            </w:tcBorders>
            <w:shd w:val="clear" w:color="auto" w:fill="FFFFFF"/>
            <w:vAlign w:val="bottom"/>
          </w:tcPr>
          <w:p w14:paraId="0FC15E3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1,328</w:t>
            </w:r>
          </w:p>
        </w:tc>
        <w:tc>
          <w:tcPr>
            <w:tcW w:w="964" w:type="dxa"/>
            <w:tcBorders>
              <w:top w:val="nil"/>
              <w:left w:val="nil"/>
              <w:bottom w:val="nil"/>
              <w:right w:val="nil"/>
            </w:tcBorders>
            <w:shd w:val="clear" w:color="auto" w:fill="FFFFFF"/>
            <w:vAlign w:val="bottom"/>
          </w:tcPr>
          <w:p w14:paraId="0847643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41</w:t>
            </w:r>
          </w:p>
        </w:tc>
      </w:tr>
      <w:tr w:rsidR="002E375F" w14:paraId="2458701E" w14:textId="77777777" w:rsidTr="00CD6D17">
        <w:tc>
          <w:tcPr>
            <w:tcW w:w="7124" w:type="dxa"/>
            <w:tcBorders>
              <w:top w:val="nil"/>
              <w:left w:val="nil"/>
              <w:bottom w:val="nil"/>
              <w:right w:val="nil"/>
            </w:tcBorders>
            <w:shd w:val="clear" w:color="auto" w:fill="FFFFFF"/>
            <w:vAlign w:val="bottom"/>
          </w:tcPr>
          <w:p w14:paraId="771DEE4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Insurance premiums</w:t>
            </w:r>
          </w:p>
        </w:tc>
        <w:tc>
          <w:tcPr>
            <w:tcW w:w="964" w:type="dxa"/>
            <w:tcBorders>
              <w:top w:val="nil"/>
              <w:left w:val="nil"/>
              <w:bottom w:val="nil"/>
              <w:right w:val="nil"/>
            </w:tcBorders>
            <w:shd w:val="clear" w:color="auto" w:fill="FFFFFF"/>
            <w:vAlign w:val="bottom"/>
          </w:tcPr>
          <w:p w14:paraId="524AB3D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750</w:t>
            </w:r>
          </w:p>
        </w:tc>
        <w:tc>
          <w:tcPr>
            <w:tcW w:w="964" w:type="dxa"/>
            <w:tcBorders>
              <w:top w:val="nil"/>
              <w:left w:val="nil"/>
              <w:bottom w:val="nil"/>
              <w:right w:val="nil"/>
            </w:tcBorders>
            <w:shd w:val="clear" w:color="auto" w:fill="FFFFFF"/>
            <w:vAlign w:val="bottom"/>
          </w:tcPr>
          <w:p w14:paraId="16E32D9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701</w:t>
            </w:r>
          </w:p>
        </w:tc>
      </w:tr>
      <w:tr w:rsidR="002E375F" w14:paraId="2047AFA0" w14:textId="77777777" w:rsidTr="00CD6D17">
        <w:tc>
          <w:tcPr>
            <w:tcW w:w="7124" w:type="dxa"/>
            <w:tcBorders>
              <w:top w:val="nil"/>
              <w:left w:val="nil"/>
              <w:bottom w:val="nil"/>
              <w:right w:val="nil"/>
            </w:tcBorders>
            <w:shd w:val="clear" w:color="auto" w:fill="FFFFFF"/>
            <w:vAlign w:val="bottom"/>
          </w:tcPr>
          <w:p w14:paraId="6FD1F13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External audit fees</w:t>
            </w:r>
          </w:p>
        </w:tc>
        <w:tc>
          <w:tcPr>
            <w:tcW w:w="964" w:type="dxa"/>
            <w:tcBorders>
              <w:top w:val="nil"/>
              <w:left w:val="nil"/>
              <w:bottom w:val="nil"/>
              <w:right w:val="nil"/>
            </w:tcBorders>
            <w:shd w:val="clear" w:color="auto" w:fill="FFFFFF"/>
            <w:vAlign w:val="bottom"/>
          </w:tcPr>
          <w:p w14:paraId="641F74F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285</w:t>
            </w:r>
          </w:p>
        </w:tc>
        <w:tc>
          <w:tcPr>
            <w:tcW w:w="964" w:type="dxa"/>
            <w:tcBorders>
              <w:top w:val="nil"/>
              <w:left w:val="nil"/>
              <w:bottom w:val="nil"/>
              <w:right w:val="nil"/>
            </w:tcBorders>
            <w:shd w:val="clear" w:color="auto" w:fill="FFFFFF"/>
            <w:vAlign w:val="bottom"/>
          </w:tcPr>
          <w:p w14:paraId="25D6109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280</w:t>
            </w:r>
          </w:p>
        </w:tc>
      </w:tr>
      <w:tr w:rsidR="002E375F" w14:paraId="69231E0E" w14:textId="77777777" w:rsidTr="00CD6D17">
        <w:tc>
          <w:tcPr>
            <w:tcW w:w="7124" w:type="dxa"/>
            <w:tcBorders>
              <w:top w:val="nil"/>
              <w:left w:val="nil"/>
              <w:bottom w:val="nil"/>
              <w:right w:val="nil"/>
            </w:tcBorders>
            <w:shd w:val="clear" w:color="auto" w:fill="FFFFFF"/>
            <w:vAlign w:val="bottom"/>
          </w:tcPr>
          <w:p w14:paraId="7929522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Special payments - ex gratia payments</w:t>
            </w:r>
          </w:p>
        </w:tc>
        <w:tc>
          <w:tcPr>
            <w:tcW w:w="964" w:type="dxa"/>
            <w:tcBorders>
              <w:top w:val="nil"/>
              <w:left w:val="nil"/>
              <w:bottom w:val="nil"/>
              <w:right w:val="nil"/>
            </w:tcBorders>
            <w:shd w:val="clear" w:color="auto" w:fill="FFFFFF"/>
            <w:vAlign w:val="bottom"/>
          </w:tcPr>
          <w:p w14:paraId="4140C75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36</w:t>
            </w:r>
          </w:p>
        </w:tc>
        <w:tc>
          <w:tcPr>
            <w:tcW w:w="964" w:type="dxa"/>
            <w:tcBorders>
              <w:top w:val="nil"/>
              <w:left w:val="nil"/>
              <w:bottom w:val="nil"/>
              <w:right w:val="nil"/>
            </w:tcBorders>
            <w:shd w:val="clear" w:color="auto" w:fill="FFFFFF"/>
            <w:vAlign w:val="bottom"/>
          </w:tcPr>
          <w:p w14:paraId="6D2CC23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97</w:t>
            </w:r>
          </w:p>
        </w:tc>
      </w:tr>
      <w:tr w:rsidR="002E375F" w14:paraId="1F2EC772" w14:textId="77777777" w:rsidTr="00CD6D17">
        <w:tc>
          <w:tcPr>
            <w:tcW w:w="7124" w:type="dxa"/>
            <w:tcBorders>
              <w:top w:val="nil"/>
              <w:left w:val="nil"/>
              <w:bottom w:val="nil"/>
              <w:right w:val="nil"/>
            </w:tcBorders>
            <w:shd w:val="clear" w:color="auto" w:fill="FFFFFF"/>
            <w:vAlign w:val="bottom"/>
          </w:tcPr>
          <w:p w14:paraId="0344DEE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w:t>
            </w:r>
          </w:p>
        </w:tc>
        <w:tc>
          <w:tcPr>
            <w:tcW w:w="964" w:type="dxa"/>
            <w:tcBorders>
              <w:top w:val="nil"/>
              <w:left w:val="nil"/>
              <w:bottom w:val="single" w:sz="2" w:space="0" w:color="auto"/>
              <w:right w:val="nil"/>
            </w:tcBorders>
            <w:shd w:val="clear" w:color="auto" w:fill="FFFFFF"/>
            <w:vAlign w:val="bottom"/>
          </w:tcPr>
          <w:p w14:paraId="0428C36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w:t>
            </w:r>
          </w:p>
        </w:tc>
        <w:tc>
          <w:tcPr>
            <w:tcW w:w="964" w:type="dxa"/>
            <w:tcBorders>
              <w:top w:val="nil"/>
              <w:left w:val="nil"/>
              <w:bottom w:val="single" w:sz="2" w:space="0" w:color="auto"/>
              <w:right w:val="nil"/>
            </w:tcBorders>
            <w:shd w:val="clear" w:color="auto" w:fill="FFFFFF"/>
            <w:vAlign w:val="bottom"/>
          </w:tcPr>
          <w:p w14:paraId="2ADDEF3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w:t>
            </w:r>
          </w:p>
        </w:tc>
      </w:tr>
      <w:tr w:rsidR="002E375F" w14:paraId="20636B26" w14:textId="77777777" w:rsidTr="00CD6D17">
        <w:tc>
          <w:tcPr>
            <w:tcW w:w="7124" w:type="dxa"/>
            <w:tcBorders>
              <w:top w:val="nil"/>
              <w:left w:val="nil"/>
              <w:bottom w:val="nil"/>
              <w:right w:val="nil"/>
            </w:tcBorders>
            <w:shd w:val="clear" w:color="auto" w:fill="FFFFFF"/>
            <w:vAlign w:val="bottom"/>
          </w:tcPr>
          <w:p w14:paraId="60A62D0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621A481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2,410</w:t>
            </w:r>
          </w:p>
        </w:tc>
        <w:tc>
          <w:tcPr>
            <w:tcW w:w="964" w:type="dxa"/>
            <w:tcBorders>
              <w:top w:val="nil"/>
              <w:left w:val="nil"/>
              <w:bottom w:val="single" w:sz="2" w:space="0" w:color="auto"/>
              <w:right w:val="nil"/>
            </w:tcBorders>
            <w:shd w:val="clear" w:color="auto" w:fill="FFFFFF"/>
            <w:vAlign w:val="bottom"/>
          </w:tcPr>
          <w:p w14:paraId="254D452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33,650</w:t>
            </w:r>
          </w:p>
        </w:tc>
      </w:tr>
    </w:tbl>
    <w:p w14:paraId="21125332" w14:textId="77777777" w:rsidR="002E375F" w:rsidRDefault="00EB2569">
      <w:pPr>
        <w:autoSpaceDE w:val="0"/>
        <w:autoSpaceDN w:val="0"/>
        <w:adjustRightInd w:val="0"/>
        <w:spacing w:after="141" w:line="240" w:lineRule="auto"/>
        <w:jc w:val="both"/>
        <w:rPr>
          <w:rFonts w:ascii="Times New Roman" w:hAnsi="Times New Roman" w:cs="Times New Roman"/>
          <w:sz w:val="24"/>
          <w:szCs w:val="24"/>
        </w:rPr>
      </w:pPr>
      <w:r>
        <w:rPr>
          <w:rFonts w:ascii="Arial" w:hAnsi="Arial" w:cs="Arial"/>
          <w:sz w:val="18"/>
          <w:szCs w:val="18"/>
        </w:rPr>
        <w:t xml:space="preserve"># Departmental appropriation adjustments are performed at year end to lapse or carry forward current year funding. In 2018-19 these adjustments were recognised with an expense under the requirements of the superseded AASB 1004 </w:t>
      </w:r>
      <w:r>
        <w:rPr>
          <w:rFonts w:ascii="Arial" w:hAnsi="Arial" w:cs="Arial"/>
          <w:i/>
          <w:iCs/>
          <w:sz w:val="18"/>
          <w:szCs w:val="18"/>
        </w:rPr>
        <w:t xml:space="preserve">Contributions. </w:t>
      </w:r>
      <w:r>
        <w:rPr>
          <w:rFonts w:ascii="Arial" w:hAnsi="Arial" w:cs="Arial"/>
          <w:sz w:val="18"/>
          <w:szCs w:val="18"/>
        </w:rPr>
        <w:t xml:space="preserve">Under AASB 1058 </w:t>
      </w:r>
      <w:r>
        <w:rPr>
          <w:rFonts w:ascii="Arial" w:hAnsi="Arial" w:cs="Arial"/>
          <w:i/>
          <w:iCs/>
          <w:sz w:val="18"/>
          <w:szCs w:val="18"/>
        </w:rPr>
        <w:t>Income of Not-for-Profit Entities</w:t>
      </w:r>
      <w:r>
        <w:rPr>
          <w:rFonts w:ascii="Arial" w:hAnsi="Arial" w:cs="Arial"/>
          <w:sz w:val="18"/>
          <w:szCs w:val="18"/>
        </w:rPr>
        <w:t>, appropriation revenue is instead reduced (refer to Note B1-1</w:t>
      </w:r>
      <w:r w:rsidR="006626B2">
        <w:rPr>
          <w:rFonts w:ascii="Arial" w:hAnsi="Arial" w:cs="Arial"/>
          <w:sz w:val="18"/>
          <w:szCs w:val="18"/>
        </w:rPr>
        <w:t>)</w:t>
      </w:r>
      <w:r>
        <w:rPr>
          <w:rFonts w:ascii="Arial" w:hAnsi="Arial" w:cs="Arial"/>
          <w:sz w:val="18"/>
          <w:szCs w:val="18"/>
        </w:rPr>
        <w:t xml:space="preserve"> with a corresponding liability still recognised for any lapsed or deferred appropriation adjustments to be recognised (refer to Note C6).</w:t>
      </w:r>
    </w:p>
    <w:p w14:paraId="570E5617"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5C09A1A5"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788B295B"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0DBE6FEA"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5DD80E31"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44A551C1" w14:textId="77777777" w:rsidR="00CD6D17" w:rsidRDefault="00CD6D17" w:rsidP="00CD6D17">
      <w:pPr>
        <w:pStyle w:val="Heading3"/>
      </w:pPr>
      <w:r>
        <w:t>B2 Expenses (continued)</w:t>
      </w:r>
    </w:p>
    <w:p w14:paraId="153E3ECB" w14:textId="77777777" w:rsidR="00CD6D17" w:rsidRDefault="00CD6D17" w:rsidP="00CD6D17">
      <w:pPr>
        <w:pStyle w:val="Heading3"/>
        <w:rPr>
          <w:rFonts w:ascii="Times New Roman" w:hAnsi="Times New Roman" w:cs="Times New Roman"/>
        </w:rPr>
      </w:pPr>
      <w:r>
        <w:t xml:space="preserve">B2-3 </w:t>
      </w:r>
      <w:r w:rsidRPr="00CD6D17">
        <w:t>Other Expenses (continued)</w:t>
      </w:r>
    </w:p>
    <w:p w14:paraId="0FFBB7E2" w14:textId="77777777" w:rsidR="002E375F" w:rsidRPr="005A3B27" w:rsidRDefault="00EB2569" w:rsidP="00862FE1">
      <w:pPr>
        <w:pStyle w:val="Heading3"/>
        <w:spacing w:before="240"/>
        <w:rPr>
          <w:sz w:val="18"/>
          <w:szCs w:val="18"/>
        </w:rPr>
      </w:pPr>
      <w:r w:rsidRPr="005A3B27">
        <w:rPr>
          <w:sz w:val="18"/>
          <w:szCs w:val="18"/>
        </w:rPr>
        <w:t>Audit Fees</w:t>
      </w:r>
    </w:p>
    <w:p w14:paraId="46CA0D2D" w14:textId="77777777" w:rsidR="002E375F" w:rsidRDefault="00EB2569" w:rsidP="00AD77C0">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Queensland Audit Office is the department's external auditor. Total external audit fees relating to the 2019-20 financial year are estimated to be $0.285M (2018-19: $0.280M). There are no non-audit services included in this amount.</w:t>
      </w:r>
    </w:p>
    <w:p w14:paraId="50685A67" w14:textId="77777777" w:rsidR="002E375F" w:rsidRPr="00E116EC" w:rsidRDefault="00EB2569" w:rsidP="00E116EC">
      <w:pPr>
        <w:pStyle w:val="Heading3"/>
        <w:rPr>
          <w:sz w:val="18"/>
          <w:szCs w:val="18"/>
        </w:rPr>
      </w:pPr>
      <w:r w:rsidRPr="00E116EC">
        <w:rPr>
          <w:sz w:val="18"/>
          <w:szCs w:val="18"/>
        </w:rPr>
        <w:t>Special Payments</w:t>
      </w:r>
    </w:p>
    <w:p w14:paraId="4E610034" w14:textId="77777777" w:rsidR="002E375F" w:rsidRPr="00862FE1" w:rsidRDefault="00EB2569" w:rsidP="00862FE1">
      <w:pPr>
        <w:autoSpaceDE w:val="0"/>
        <w:autoSpaceDN w:val="0"/>
        <w:adjustRightInd w:val="0"/>
        <w:spacing w:after="141" w:line="240" w:lineRule="auto"/>
        <w:rPr>
          <w:rFonts w:ascii="Arial" w:hAnsi="Arial" w:cs="Arial"/>
          <w:sz w:val="18"/>
          <w:szCs w:val="18"/>
        </w:rPr>
      </w:pPr>
      <w:r>
        <w:rPr>
          <w:rFonts w:ascii="Arial" w:hAnsi="Arial" w:cs="Arial"/>
          <w:sz w:val="18"/>
          <w:szCs w:val="18"/>
        </w:rPr>
        <w:t>Special payments represent ex gratia expenditure and other expenditure that the department is not contractually or legally obligated to make to other parties. Special payments during 2019-20 and 2018-19 include the following payments over $5,000:</w:t>
      </w:r>
    </w:p>
    <w:p w14:paraId="7A519C1C" w14:textId="77777777" w:rsidR="002E375F" w:rsidRDefault="00EB2569" w:rsidP="00AD77C0">
      <w:pPr>
        <w:autoSpaceDE w:val="0"/>
        <w:autoSpaceDN w:val="0"/>
        <w:adjustRightInd w:val="0"/>
        <w:spacing w:after="141" w:line="240" w:lineRule="auto"/>
        <w:rPr>
          <w:rFonts w:ascii="Arial" w:hAnsi="Arial" w:cs="Arial"/>
          <w:sz w:val="18"/>
          <w:szCs w:val="18"/>
        </w:rPr>
      </w:pPr>
      <w:r>
        <w:rPr>
          <w:rFonts w:ascii="Arial" w:hAnsi="Arial" w:cs="Arial"/>
          <w:sz w:val="18"/>
          <w:szCs w:val="18"/>
        </w:rPr>
        <w:t>Special payments during 2019-20 include $0.028M paid on behalf of a community services provider that experienced financial difficulties to ensure continuity of service to the department's clients. A further payment of $0.008M was also made to cover the funeral expenses of a client in the care of the department. Special payments during 2018-19 include $0.082M paid on behalf of a disability services provider that experienced financial difficulties to ensure continuity of service to the department's clients.</w:t>
      </w:r>
    </w:p>
    <w:p w14:paraId="27DEDA7B" w14:textId="77777777" w:rsidR="00CD6D17" w:rsidRDefault="00CD6D17" w:rsidP="00CD6D17">
      <w:pPr>
        <w:pStyle w:val="Heading3"/>
        <w:rPr>
          <w:rFonts w:ascii="Times New Roman" w:hAnsi="Times New Roman" w:cs="Times New Roman"/>
        </w:rPr>
      </w:pPr>
      <w:r>
        <w:t>C1 Cash and Cash Equivalents</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7F610C16" w14:textId="77777777" w:rsidTr="00CD6D17">
        <w:tc>
          <w:tcPr>
            <w:tcW w:w="7124" w:type="dxa"/>
            <w:tcBorders>
              <w:top w:val="nil"/>
              <w:left w:val="nil"/>
              <w:bottom w:val="nil"/>
              <w:right w:val="nil"/>
            </w:tcBorders>
            <w:shd w:val="clear" w:color="auto" w:fill="FFFFFF"/>
            <w:vAlign w:val="bottom"/>
          </w:tcPr>
          <w:p w14:paraId="2B706159"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115363CF" w14:textId="77777777" w:rsidR="002E375F" w:rsidRPr="00862FE1" w:rsidRDefault="00EB2569" w:rsidP="00862FE1">
            <w:pPr>
              <w:pStyle w:val="Heading2"/>
              <w:jc w:val="right"/>
              <w:rPr>
                <w:b/>
              </w:rPr>
            </w:pPr>
            <w:r w:rsidRPr="005A3B27">
              <w:rPr>
                <w:rFonts w:ascii="Arial" w:hAnsi="Arial" w:cs="Arial"/>
                <w:b/>
                <w:bCs/>
                <w:sz w:val="18"/>
                <w:szCs w:val="18"/>
              </w:rPr>
              <w:t>2020</w:t>
            </w:r>
            <w:r w:rsidRPr="005A3B27">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4728B2D2"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42AD0847" w14:textId="77777777" w:rsidTr="00CD6D17">
        <w:tc>
          <w:tcPr>
            <w:tcW w:w="7124" w:type="dxa"/>
            <w:tcBorders>
              <w:top w:val="nil"/>
              <w:left w:val="nil"/>
              <w:bottom w:val="nil"/>
              <w:right w:val="nil"/>
            </w:tcBorders>
            <w:shd w:val="clear" w:color="auto" w:fill="FFFFFF"/>
            <w:vAlign w:val="bottom"/>
          </w:tcPr>
          <w:p w14:paraId="4919941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Cash on hand</w:t>
            </w:r>
          </w:p>
        </w:tc>
        <w:tc>
          <w:tcPr>
            <w:tcW w:w="964" w:type="dxa"/>
            <w:tcBorders>
              <w:top w:val="nil"/>
              <w:left w:val="nil"/>
              <w:bottom w:val="nil"/>
              <w:right w:val="nil"/>
            </w:tcBorders>
            <w:shd w:val="clear" w:color="auto" w:fill="FFFFFF"/>
            <w:vAlign w:val="bottom"/>
          </w:tcPr>
          <w:p w14:paraId="7553FA9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w:t>
            </w:r>
          </w:p>
        </w:tc>
        <w:tc>
          <w:tcPr>
            <w:tcW w:w="964" w:type="dxa"/>
            <w:tcBorders>
              <w:top w:val="nil"/>
              <w:left w:val="nil"/>
              <w:bottom w:val="nil"/>
              <w:right w:val="nil"/>
            </w:tcBorders>
            <w:shd w:val="clear" w:color="auto" w:fill="FFFFFF"/>
            <w:vAlign w:val="bottom"/>
          </w:tcPr>
          <w:p w14:paraId="31C08B4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w:t>
            </w:r>
          </w:p>
        </w:tc>
      </w:tr>
      <w:tr w:rsidR="002E375F" w14:paraId="52DFE616" w14:textId="77777777" w:rsidTr="00CD6D17">
        <w:tc>
          <w:tcPr>
            <w:tcW w:w="7124" w:type="dxa"/>
            <w:tcBorders>
              <w:top w:val="nil"/>
              <w:left w:val="nil"/>
              <w:bottom w:val="nil"/>
              <w:right w:val="nil"/>
            </w:tcBorders>
            <w:shd w:val="clear" w:color="auto" w:fill="FFFFFF"/>
            <w:vAlign w:val="bottom"/>
          </w:tcPr>
          <w:p w14:paraId="0323569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Cash at bank</w:t>
            </w:r>
          </w:p>
        </w:tc>
        <w:tc>
          <w:tcPr>
            <w:tcW w:w="964" w:type="dxa"/>
            <w:tcBorders>
              <w:top w:val="nil"/>
              <w:left w:val="nil"/>
              <w:bottom w:val="single" w:sz="2" w:space="0" w:color="auto"/>
              <w:right w:val="nil"/>
            </w:tcBorders>
            <w:shd w:val="clear" w:color="auto" w:fill="FFFFFF"/>
            <w:vAlign w:val="bottom"/>
          </w:tcPr>
          <w:p w14:paraId="7DBD038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72,037</w:t>
            </w:r>
          </w:p>
        </w:tc>
        <w:tc>
          <w:tcPr>
            <w:tcW w:w="964" w:type="dxa"/>
            <w:tcBorders>
              <w:top w:val="nil"/>
              <w:left w:val="nil"/>
              <w:bottom w:val="single" w:sz="2" w:space="0" w:color="auto"/>
              <w:right w:val="nil"/>
            </w:tcBorders>
            <w:shd w:val="clear" w:color="auto" w:fill="FFFFFF"/>
            <w:vAlign w:val="bottom"/>
          </w:tcPr>
          <w:p w14:paraId="573CCF0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83,203</w:t>
            </w:r>
          </w:p>
        </w:tc>
      </w:tr>
      <w:tr w:rsidR="002E375F" w14:paraId="556BB9AC" w14:textId="77777777" w:rsidTr="00CD6D17">
        <w:tc>
          <w:tcPr>
            <w:tcW w:w="7124" w:type="dxa"/>
            <w:tcBorders>
              <w:top w:val="nil"/>
              <w:left w:val="nil"/>
              <w:bottom w:val="nil"/>
              <w:right w:val="nil"/>
            </w:tcBorders>
            <w:shd w:val="clear" w:color="auto" w:fill="FFFFFF"/>
            <w:vAlign w:val="bottom"/>
          </w:tcPr>
          <w:p w14:paraId="728AB4F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4E4CE21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72,041</w:t>
            </w:r>
          </w:p>
        </w:tc>
        <w:tc>
          <w:tcPr>
            <w:tcW w:w="964" w:type="dxa"/>
            <w:tcBorders>
              <w:top w:val="nil"/>
              <w:left w:val="nil"/>
              <w:bottom w:val="single" w:sz="2" w:space="0" w:color="auto"/>
              <w:right w:val="nil"/>
            </w:tcBorders>
            <w:shd w:val="clear" w:color="auto" w:fill="FFFFFF"/>
            <w:vAlign w:val="bottom"/>
          </w:tcPr>
          <w:p w14:paraId="768B348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83,208</w:t>
            </w:r>
          </w:p>
        </w:tc>
      </w:tr>
    </w:tbl>
    <w:p w14:paraId="20BEDB05" w14:textId="77777777" w:rsidR="002E375F" w:rsidRPr="00E116EC" w:rsidRDefault="00EB2569" w:rsidP="00E116EC">
      <w:pPr>
        <w:pStyle w:val="Heading3"/>
        <w:rPr>
          <w:sz w:val="18"/>
          <w:szCs w:val="18"/>
        </w:rPr>
      </w:pPr>
      <w:r w:rsidRPr="00E116EC">
        <w:rPr>
          <w:sz w:val="18"/>
          <w:szCs w:val="18"/>
        </w:rPr>
        <w:t>Accounting Policy - Cash and Cash equivalents</w:t>
      </w:r>
    </w:p>
    <w:p w14:paraId="54E518FF" w14:textId="77777777" w:rsidR="002E375F" w:rsidRDefault="00EB2569" w:rsidP="00AD77C0">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For the purposes of the balance sheet and the statement of cash flows, cash assets include all cash and cheques receipted but not banked at 30 June 2020.</w:t>
      </w:r>
    </w:p>
    <w:p w14:paraId="73FCC1BB" w14:textId="77777777" w:rsidR="002E375F" w:rsidRDefault="00EB2569" w:rsidP="00AD77C0">
      <w:pPr>
        <w:autoSpaceDE w:val="0"/>
        <w:autoSpaceDN w:val="0"/>
        <w:adjustRightInd w:val="0"/>
        <w:spacing w:after="141" w:line="240" w:lineRule="auto"/>
        <w:rPr>
          <w:rFonts w:ascii="Arial" w:hAnsi="Arial" w:cs="Arial"/>
          <w:sz w:val="18"/>
          <w:szCs w:val="18"/>
        </w:rPr>
      </w:pPr>
      <w:r>
        <w:rPr>
          <w:rFonts w:ascii="Arial" w:hAnsi="Arial" w:cs="Arial"/>
          <w:sz w:val="18"/>
          <w:szCs w:val="18"/>
        </w:rPr>
        <w:t>The department's cash at bank is held with the Commonwealth Bank of Australia except for a cash fund held with the Queensland Treasury Corporation (QTC) for the Elderly Parent Carer Innovation Initiative established in February 2013. The weighted average effective interest rate for the QTC cash fund is 0.85% per annum.</w:t>
      </w:r>
    </w:p>
    <w:p w14:paraId="42A10DA2" w14:textId="77777777" w:rsidR="00CD6D17" w:rsidRPr="001D18C2" w:rsidRDefault="001D18C2" w:rsidP="001D18C2">
      <w:pPr>
        <w:pStyle w:val="Heading3"/>
      </w:pPr>
      <w:r w:rsidRPr="001D18C2">
        <w:t xml:space="preserve">C2 </w:t>
      </w:r>
      <w:r w:rsidR="00CD6D17" w:rsidRPr="001D18C2">
        <w:t>Receivables</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2A93A05F" w14:textId="77777777" w:rsidTr="001D18C2">
        <w:tc>
          <w:tcPr>
            <w:tcW w:w="7124" w:type="dxa"/>
            <w:tcBorders>
              <w:top w:val="nil"/>
              <w:left w:val="nil"/>
              <w:bottom w:val="nil"/>
              <w:right w:val="nil"/>
            </w:tcBorders>
            <w:shd w:val="clear" w:color="auto" w:fill="FFFFFF"/>
            <w:vAlign w:val="bottom"/>
          </w:tcPr>
          <w:p w14:paraId="3794CC81"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627643BB" w14:textId="77777777" w:rsidR="002E375F" w:rsidRPr="00862FE1" w:rsidRDefault="00EB2569" w:rsidP="00862FE1">
            <w:pPr>
              <w:pStyle w:val="Heading2"/>
              <w:jc w:val="right"/>
              <w:rPr>
                <w:b/>
              </w:rPr>
            </w:pPr>
            <w:r w:rsidRPr="005A3B27">
              <w:rPr>
                <w:rFonts w:ascii="Arial" w:hAnsi="Arial" w:cs="Arial"/>
                <w:b/>
                <w:bCs/>
                <w:sz w:val="18"/>
                <w:szCs w:val="18"/>
              </w:rPr>
              <w:t>2020</w:t>
            </w:r>
            <w:r w:rsidRPr="005A3B27">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6E115916"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6F128533" w14:textId="77777777" w:rsidTr="001D18C2">
        <w:tc>
          <w:tcPr>
            <w:tcW w:w="7124" w:type="dxa"/>
            <w:tcBorders>
              <w:top w:val="nil"/>
              <w:left w:val="nil"/>
              <w:bottom w:val="nil"/>
              <w:right w:val="nil"/>
            </w:tcBorders>
            <w:shd w:val="clear" w:color="auto" w:fill="FFFFFF"/>
            <w:vAlign w:val="bottom"/>
          </w:tcPr>
          <w:p w14:paraId="7C7C2E4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Current</w:t>
            </w:r>
          </w:p>
        </w:tc>
        <w:tc>
          <w:tcPr>
            <w:tcW w:w="964" w:type="dxa"/>
            <w:tcBorders>
              <w:top w:val="nil"/>
              <w:left w:val="nil"/>
              <w:bottom w:val="nil"/>
              <w:right w:val="nil"/>
            </w:tcBorders>
            <w:shd w:val="clear" w:color="auto" w:fill="FFFFFF"/>
            <w:vAlign w:val="bottom"/>
          </w:tcPr>
          <w:p w14:paraId="43077A5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0ECFF8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505C64CC" w14:textId="77777777" w:rsidTr="001D18C2">
        <w:tc>
          <w:tcPr>
            <w:tcW w:w="7124" w:type="dxa"/>
            <w:tcBorders>
              <w:top w:val="nil"/>
              <w:left w:val="nil"/>
              <w:bottom w:val="nil"/>
              <w:right w:val="nil"/>
            </w:tcBorders>
            <w:shd w:val="clear" w:color="auto" w:fill="FFFFFF"/>
            <w:vAlign w:val="bottom"/>
          </w:tcPr>
          <w:p w14:paraId="348CDC1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Trade and other debtors</w:t>
            </w:r>
          </w:p>
        </w:tc>
        <w:tc>
          <w:tcPr>
            <w:tcW w:w="964" w:type="dxa"/>
            <w:tcBorders>
              <w:top w:val="nil"/>
              <w:left w:val="nil"/>
              <w:bottom w:val="nil"/>
              <w:right w:val="nil"/>
            </w:tcBorders>
            <w:shd w:val="clear" w:color="auto" w:fill="FFFFFF"/>
            <w:vAlign w:val="bottom"/>
          </w:tcPr>
          <w:p w14:paraId="1AE4C4E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2,177</w:t>
            </w:r>
          </w:p>
        </w:tc>
        <w:tc>
          <w:tcPr>
            <w:tcW w:w="964" w:type="dxa"/>
            <w:tcBorders>
              <w:top w:val="nil"/>
              <w:left w:val="nil"/>
              <w:bottom w:val="nil"/>
              <w:right w:val="nil"/>
            </w:tcBorders>
            <w:shd w:val="clear" w:color="auto" w:fill="FFFFFF"/>
            <w:vAlign w:val="bottom"/>
          </w:tcPr>
          <w:p w14:paraId="5562F4F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13,470</w:t>
            </w:r>
          </w:p>
        </w:tc>
      </w:tr>
      <w:tr w:rsidR="002E375F" w14:paraId="2DF8C733" w14:textId="77777777" w:rsidTr="001D18C2">
        <w:tc>
          <w:tcPr>
            <w:tcW w:w="7124" w:type="dxa"/>
            <w:tcBorders>
              <w:top w:val="nil"/>
              <w:left w:val="nil"/>
              <w:bottom w:val="nil"/>
              <w:right w:val="nil"/>
            </w:tcBorders>
            <w:shd w:val="clear" w:color="auto" w:fill="FFFFFF"/>
            <w:vAlign w:val="bottom"/>
          </w:tcPr>
          <w:p w14:paraId="0393C16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Less: Allowance for impairment loss</w:t>
            </w:r>
          </w:p>
        </w:tc>
        <w:tc>
          <w:tcPr>
            <w:tcW w:w="964" w:type="dxa"/>
            <w:tcBorders>
              <w:top w:val="nil"/>
              <w:left w:val="nil"/>
              <w:bottom w:val="single" w:sz="2" w:space="0" w:color="auto"/>
              <w:right w:val="nil"/>
            </w:tcBorders>
            <w:shd w:val="clear" w:color="auto" w:fill="FFFFFF"/>
            <w:vAlign w:val="bottom"/>
          </w:tcPr>
          <w:p w14:paraId="566E3C7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(1,780)</w:t>
            </w:r>
          </w:p>
        </w:tc>
        <w:tc>
          <w:tcPr>
            <w:tcW w:w="964" w:type="dxa"/>
            <w:tcBorders>
              <w:top w:val="nil"/>
              <w:left w:val="nil"/>
              <w:bottom w:val="single" w:sz="2" w:space="0" w:color="auto"/>
              <w:right w:val="nil"/>
            </w:tcBorders>
            <w:shd w:val="clear" w:color="auto" w:fill="FFFFFF"/>
            <w:vAlign w:val="bottom"/>
          </w:tcPr>
          <w:p w14:paraId="5E13859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(303)</w:t>
            </w:r>
          </w:p>
        </w:tc>
      </w:tr>
      <w:tr w:rsidR="002E375F" w14:paraId="33F4BEE1" w14:textId="77777777" w:rsidTr="001D18C2">
        <w:tc>
          <w:tcPr>
            <w:tcW w:w="7124" w:type="dxa"/>
            <w:tcBorders>
              <w:top w:val="nil"/>
              <w:left w:val="nil"/>
              <w:bottom w:val="nil"/>
              <w:right w:val="nil"/>
            </w:tcBorders>
            <w:shd w:val="clear" w:color="auto" w:fill="FFFFFF"/>
            <w:vAlign w:val="bottom"/>
          </w:tcPr>
          <w:p w14:paraId="3BFEC51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7DC143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397</w:t>
            </w:r>
          </w:p>
        </w:tc>
        <w:tc>
          <w:tcPr>
            <w:tcW w:w="964" w:type="dxa"/>
            <w:tcBorders>
              <w:top w:val="nil"/>
              <w:left w:val="nil"/>
              <w:bottom w:val="nil"/>
              <w:right w:val="nil"/>
            </w:tcBorders>
            <w:shd w:val="clear" w:color="auto" w:fill="FFFFFF"/>
            <w:vAlign w:val="bottom"/>
          </w:tcPr>
          <w:p w14:paraId="10FF79E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13,167</w:t>
            </w:r>
          </w:p>
        </w:tc>
      </w:tr>
      <w:tr w:rsidR="002E375F" w14:paraId="6C7D337F" w14:textId="77777777" w:rsidTr="001D18C2">
        <w:tc>
          <w:tcPr>
            <w:tcW w:w="7124" w:type="dxa"/>
            <w:tcBorders>
              <w:top w:val="nil"/>
              <w:left w:val="nil"/>
              <w:bottom w:val="nil"/>
              <w:right w:val="nil"/>
            </w:tcBorders>
            <w:shd w:val="clear" w:color="auto" w:fill="FFFFFF"/>
            <w:vAlign w:val="bottom"/>
          </w:tcPr>
          <w:p w14:paraId="4F4B926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GST input tax credits receivable</w:t>
            </w:r>
          </w:p>
        </w:tc>
        <w:tc>
          <w:tcPr>
            <w:tcW w:w="964" w:type="dxa"/>
            <w:tcBorders>
              <w:top w:val="nil"/>
              <w:left w:val="nil"/>
              <w:bottom w:val="nil"/>
              <w:right w:val="nil"/>
            </w:tcBorders>
            <w:shd w:val="clear" w:color="auto" w:fill="FFFFFF"/>
            <w:vAlign w:val="bottom"/>
          </w:tcPr>
          <w:p w14:paraId="213C835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1,302</w:t>
            </w:r>
          </w:p>
        </w:tc>
        <w:tc>
          <w:tcPr>
            <w:tcW w:w="964" w:type="dxa"/>
            <w:tcBorders>
              <w:top w:val="nil"/>
              <w:left w:val="nil"/>
              <w:bottom w:val="nil"/>
              <w:right w:val="nil"/>
            </w:tcBorders>
            <w:shd w:val="clear" w:color="auto" w:fill="FFFFFF"/>
            <w:vAlign w:val="bottom"/>
          </w:tcPr>
          <w:p w14:paraId="2988499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1,154</w:t>
            </w:r>
          </w:p>
        </w:tc>
      </w:tr>
      <w:tr w:rsidR="002E375F" w14:paraId="4E3D80A2" w14:textId="77777777" w:rsidTr="001D18C2">
        <w:tc>
          <w:tcPr>
            <w:tcW w:w="7124" w:type="dxa"/>
            <w:tcBorders>
              <w:top w:val="nil"/>
              <w:left w:val="nil"/>
              <w:bottom w:val="nil"/>
              <w:right w:val="nil"/>
            </w:tcBorders>
            <w:shd w:val="clear" w:color="auto" w:fill="FFFFFF"/>
            <w:vAlign w:val="bottom"/>
          </w:tcPr>
          <w:p w14:paraId="1A2D8E1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Annual leave reimbursements</w:t>
            </w:r>
          </w:p>
        </w:tc>
        <w:tc>
          <w:tcPr>
            <w:tcW w:w="964" w:type="dxa"/>
            <w:tcBorders>
              <w:top w:val="nil"/>
              <w:left w:val="nil"/>
              <w:bottom w:val="nil"/>
              <w:right w:val="nil"/>
            </w:tcBorders>
            <w:shd w:val="clear" w:color="auto" w:fill="FFFFFF"/>
            <w:vAlign w:val="bottom"/>
          </w:tcPr>
          <w:p w14:paraId="60AFF0A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2,481</w:t>
            </w:r>
          </w:p>
        </w:tc>
        <w:tc>
          <w:tcPr>
            <w:tcW w:w="964" w:type="dxa"/>
            <w:tcBorders>
              <w:top w:val="nil"/>
              <w:left w:val="nil"/>
              <w:bottom w:val="nil"/>
              <w:right w:val="nil"/>
            </w:tcBorders>
            <w:shd w:val="clear" w:color="auto" w:fill="FFFFFF"/>
            <w:vAlign w:val="bottom"/>
          </w:tcPr>
          <w:p w14:paraId="58AF0AC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5,376</w:t>
            </w:r>
          </w:p>
        </w:tc>
      </w:tr>
      <w:tr w:rsidR="002E375F" w14:paraId="2387CD29" w14:textId="77777777" w:rsidTr="001D18C2">
        <w:tc>
          <w:tcPr>
            <w:tcW w:w="7124" w:type="dxa"/>
            <w:tcBorders>
              <w:top w:val="nil"/>
              <w:left w:val="nil"/>
              <w:bottom w:val="nil"/>
              <w:right w:val="nil"/>
            </w:tcBorders>
            <w:shd w:val="clear" w:color="auto" w:fill="FFFFFF"/>
            <w:vAlign w:val="bottom"/>
          </w:tcPr>
          <w:p w14:paraId="287CA8D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Long service leave reimbursements</w:t>
            </w:r>
          </w:p>
        </w:tc>
        <w:tc>
          <w:tcPr>
            <w:tcW w:w="964" w:type="dxa"/>
            <w:tcBorders>
              <w:top w:val="nil"/>
              <w:left w:val="nil"/>
              <w:bottom w:val="single" w:sz="2" w:space="0" w:color="auto"/>
              <w:right w:val="nil"/>
            </w:tcBorders>
            <w:shd w:val="clear" w:color="auto" w:fill="FFFFFF"/>
            <w:vAlign w:val="bottom"/>
          </w:tcPr>
          <w:p w14:paraId="5166C9E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661</w:t>
            </w:r>
          </w:p>
        </w:tc>
        <w:tc>
          <w:tcPr>
            <w:tcW w:w="964" w:type="dxa"/>
            <w:tcBorders>
              <w:top w:val="nil"/>
              <w:left w:val="nil"/>
              <w:bottom w:val="single" w:sz="2" w:space="0" w:color="auto"/>
              <w:right w:val="nil"/>
            </w:tcBorders>
            <w:shd w:val="clear" w:color="auto" w:fill="FFFFFF"/>
            <w:vAlign w:val="bottom"/>
          </w:tcPr>
          <w:p w14:paraId="6F5B7AE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4,155</w:t>
            </w:r>
          </w:p>
        </w:tc>
      </w:tr>
      <w:tr w:rsidR="002E375F" w14:paraId="4C38EBBF" w14:textId="77777777" w:rsidTr="001D18C2">
        <w:tc>
          <w:tcPr>
            <w:tcW w:w="7124" w:type="dxa"/>
            <w:tcBorders>
              <w:top w:val="nil"/>
              <w:left w:val="nil"/>
              <w:bottom w:val="nil"/>
              <w:right w:val="nil"/>
            </w:tcBorders>
            <w:shd w:val="clear" w:color="auto" w:fill="FFFFFF"/>
            <w:vAlign w:val="bottom"/>
          </w:tcPr>
          <w:p w14:paraId="2BD6698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5B9A118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4,841</w:t>
            </w:r>
          </w:p>
        </w:tc>
        <w:tc>
          <w:tcPr>
            <w:tcW w:w="964" w:type="dxa"/>
            <w:tcBorders>
              <w:top w:val="nil"/>
              <w:left w:val="nil"/>
              <w:bottom w:val="single" w:sz="2" w:space="0" w:color="auto"/>
              <w:right w:val="nil"/>
            </w:tcBorders>
            <w:shd w:val="clear" w:color="auto" w:fill="FFFFFF"/>
            <w:vAlign w:val="bottom"/>
          </w:tcPr>
          <w:p w14:paraId="409FC44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23,852</w:t>
            </w:r>
          </w:p>
        </w:tc>
      </w:tr>
    </w:tbl>
    <w:p w14:paraId="3EB8DB13"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54B935D4"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6052DC42"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65D8AC70"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445C2412"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1DE0A926" w14:textId="77777777" w:rsidR="001D18C2" w:rsidRDefault="001D18C2" w:rsidP="001D18C2">
      <w:pPr>
        <w:pStyle w:val="Heading3"/>
        <w:rPr>
          <w:rFonts w:ascii="Times New Roman" w:hAnsi="Times New Roman" w:cs="Times New Roman"/>
        </w:rPr>
      </w:pPr>
      <w:r>
        <w:t>C2 Receivables (continued)</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4160B310" w14:textId="77777777" w:rsidTr="001D18C2">
        <w:tc>
          <w:tcPr>
            <w:tcW w:w="7124" w:type="dxa"/>
            <w:tcBorders>
              <w:top w:val="nil"/>
              <w:left w:val="nil"/>
              <w:bottom w:val="nil"/>
              <w:right w:val="nil"/>
            </w:tcBorders>
            <w:shd w:val="clear" w:color="auto" w:fill="FFFFFF"/>
            <w:vAlign w:val="bottom"/>
          </w:tcPr>
          <w:p w14:paraId="4EC5CBC7"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15277B3F" w14:textId="77777777" w:rsidR="002E375F" w:rsidRPr="00862FE1" w:rsidRDefault="00EB2569" w:rsidP="00862FE1">
            <w:pPr>
              <w:pStyle w:val="Heading2"/>
              <w:jc w:val="right"/>
              <w:rPr>
                <w:b/>
              </w:rPr>
            </w:pPr>
            <w:r w:rsidRPr="005A3B27">
              <w:rPr>
                <w:rFonts w:ascii="Arial" w:hAnsi="Arial" w:cs="Arial"/>
                <w:b/>
                <w:bCs/>
                <w:sz w:val="18"/>
                <w:szCs w:val="18"/>
              </w:rPr>
              <w:t>2020</w:t>
            </w:r>
            <w:r w:rsidRPr="005A3B27">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26AFCD38"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62CF7FD9" w14:textId="77777777" w:rsidTr="001D18C2">
        <w:tc>
          <w:tcPr>
            <w:tcW w:w="7124" w:type="dxa"/>
            <w:tcBorders>
              <w:top w:val="nil"/>
              <w:left w:val="nil"/>
              <w:bottom w:val="nil"/>
              <w:right w:val="nil"/>
            </w:tcBorders>
            <w:shd w:val="clear" w:color="auto" w:fill="FFFFFF"/>
            <w:vAlign w:val="bottom"/>
          </w:tcPr>
          <w:p w14:paraId="35C23EDC" w14:textId="77777777" w:rsidR="002E375F" w:rsidRDefault="00EB2569">
            <w:pPr>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b/>
                <w:bCs/>
                <w:sz w:val="18"/>
                <w:szCs w:val="18"/>
              </w:rPr>
              <w:t>Non Current</w:t>
            </w:r>
            <w:proofErr w:type="spellEnd"/>
          </w:p>
        </w:tc>
        <w:tc>
          <w:tcPr>
            <w:tcW w:w="964" w:type="dxa"/>
            <w:tcBorders>
              <w:top w:val="nil"/>
              <w:left w:val="nil"/>
              <w:bottom w:val="nil"/>
              <w:right w:val="nil"/>
            </w:tcBorders>
            <w:shd w:val="clear" w:color="auto" w:fill="FFFFFF"/>
            <w:vAlign w:val="bottom"/>
          </w:tcPr>
          <w:p w14:paraId="77F253C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6854C5E"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51701978" w14:textId="77777777" w:rsidTr="001D18C2">
        <w:tc>
          <w:tcPr>
            <w:tcW w:w="7124" w:type="dxa"/>
            <w:tcBorders>
              <w:top w:val="nil"/>
              <w:left w:val="nil"/>
              <w:bottom w:val="nil"/>
              <w:right w:val="nil"/>
            </w:tcBorders>
            <w:shd w:val="clear" w:color="auto" w:fill="FFFFFF"/>
            <w:vAlign w:val="bottom"/>
          </w:tcPr>
          <w:p w14:paraId="4D688F8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Appropriation revenue receivable</w:t>
            </w:r>
          </w:p>
        </w:tc>
        <w:tc>
          <w:tcPr>
            <w:tcW w:w="964" w:type="dxa"/>
            <w:tcBorders>
              <w:top w:val="nil"/>
              <w:left w:val="nil"/>
              <w:bottom w:val="single" w:sz="2" w:space="0" w:color="auto"/>
              <w:right w:val="nil"/>
            </w:tcBorders>
            <w:shd w:val="clear" w:color="auto" w:fill="FFFFFF"/>
            <w:vAlign w:val="bottom"/>
          </w:tcPr>
          <w:p w14:paraId="3F573D3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10D4DEB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4,202</w:t>
            </w:r>
          </w:p>
        </w:tc>
      </w:tr>
      <w:tr w:rsidR="002E375F" w14:paraId="13DADB4B" w14:textId="77777777" w:rsidTr="001D18C2">
        <w:tc>
          <w:tcPr>
            <w:tcW w:w="7124" w:type="dxa"/>
            <w:tcBorders>
              <w:top w:val="nil"/>
              <w:left w:val="nil"/>
              <w:bottom w:val="nil"/>
              <w:right w:val="nil"/>
            </w:tcBorders>
            <w:shd w:val="clear" w:color="auto" w:fill="FFFFFF"/>
            <w:vAlign w:val="bottom"/>
          </w:tcPr>
          <w:p w14:paraId="548E036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6724AAE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04BE4E9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4,202</w:t>
            </w:r>
          </w:p>
        </w:tc>
      </w:tr>
    </w:tbl>
    <w:p w14:paraId="4E1B8232" w14:textId="77777777" w:rsidR="002E375F" w:rsidRPr="00E116EC" w:rsidRDefault="00EB2569" w:rsidP="00862FE1">
      <w:pPr>
        <w:pStyle w:val="Heading3"/>
        <w:spacing w:before="240"/>
        <w:rPr>
          <w:sz w:val="18"/>
          <w:szCs w:val="18"/>
        </w:rPr>
      </w:pPr>
      <w:r w:rsidRPr="00E116EC">
        <w:rPr>
          <w:sz w:val="18"/>
          <w:szCs w:val="18"/>
        </w:rPr>
        <w:t>Accounting Policy - Receivables</w:t>
      </w:r>
    </w:p>
    <w:p w14:paraId="105E899D"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Trade and other debtors are recognised at the amounts due at the time of sale or service delivery. Settlement of these amounts is required within 30 days from invoice date. The collectability of receivables is assessed periodically with provision being made for impairment.</w:t>
      </w:r>
    </w:p>
    <w:p w14:paraId="15D21086" w14:textId="77777777" w:rsidR="002E375F" w:rsidRPr="00E116EC" w:rsidRDefault="00EB2569" w:rsidP="00E116EC">
      <w:pPr>
        <w:pStyle w:val="Heading3"/>
        <w:rPr>
          <w:sz w:val="18"/>
          <w:szCs w:val="18"/>
        </w:rPr>
      </w:pPr>
      <w:r w:rsidRPr="00E116EC">
        <w:rPr>
          <w:sz w:val="18"/>
          <w:szCs w:val="18"/>
        </w:rPr>
        <w:t>Accounting Policy - Impairment of receivables</w:t>
      </w:r>
    </w:p>
    <w:p w14:paraId="36D098E8"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Where the department has no reasonable expectation of recovering an amount owed by a debtor, the debt is written-off by directly reducing the receivable against the loss allowance. If the amount of the debt written off exceeds the loss allowance, the excess is recognised as an impairment loss.</w:t>
      </w:r>
    </w:p>
    <w:p w14:paraId="7B86C6E8" w14:textId="77777777" w:rsidR="002E375F" w:rsidRPr="00E116EC" w:rsidRDefault="00EB2569" w:rsidP="00E116EC">
      <w:pPr>
        <w:pStyle w:val="Heading3"/>
        <w:rPr>
          <w:sz w:val="18"/>
          <w:szCs w:val="18"/>
        </w:rPr>
      </w:pPr>
      <w:r w:rsidRPr="00E116EC">
        <w:rPr>
          <w:sz w:val="18"/>
          <w:szCs w:val="18"/>
        </w:rPr>
        <w:t>Disclosure - Impairment of receivables</w:t>
      </w:r>
    </w:p>
    <w:p w14:paraId="7C89AF2F"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decrease in trade receivables at 30 June 2020 compared to 30 June 2019 is due to $1.780M of trade debtors being deemed likely to be uncollectable in the current and future financial years. The larger than normal impairment has been impacted by the transition of disability services to the NDIS, with the department no longer holding related funding agreements. The amount was provided for by increasing the allowance for impairment loss by $1.477M in 2019-20.</w:t>
      </w:r>
    </w:p>
    <w:p w14:paraId="4912967C" w14:textId="77777777" w:rsidR="002E375F" w:rsidRPr="00E116EC" w:rsidRDefault="00EB2569" w:rsidP="00E116EC">
      <w:pPr>
        <w:pStyle w:val="Heading3"/>
        <w:rPr>
          <w:sz w:val="18"/>
          <w:szCs w:val="18"/>
        </w:rPr>
      </w:pPr>
      <w:r w:rsidRPr="00E116EC">
        <w:rPr>
          <w:sz w:val="18"/>
          <w:szCs w:val="18"/>
        </w:rPr>
        <w:t>Disclosure - COVID-19 pandemic impact</w:t>
      </w:r>
    </w:p>
    <w:p w14:paraId="6923E8FD"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In response to COVID-19 the State Government announced a new rent relief policy to assist lessees with the financial impact of the pandemic. The department has waived rent for a six month period between 1 April 2020 and 30 September 2020. The policy has minimal impact on the department’s revenue as it has few leases in place with a commercial rental.</w:t>
      </w:r>
    </w:p>
    <w:p w14:paraId="21AE18DD"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 recognises receivables from non-government organisations when required to repay excess funds from prior years, based on the terms and conditions of their funding arrangements. To date there has been no noticeable impact upon related receivables beyond that which existed prior to the pandemic.</w:t>
      </w:r>
    </w:p>
    <w:p w14:paraId="2EFC9FCB"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ability of non-government organisations to repay excess funds held from prior years could however manifest over a period of time, as the full impact of the pandemic hits the economy. The department continues to monitor the financial viability of non-government organisations holding funding agreements to identify risks in service delivery and debt recovery.</w:t>
      </w:r>
    </w:p>
    <w:p w14:paraId="2C8AE97E" w14:textId="77777777" w:rsidR="002E375F" w:rsidRPr="00E116EC" w:rsidRDefault="00EB2569" w:rsidP="00E116EC">
      <w:pPr>
        <w:pStyle w:val="Heading3"/>
        <w:rPr>
          <w:sz w:val="18"/>
          <w:szCs w:val="18"/>
        </w:rPr>
      </w:pPr>
      <w:r w:rsidRPr="00E116EC">
        <w:rPr>
          <w:sz w:val="18"/>
          <w:szCs w:val="18"/>
        </w:rPr>
        <w:t>Disclosure - Credit risk of receivables</w:t>
      </w:r>
    </w:p>
    <w:p w14:paraId="682C49D5" w14:textId="77777777" w:rsidR="002E375F" w:rsidRDefault="00EB2569" w:rsidP="00862FE1">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majority of the department's receivables are from the State Government or Commonwealth agencies who are expected to have an insignificant, and therefore immaterial, level of credit risk exposure. No loss allowance is recorded for these receivables on the basis of materiality.</w:t>
      </w:r>
    </w:p>
    <w:p w14:paraId="06196007"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16859262"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1D4D8907"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428E99B3"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73AB3ECB"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0B94D8A0" w14:textId="77777777" w:rsidR="001D18C2" w:rsidRDefault="001D18C2" w:rsidP="001D18C2">
      <w:pPr>
        <w:pStyle w:val="Heading3"/>
        <w:rPr>
          <w:rFonts w:ascii="Times New Roman" w:hAnsi="Times New Roman" w:cs="Times New Roman"/>
        </w:rPr>
      </w:pPr>
      <w:r>
        <w:t>C3 Non-Current Assets Held for Sale</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45169091" w14:textId="77777777" w:rsidTr="001D18C2">
        <w:tc>
          <w:tcPr>
            <w:tcW w:w="7124" w:type="dxa"/>
            <w:tcBorders>
              <w:top w:val="nil"/>
              <w:left w:val="nil"/>
              <w:bottom w:val="nil"/>
              <w:right w:val="nil"/>
            </w:tcBorders>
            <w:shd w:val="clear" w:color="auto" w:fill="FFFFFF"/>
            <w:vAlign w:val="bottom"/>
          </w:tcPr>
          <w:p w14:paraId="684734BC"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0EBEFC7F" w14:textId="77777777" w:rsidR="002E375F" w:rsidRPr="00862FE1" w:rsidRDefault="00EB2569" w:rsidP="00862FE1">
            <w:pPr>
              <w:pStyle w:val="Heading2"/>
              <w:jc w:val="right"/>
              <w:rPr>
                <w:b/>
              </w:rPr>
            </w:pPr>
            <w:r w:rsidRPr="005A3B27">
              <w:rPr>
                <w:rFonts w:ascii="Arial" w:hAnsi="Arial" w:cs="Arial"/>
                <w:b/>
                <w:bCs/>
                <w:sz w:val="18"/>
                <w:szCs w:val="18"/>
              </w:rPr>
              <w:t>2020</w:t>
            </w:r>
            <w:r w:rsidRPr="005A3B27">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4FE952B4"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0DBF3B95" w14:textId="77777777" w:rsidTr="001D18C2">
        <w:tc>
          <w:tcPr>
            <w:tcW w:w="7124" w:type="dxa"/>
            <w:tcBorders>
              <w:top w:val="nil"/>
              <w:left w:val="nil"/>
              <w:bottom w:val="nil"/>
              <w:right w:val="nil"/>
            </w:tcBorders>
            <w:shd w:val="clear" w:color="auto" w:fill="FFFFFF"/>
            <w:vAlign w:val="bottom"/>
          </w:tcPr>
          <w:p w14:paraId="0DB4E7F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Land</w:t>
            </w:r>
          </w:p>
        </w:tc>
        <w:tc>
          <w:tcPr>
            <w:tcW w:w="964" w:type="dxa"/>
            <w:tcBorders>
              <w:top w:val="nil"/>
              <w:left w:val="nil"/>
              <w:bottom w:val="nil"/>
              <w:right w:val="nil"/>
            </w:tcBorders>
            <w:shd w:val="clear" w:color="auto" w:fill="FFFFFF"/>
            <w:vAlign w:val="bottom"/>
          </w:tcPr>
          <w:p w14:paraId="7033A7A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08B4737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180</w:t>
            </w:r>
          </w:p>
        </w:tc>
      </w:tr>
      <w:tr w:rsidR="002E375F" w14:paraId="35C071F0" w14:textId="77777777" w:rsidTr="001D18C2">
        <w:tc>
          <w:tcPr>
            <w:tcW w:w="7124" w:type="dxa"/>
            <w:tcBorders>
              <w:top w:val="nil"/>
              <w:left w:val="nil"/>
              <w:bottom w:val="nil"/>
              <w:right w:val="nil"/>
            </w:tcBorders>
            <w:shd w:val="clear" w:color="auto" w:fill="FFFFFF"/>
            <w:vAlign w:val="bottom"/>
          </w:tcPr>
          <w:p w14:paraId="7C5D8D4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Buildings</w:t>
            </w:r>
          </w:p>
        </w:tc>
        <w:tc>
          <w:tcPr>
            <w:tcW w:w="964" w:type="dxa"/>
            <w:tcBorders>
              <w:top w:val="nil"/>
              <w:left w:val="nil"/>
              <w:bottom w:val="single" w:sz="2" w:space="0" w:color="auto"/>
              <w:right w:val="nil"/>
            </w:tcBorders>
            <w:shd w:val="clear" w:color="auto" w:fill="FFFFFF"/>
            <w:vAlign w:val="bottom"/>
          </w:tcPr>
          <w:p w14:paraId="2C02E2C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05C3708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188</w:t>
            </w:r>
          </w:p>
        </w:tc>
      </w:tr>
      <w:tr w:rsidR="002E375F" w14:paraId="25A8ABBB" w14:textId="77777777" w:rsidTr="001D18C2">
        <w:tc>
          <w:tcPr>
            <w:tcW w:w="7124" w:type="dxa"/>
            <w:tcBorders>
              <w:top w:val="nil"/>
              <w:left w:val="nil"/>
              <w:bottom w:val="nil"/>
              <w:right w:val="nil"/>
            </w:tcBorders>
            <w:shd w:val="clear" w:color="auto" w:fill="FFFFFF"/>
            <w:vAlign w:val="bottom"/>
          </w:tcPr>
          <w:p w14:paraId="32DFD2F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4FAC175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1808D38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368</w:t>
            </w:r>
          </w:p>
        </w:tc>
      </w:tr>
    </w:tbl>
    <w:p w14:paraId="52D0E0CD" w14:textId="77777777" w:rsidR="002E375F" w:rsidRPr="00E116EC" w:rsidRDefault="00EB2569" w:rsidP="00862FE1">
      <w:pPr>
        <w:pStyle w:val="Heading3"/>
        <w:spacing w:before="240"/>
        <w:rPr>
          <w:sz w:val="18"/>
          <w:szCs w:val="18"/>
        </w:rPr>
      </w:pPr>
      <w:r w:rsidRPr="00E116EC">
        <w:rPr>
          <w:sz w:val="18"/>
          <w:szCs w:val="18"/>
        </w:rPr>
        <w:t>Accounting Policy - Non-Current Assets Held for Sale</w:t>
      </w:r>
    </w:p>
    <w:p w14:paraId="324CF755"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Non-current assets held for sale consist of those assets that management has determined are available for immediate sale in their present condition, for which their sale is highly probable within the next 12 months.</w:t>
      </w:r>
    </w:p>
    <w:p w14:paraId="4DB95012"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Under AASB 5 </w:t>
      </w:r>
      <w:r>
        <w:rPr>
          <w:rFonts w:ascii="Arial" w:hAnsi="Arial" w:cs="Arial"/>
          <w:i/>
          <w:iCs/>
          <w:sz w:val="18"/>
          <w:szCs w:val="18"/>
        </w:rPr>
        <w:t>Non-Current Assets Held for Sale and Discontinued Operations</w:t>
      </w:r>
      <w:r>
        <w:rPr>
          <w:rFonts w:ascii="Arial" w:hAnsi="Arial" w:cs="Arial"/>
          <w:sz w:val="18"/>
          <w:szCs w:val="18"/>
        </w:rPr>
        <w:t>, when an asset is classified as held for sale, its value is measured at the lower of the asset's carrying amount and fair value less costs to sell. Such assets are no longer amortised or depreciated upon being classified as held for sale.</w:t>
      </w:r>
    </w:p>
    <w:p w14:paraId="5941945C" w14:textId="77777777" w:rsidR="002E375F" w:rsidRPr="00E116EC" w:rsidRDefault="00EB2569" w:rsidP="00E116EC">
      <w:pPr>
        <w:pStyle w:val="Heading3"/>
        <w:rPr>
          <w:sz w:val="18"/>
          <w:szCs w:val="18"/>
        </w:rPr>
      </w:pPr>
      <w:r w:rsidRPr="00E116EC">
        <w:rPr>
          <w:sz w:val="18"/>
          <w:szCs w:val="18"/>
        </w:rPr>
        <w:t>Disclosures about non-current assets held for sale</w:t>
      </w:r>
    </w:p>
    <w:p w14:paraId="43E574C0"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 sold land and buildings at one site in 2019-20 on the open market due to the property no longer being suitable for the department's needs. The total market value of the land and buildings transferred to held for sale and then sold during 2019-20 was $0.700M. Refer to Note C4-1 for confirmation of this movement in the department's land and building assets.</w:t>
      </w:r>
    </w:p>
    <w:p w14:paraId="54BCAFBB"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The department sold land and buildings at one site in 2018-19 due to the long term tenant seeking to purchase them. The </w:t>
      </w:r>
      <w:r>
        <w:rPr>
          <w:rFonts w:ascii="Arial" w:hAnsi="Arial" w:cs="Arial"/>
          <w:i/>
          <w:iCs/>
          <w:sz w:val="18"/>
          <w:szCs w:val="18"/>
        </w:rPr>
        <w:t>Queensland Government Land Transaction Policy</w:t>
      </w:r>
      <w:r>
        <w:rPr>
          <w:rFonts w:ascii="Arial" w:hAnsi="Arial" w:cs="Arial"/>
          <w:sz w:val="18"/>
          <w:szCs w:val="18"/>
        </w:rPr>
        <w:t xml:space="preserve"> allows for in-priority sales to long term sitting tenants. The sale was approved to provide the tenant with security of tenure and safeguard future service delivery from the site.</w:t>
      </w:r>
    </w:p>
    <w:p w14:paraId="65AE8BCC" w14:textId="77777777" w:rsidR="002E375F" w:rsidRDefault="004212EA" w:rsidP="004212EA">
      <w:pPr>
        <w:pStyle w:val="Heading3"/>
        <w:rPr>
          <w:rFonts w:ascii="Times New Roman" w:hAnsi="Times New Roman" w:cs="Times New Roman"/>
        </w:rPr>
      </w:pPr>
      <w:r>
        <w:t>C4 Property, Plant and Equipment</w:t>
      </w:r>
    </w:p>
    <w:p w14:paraId="7435FC67" w14:textId="77777777" w:rsidR="004212EA" w:rsidRPr="004212EA" w:rsidRDefault="004212EA" w:rsidP="004212EA">
      <w:pPr>
        <w:pStyle w:val="Heading3"/>
      </w:pPr>
      <w:r w:rsidRPr="004212EA">
        <w:t>C4-1 Closing Balances and Reconciliations of Carrying Amount</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486B52F3" w14:textId="77777777" w:rsidTr="001C442D">
        <w:tc>
          <w:tcPr>
            <w:tcW w:w="7124" w:type="dxa"/>
            <w:tcBorders>
              <w:top w:val="nil"/>
              <w:left w:val="nil"/>
              <w:bottom w:val="nil"/>
              <w:right w:val="nil"/>
            </w:tcBorders>
            <w:shd w:val="clear" w:color="auto" w:fill="FFFFFF"/>
            <w:vAlign w:val="bottom"/>
          </w:tcPr>
          <w:p w14:paraId="5620FFD1" w14:textId="77777777" w:rsidR="002E375F" w:rsidRDefault="001C442D" w:rsidP="001C442D">
            <w:pPr>
              <w:pStyle w:val="Heading2"/>
            </w:pPr>
            <w:r>
              <w:rPr>
                <w:rFonts w:ascii="Arial" w:hAnsi="Arial" w:cs="Arial"/>
                <w:b/>
                <w:bCs/>
                <w:sz w:val="18"/>
                <w:szCs w:val="18"/>
              </w:rPr>
              <w:t>Property, Plant and Equipment Reconciliation at 30 June 2020</w:t>
            </w:r>
          </w:p>
        </w:tc>
        <w:tc>
          <w:tcPr>
            <w:tcW w:w="964" w:type="dxa"/>
            <w:tcBorders>
              <w:top w:val="nil"/>
              <w:left w:val="nil"/>
              <w:bottom w:val="nil"/>
              <w:right w:val="nil"/>
            </w:tcBorders>
            <w:shd w:val="clear" w:color="auto" w:fill="FFFFFF"/>
            <w:vAlign w:val="bottom"/>
          </w:tcPr>
          <w:p w14:paraId="4B02CD44" w14:textId="77777777" w:rsidR="002E375F" w:rsidRPr="00862FE1" w:rsidRDefault="00EB2569" w:rsidP="00862FE1">
            <w:pPr>
              <w:pStyle w:val="Heading2"/>
              <w:jc w:val="right"/>
              <w:rPr>
                <w:b/>
              </w:rPr>
            </w:pPr>
            <w:r w:rsidRPr="005A3B27">
              <w:rPr>
                <w:rFonts w:ascii="Arial" w:hAnsi="Arial" w:cs="Arial"/>
                <w:b/>
                <w:bCs/>
                <w:sz w:val="18"/>
                <w:szCs w:val="18"/>
              </w:rPr>
              <w:t>2020</w:t>
            </w:r>
            <w:r w:rsidRPr="005A3B27">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45898976"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454D764C" w14:textId="77777777" w:rsidTr="001C442D">
        <w:tc>
          <w:tcPr>
            <w:tcW w:w="7124" w:type="dxa"/>
            <w:tcBorders>
              <w:top w:val="nil"/>
              <w:left w:val="nil"/>
              <w:bottom w:val="nil"/>
              <w:right w:val="nil"/>
            </w:tcBorders>
            <w:shd w:val="clear" w:color="auto" w:fill="FFFFFF"/>
          </w:tcPr>
          <w:p w14:paraId="585A215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Land</w:t>
            </w:r>
          </w:p>
        </w:tc>
        <w:tc>
          <w:tcPr>
            <w:tcW w:w="964" w:type="dxa"/>
            <w:tcBorders>
              <w:top w:val="nil"/>
              <w:left w:val="nil"/>
              <w:bottom w:val="nil"/>
              <w:right w:val="nil"/>
            </w:tcBorders>
            <w:shd w:val="clear" w:color="auto" w:fill="FFFFFF"/>
            <w:vAlign w:val="bottom"/>
          </w:tcPr>
          <w:p w14:paraId="14BF255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408165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1B6B311B" w14:textId="77777777" w:rsidTr="001C442D">
        <w:tc>
          <w:tcPr>
            <w:tcW w:w="7124" w:type="dxa"/>
            <w:tcBorders>
              <w:top w:val="nil"/>
              <w:left w:val="nil"/>
              <w:bottom w:val="nil"/>
              <w:right w:val="nil"/>
            </w:tcBorders>
            <w:shd w:val="clear" w:color="auto" w:fill="FFFFFF"/>
            <w:vAlign w:val="bottom"/>
          </w:tcPr>
          <w:p w14:paraId="47C01D0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At fair value</w:t>
            </w:r>
          </w:p>
        </w:tc>
        <w:tc>
          <w:tcPr>
            <w:tcW w:w="964" w:type="dxa"/>
            <w:tcBorders>
              <w:top w:val="nil"/>
              <w:left w:val="nil"/>
              <w:bottom w:val="single" w:sz="2" w:space="0" w:color="auto"/>
              <w:right w:val="nil"/>
            </w:tcBorders>
            <w:shd w:val="clear" w:color="auto" w:fill="FFFFFF"/>
            <w:vAlign w:val="bottom"/>
          </w:tcPr>
          <w:p w14:paraId="302639B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82,986</w:t>
            </w:r>
          </w:p>
        </w:tc>
        <w:tc>
          <w:tcPr>
            <w:tcW w:w="964" w:type="dxa"/>
            <w:tcBorders>
              <w:top w:val="nil"/>
              <w:left w:val="nil"/>
              <w:bottom w:val="single" w:sz="2" w:space="0" w:color="auto"/>
              <w:right w:val="nil"/>
            </w:tcBorders>
            <w:shd w:val="clear" w:color="auto" w:fill="FFFFFF"/>
            <w:vAlign w:val="bottom"/>
          </w:tcPr>
          <w:p w14:paraId="4581B0D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81,998</w:t>
            </w:r>
          </w:p>
        </w:tc>
      </w:tr>
      <w:tr w:rsidR="002E375F" w14:paraId="51F6FA18" w14:textId="77777777" w:rsidTr="001C442D">
        <w:tc>
          <w:tcPr>
            <w:tcW w:w="7124" w:type="dxa"/>
            <w:tcBorders>
              <w:top w:val="nil"/>
              <w:left w:val="nil"/>
              <w:bottom w:val="nil"/>
              <w:right w:val="nil"/>
            </w:tcBorders>
            <w:shd w:val="clear" w:color="auto" w:fill="FFFFFF"/>
            <w:vAlign w:val="bottom"/>
          </w:tcPr>
          <w:p w14:paraId="7A47A75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29EB4F8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82,986</w:t>
            </w:r>
          </w:p>
        </w:tc>
        <w:tc>
          <w:tcPr>
            <w:tcW w:w="964" w:type="dxa"/>
            <w:tcBorders>
              <w:top w:val="nil"/>
              <w:left w:val="nil"/>
              <w:bottom w:val="single" w:sz="2" w:space="0" w:color="auto"/>
              <w:right w:val="nil"/>
            </w:tcBorders>
            <w:shd w:val="clear" w:color="auto" w:fill="FFFFFF"/>
            <w:vAlign w:val="bottom"/>
          </w:tcPr>
          <w:p w14:paraId="4355E9C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81,998</w:t>
            </w:r>
          </w:p>
        </w:tc>
      </w:tr>
      <w:tr w:rsidR="002E375F" w14:paraId="6D1A528A" w14:textId="77777777" w:rsidTr="001C442D">
        <w:tc>
          <w:tcPr>
            <w:tcW w:w="7124" w:type="dxa"/>
            <w:tcBorders>
              <w:top w:val="nil"/>
              <w:left w:val="nil"/>
              <w:bottom w:val="nil"/>
              <w:right w:val="nil"/>
            </w:tcBorders>
            <w:shd w:val="clear" w:color="auto" w:fill="FFFFFF"/>
          </w:tcPr>
          <w:p w14:paraId="0AE5536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Buildings</w:t>
            </w:r>
          </w:p>
        </w:tc>
        <w:tc>
          <w:tcPr>
            <w:tcW w:w="964" w:type="dxa"/>
            <w:tcBorders>
              <w:top w:val="nil"/>
              <w:left w:val="nil"/>
              <w:bottom w:val="nil"/>
              <w:right w:val="nil"/>
            </w:tcBorders>
            <w:shd w:val="clear" w:color="auto" w:fill="FFFFFF"/>
            <w:vAlign w:val="bottom"/>
          </w:tcPr>
          <w:p w14:paraId="1ABD1A0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39BDA8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29CD16CE" w14:textId="77777777" w:rsidTr="001C442D">
        <w:tc>
          <w:tcPr>
            <w:tcW w:w="7124" w:type="dxa"/>
            <w:tcBorders>
              <w:top w:val="nil"/>
              <w:left w:val="nil"/>
              <w:bottom w:val="nil"/>
              <w:right w:val="nil"/>
            </w:tcBorders>
            <w:shd w:val="clear" w:color="auto" w:fill="FFFFFF"/>
            <w:vAlign w:val="bottom"/>
          </w:tcPr>
          <w:p w14:paraId="25DD638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At fair value</w:t>
            </w:r>
          </w:p>
        </w:tc>
        <w:tc>
          <w:tcPr>
            <w:tcW w:w="964" w:type="dxa"/>
            <w:tcBorders>
              <w:top w:val="nil"/>
              <w:left w:val="nil"/>
              <w:bottom w:val="nil"/>
              <w:right w:val="nil"/>
            </w:tcBorders>
            <w:shd w:val="clear" w:color="auto" w:fill="FFFFFF"/>
            <w:vAlign w:val="bottom"/>
          </w:tcPr>
          <w:p w14:paraId="393F30F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242,084</w:t>
            </w:r>
          </w:p>
        </w:tc>
        <w:tc>
          <w:tcPr>
            <w:tcW w:w="964" w:type="dxa"/>
            <w:tcBorders>
              <w:top w:val="nil"/>
              <w:left w:val="nil"/>
              <w:bottom w:val="nil"/>
              <w:right w:val="nil"/>
            </w:tcBorders>
            <w:shd w:val="clear" w:color="auto" w:fill="FFFFFF"/>
            <w:vAlign w:val="bottom"/>
          </w:tcPr>
          <w:p w14:paraId="484568A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224,047</w:t>
            </w:r>
          </w:p>
        </w:tc>
      </w:tr>
      <w:tr w:rsidR="002E375F" w14:paraId="364C8DFE" w14:textId="77777777" w:rsidTr="001C442D">
        <w:tc>
          <w:tcPr>
            <w:tcW w:w="7124" w:type="dxa"/>
            <w:tcBorders>
              <w:top w:val="nil"/>
              <w:left w:val="nil"/>
              <w:bottom w:val="nil"/>
              <w:right w:val="nil"/>
            </w:tcBorders>
            <w:shd w:val="clear" w:color="auto" w:fill="FFFFFF"/>
            <w:vAlign w:val="bottom"/>
          </w:tcPr>
          <w:p w14:paraId="3BF0968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Less accumulated depreciation</w:t>
            </w:r>
          </w:p>
        </w:tc>
        <w:tc>
          <w:tcPr>
            <w:tcW w:w="964" w:type="dxa"/>
            <w:tcBorders>
              <w:top w:val="nil"/>
              <w:left w:val="nil"/>
              <w:bottom w:val="single" w:sz="2" w:space="0" w:color="auto"/>
              <w:right w:val="nil"/>
            </w:tcBorders>
            <w:shd w:val="clear" w:color="auto" w:fill="FFFFFF"/>
            <w:vAlign w:val="bottom"/>
          </w:tcPr>
          <w:p w14:paraId="17CBB40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(52,339)</w:t>
            </w:r>
          </w:p>
        </w:tc>
        <w:tc>
          <w:tcPr>
            <w:tcW w:w="964" w:type="dxa"/>
            <w:tcBorders>
              <w:top w:val="nil"/>
              <w:left w:val="nil"/>
              <w:bottom w:val="single" w:sz="2" w:space="0" w:color="auto"/>
              <w:right w:val="nil"/>
            </w:tcBorders>
            <w:shd w:val="clear" w:color="auto" w:fill="FFFFFF"/>
            <w:vAlign w:val="bottom"/>
          </w:tcPr>
          <w:p w14:paraId="7CC5409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(43,903)</w:t>
            </w:r>
          </w:p>
        </w:tc>
      </w:tr>
      <w:tr w:rsidR="002E375F" w14:paraId="529614CA" w14:textId="77777777" w:rsidTr="001C442D">
        <w:tc>
          <w:tcPr>
            <w:tcW w:w="7124" w:type="dxa"/>
            <w:tcBorders>
              <w:top w:val="nil"/>
              <w:left w:val="nil"/>
              <w:bottom w:val="nil"/>
              <w:right w:val="nil"/>
            </w:tcBorders>
            <w:shd w:val="clear" w:color="auto" w:fill="FFFFFF"/>
            <w:vAlign w:val="bottom"/>
          </w:tcPr>
          <w:p w14:paraId="31F023B7"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6496E02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189,745</w:t>
            </w:r>
          </w:p>
        </w:tc>
        <w:tc>
          <w:tcPr>
            <w:tcW w:w="964" w:type="dxa"/>
            <w:tcBorders>
              <w:top w:val="nil"/>
              <w:left w:val="nil"/>
              <w:bottom w:val="single" w:sz="2" w:space="0" w:color="auto"/>
              <w:right w:val="nil"/>
            </w:tcBorders>
            <w:shd w:val="clear" w:color="auto" w:fill="FFFFFF"/>
            <w:vAlign w:val="bottom"/>
          </w:tcPr>
          <w:p w14:paraId="0B22D6C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180,144</w:t>
            </w:r>
          </w:p>
        </w:tc>
      </w:tr>
      <w:tr w:rsidR="002E375F" w14:paraId="1976693F" w14:textId="77777777" w:rsidTr="001C442D">
        <w:tc>
          <w:tcPr>
            <w:tcW w:w="7124" w:type="dxa"/>
            <w:tcBorders>
              <w:top w:val="nil"/>
              <w:left w:val="nil"/>
              <w:bottom w:val="nil"/>
              <w:right w:val="nil"/>
            </w:tcBorders>
            <w:shd w:val="clear" w:color="auto" w:fill="FFFFFF"/>
          </w:tcPr>
          <w:p w14:paraId="62A85F5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Plant and equipment</w:t>
            </w:r>
          </w:p>
        </w:tc>
        <w:tc>
          <w:tcPr>
            <w:tcW w:w="964" w:type="dxa"/>
            <w:tcBorders>
              <w:top w:val="nil"/>
              <w:left w:val="nil"/>
              <w:bottom w:val="nil"/>
              <w:right w:val="nil"/>
            </w:tcBorders>
            <w:shd w:val="clear" w:color="auto" w:fill="FFFFFF"/>
            <w:vAlign w:val="bottom"/>
          </w:tcPr>
          <w:p w14:paraId="705DDA1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B85075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6D537F64" w14:textId="77777777" w:rsidTr="001C442D">
        <w:tc>
          <w:tcPr>
            <w:tcW w:w="7124" w:type="dxa"/>
            <w:tcBorders>
              <w:top w:val="nil"/>
              <w:left w:val="nil"/>
              <w:bottom w:val="nil"/>
              <w:right w:val="nil"/>
            </w:tcBorders>
            <w:shd w:val="clear" w:color="auto" w:fill="FFFFFF"/>
            <w:vAlign w:val="bottom"/>
          </w:tcPr>
          <w:p w14:paraId="6EB05FE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At cost</w:t>
            </w:r>
          </w:p>
        </w:tc>
        <w:tc>
          <w:tcPr>
            <w:tcW w:w="964" w:type="dxa"/>
            <w:tcBorders>
              <w:top w:val="nil"/>
              <w:left w:val="nil"/>
              <w:bottom w:val="nil"/>
              <w:right w:val="nil"/>
            </w:tcBorders>
            <w:shd w:val="clear" w:color="auto" w:fill="FFFFFF"/>
            <w:vAlign w:val="bottom"/>
          </w:tcPr>
          <w:p w14:paraId="7F5C7F8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7,204</w:t>
            </w:r>
          </w:p>
        </w:tc>
        <w:tc>
          <w:tcPr>
            <w:tcW w:w="964" w:type="dxa"/>
            <w:tcBorders>
              <w:top w:val="nil"/>
              <w:left w:val="nil"/>
              <w:bottom w:val="nil"/>
              <w:right w:val="nil"/>
            </w:tcBorders>
            <w:shd w:val="clear" w:color="auto" w:fill="FFFFFF"/>
            <w:vAlign w:val="bottom"/>
          </w:tcPr>
          <w:p w14:paraId="1A95510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19,788</w:t>
            </w:r>
          </w:p>
        </w:tc>
      </w:tr>
      <w:tr w:rsidR="002E375F" w14:paraId="558C24F2" w14:textId="77777777" w:rsidTr="001C442D">
        <w:tc>
          <w:tcPr>
            <w:tcW w:w="7124" w:type="dxa"/>
            <w:tcBorders>
              <w:top w:val="nil"/>
              <w:left w:val="nil"/>
              <w:bottom w:val="nil"/>
              <w:right w:val="nil"/>
            </w:tcBorders>
            <w:shd w:val="clear" w:color="auto" w:fill="FFFFFF"/>
            <w:vAlign w:val="bottom"/>
          </w:tcPr>
          <w:p w14:paraId="374B227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Less accumulated depreciation</w:t>
            </w:r>
          </w:p>
        </w:tc>
        <w:tc>
          <w:tcPr>
            <w:tcW w:w="964" w:type="dxa"/>
            <w:tcBorders>
              <w:top w:val="nil"/>
              <w:left w:val="nil"/>
              <w:bottom w:val="single" w:sz="2" w:space="0" w:color="auto"/>
              <w:right w:val="nil"/>
            </w:tcBorders>
            <w:shd w:val="clear" w:color="auto" w:fill="FFFFFF"/>
            <w:vAlign w:val="bottom"/>
          </w:tcPr>
          <w:p w14:paraId="5875912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(5,187)</w:t>
            </w:r>
          </w:p>
        </w:tc>
        <w:tc>
          <w:tcPr>
            <w:tcW w:w="964" w:type="dxa"/>
            <w:tcBorders>
              <w:top w:val="nil"/>
              <w:left w:val="nil"/>
              <w:bottom w:val="single" w:sz="2" w:space="0" w:color="auto"/>
              <w:right w:val="nil"/>
            </w:tcBorders>
            <w:shd w:val="clear" w:color="auto" w:fill="FFFFFF"/>
            <w:vAlign w:val="bottom"/>
          </w:tcPr>
          <w:p w14:paraId="314F982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(17,131)</w:t>
            </w:r>
          </w:p>
        </w:tc>
      </w:tr>
      <w:tr w:rsidR="002E375F" w14:paraId="036473BF" w14:textId="77777777" w:rsidTr="001C442D">
        <w:tc>
          <w:tcPr>
            <w:tcW w:w="7124" w:type="dxa"/>
            <w:tcBorders>
              <w:top w:val="nil"/>
              <w:left w:val="nil"/>
              <w:bottom w:val="nil"/>
              <w:right w:val="nil"/>
            </w:tcBorders>
            <w:shd w:val="clear" w:color="auto" w:fill="FFFFFF"/>
            <w:vAlign w:val="bottom"/>
          </w:tcPr>
          <w:p w14:paraId="7C72348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4455E60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2,017</w:t>
            </w:r>
          </w:p>
        </w:tc>
        <w:tc>
          <w:tcPr>
            <w:tcW w:w="964" w:type="dxa"/>
            <w:tcBorders>
              <w:top w:val="nil"/>
              <w:left w:val="nil"/>
              <w:bottom w:val="single" w:sz="2" w:space="0" w:color="auto"/>
              <w:right w:val="nil"/>
            </w:tcBorders>
            <w:shd w:val="clear" w:color="auto" w:fill="FFFFFF"/>
            <w:vAlign w:val="bottom"/>
          </w:tcPr>
          <w:p w14:paraId="2E65687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2,657</w:t>
            </w:r>
          </w:p>
        </w:tc>
      </w:tr>
      <w:tr w:rsidR="002E375F" w14:paraId="37D3124D" w14:textId="77777777" w:rsidTr="001C442D">
        <w:tc>
          <w:tcPr>
            <w:tcW w:w="7124" w:type="dxa"/>
            <w:tcBorders>
              <w:top w:val="nil"/>
              <w:left w:val="nil"/>
              <w:bottom w:val="nil"/>
              <w:right w:val="nil"/>
            </w:tcBorders>
            <w:shd w:val="clear" w:color="auto" w:fill="FFFFFF"/>
          </w:tcPr>
          <w:p w14:paraId="3FB91EC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Capital works in progress</w:t>
            </w:r>
          </w:p>
        </w:tc>
        <w:tc>
          <w:tcPr>
            <w:tcW w:w="964" w:type="dxa"/>
            <w:tcBorders>
              <w:top w:val="nil"/>
              <w:left w:val="nil"/>
              <w:bottom w:val="nil"/>
              <w:right w:val="nil"/>
            </w:tcBorders>
            <w:shd w:val="clear" w:color="auto" w:fill="FFFFFF"/>
            <w:vAlign w:val="bottom"/>
          </w:tcPr>
          <w:p w14:paraId="3BDFBC6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14C512E"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60A51475" w14:textId="77777777" w:rsidTr="001C442D">
        <w:tc>
          <w:tcPr>
            <w:tcW w:w="7124" w:type="dxa"/>
            <w:tcBorders>
              <w:top w:val="nil"/>
              <w:left w:val="nil"/>
              <w:bottom w:val="nil"/>
              <w:right w:val="nil"/>
            </w:tcBorders>
            <w:shd w:val="clear" w:color="auto" w:fill="FFFFFF"/>
            <w:vAlign w:val="bottom"/>
          </w:tcPr>
          <w:p w14:paraId="3771DD7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At cost</w:t>
            </w:r>
          </w:p>
        </w:tc>
        <w:tc>
          <w:tcPr>
            <w:tcW w:w="964" w:type="dxa"/>
            <w:tcBorders>
              <w:top w:val="nil"/>
              <w:left w:val="nil"/>
              <w:bottom w:val="single" w:sz="2" w:space="0" w:color="auto"/>
              <w:right w:val="nil"/>
            </w:tcBorders>
            <w:shd w:val="clear" w:color="auto" w:fill="FFFFFF"/>
            <w:vAlign w:val="bottom"/>
          </w:tcPr>
          <w:p w14:paraId="264A726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9,177</w:t>
            </w:r>
          </w:p>
        </w:tc>
        <w:tc>
          <w:tcPr>
            <w:tcW w:w="964" w:type="dxa"/>
            <w:tcBorders>
              <w:top w:val="nil"/>
              <w:left w:val="nil"/>
              <w:bottom w:val="single" w:sz="2" w:space="0" w:color="auto"/>
              <w:right w:val="nil"/>
            </w:tcBorders>
            <w:shd w:val="clear" w:color="auto" w:fill="FFFFFF"/>
            <w:vAlign w:val="bottom"/>
          </w:tcPr>
          <w:p w14:paraId="1114A90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11,646</w:t>
            </w:r>
          </w:p>
        </w:tc>
      </w:tr>
      <w:tr w:rsidR="002E375F" w14:paraId="5B529E3B" w14:textId="77777777" w:rsidTr="001C442D">
        <w:tc>
          <w:tcPr>
            <w:tcW w:w="7124" w:type="dxa"/>
            <w:tcBorders>
              <w:top w:val="nil"/>
              <w:left w:val="nil"/>
              <w:bottom w:val="nil"/>
              <w:right w:val="nil"/>
            </w:tcBorders>
            <w:shd w:val="clear" w:color="auto" w:fill="FFFFFF"/>
            <w:vAlign w:val="bottom"/>
          </w:tcPr>
          <w:p w14:paraId="380EBF12"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28C4E4F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9,177</w:t>
            </w:r>
          </w:p>
        </w:tc>
        <w:tc>
          <w:tcPr>
            <w:tcW w:w="964" w:type="dxa"/>
            <w:tcBorders>
              <w:top w:val="nil"/>
              <w:left w:val="nil"/>
              <w:bottom w:val="single" w:sz="2" w:space="0" w:color="auto"/>
              <w:right w:val="nil"/>
            </w:tcBorders>
            <w:shd w:val="clear" w:color="auto" w:fill="FFFFFF"/>
            <w:vAlign w:val="bottom"/>
          </w:tcPr>
          <w:p w14:paraId="24909FE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11,646</w:t>
            </w:r>
          </w:p>
        </w:tc>
      </w:tr>
      <w:tr w:rsidR="002E375F" w14:paraId="7EADE33F" w14:textId="77777777" w:rsidTr="001C442D">
        <w:tc>
          <w:tcPr>
            <w:tcW w:w="7124" w:type="dxa"/>
            <w:tcBorders>
              <w:top w:val="nil"/>
              <w:left w:val="nil"/>
              <w:bottom w:val="nil"/>
              <w:right w:val="nil"/>
            </w:tcBorders>
            <w:shd w:val="clear" w:color="auto" w:fill="FFFFFF"/>
            <w:vAlign w:val="bottom"/>
          </w:tcPr>
          <w:p w14:paraId="0B8D245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40B6D39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283,925</w:t>
            </w:r>
          </w:p>
        </w:tc>
        <w:tc>
          <w:tcPr>
            <w:tcW w:w="964" w:type="dxa"/>
            <w:tcBorders>
              <w:top w:val="nil"/>
              <w:left w:val="nil"/>
              <w:bottom w:val="single" w:sz="2" w:space="0" w:color="auto"/>
              <w:right w:val="nil"/>
            </w:tcBorders>
            <w:shd w:val="clear" w:color="auto" w:fill="FFFFFF"/>
            <w:vAlign w:val="bottom"/>
          </w:tcPr>
          <w:p w14:paraId="40E079C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276,445</w:t>
            </w:r>
          </w:p>
        </w:tc>
      </w:tr>
    </w:tbl>
    <w:p w14:paraId="6FF3DB0D"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7927629A"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76FEA8E6"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22A2829B"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4F79424F"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79F1ADE8" w14:textId="77777777" w:rsidR="001D18C2" w:rsidRDefault="001D18C2" w:rsidP="001D18C2">
      <w:pPr>
        <w:pStyle w:val="Heading3"/>
      </w:pPr>
      <w:r>
        <w:t>C4 Property, Plant and Equipment (continued)</w:t>
      </w:r>
    </w:p>
    <w:p w14:paraId="47A99BFC" w14:textId="77777777" w:rsidR="001D18C2" w:rsidRDefault="001D18C2" w:rsidP="001D18C2">
      <w:pPr>
        <w:pStyle w:val="Heading3"/>
        <w:rPr>
          <w:rFonts w:ascii="Times New Roman" w:hAnsi="Times New Roman" w:cs="Times New Roman"/>
        </w:rPr>
      </w:pPr>
      <w:r>
        <w:t>C4-1 Closing Balances and Reconciliations of Carrying Amount (continued)</w:t>
      </w:r>
    </w:p>
    <w:tbl>
      <w:tblPr>
        <w:tblW w:w="9052" w:type="dxa"/>
        <w:tblLayout w:type="fixed"/>
        <w:tblCellMar>
          <w:left w:w="0" w:type="dxa"/>
          <w:right w:w="0" w:type="dxa"/>
        </w:tblCellMar>
        <w:tblLook w:val="0000" w:firstRow="0" w:lastRow="0" w:firstColumn="0" w:lastColumn="0" w:noHBand="0" w:noVBand="0"/>
      </w:tblPr>
      <w:tblGrid>
        <w:gridCol w:w="4212"/>
        <w:gridCol w:w="19"/>
        <w:gridCol w:w="945"/>
        <w:gridCol w:w="19"/>
        <w:gridCol w:w="945"/>
        <w:gridCol w:w="19"/>
        <w:gridCol w:w="945"/>
        <w:gridCol w:w="19"/>
        <w:gridCol w:w="945"/>
        <w:gridCol w:w="19"/>
        <w:gridCol w:w="945"/>
        <w:gridCol w:w="20"/>
      </w:tblGrid>
      <w:tr w:rsidR="002E375F" w:rsidRPr="00E46D04" w14:paraId="4A517A24" w14:textId="77777777" w:rsidTr="00B55A2A">
        <w:tc>
          <w:tcPr>
            <w:tcW w:w="4231" w:type="dxa"/>
            <w:gridSpan w:val="2"/>
            <w:tcBorders>
              <w:top w:val="nil"/>
              <w:left w:val="nil"/>
              <w:bottom w:val="nil"/>
              <w:right w:val="nil"/>
            </w:tcBorders>
            <w:shd w:val="clear" w:color="auto" w:fill="FFFFFF"/>
            <w:vAlign w:val="bottom"/>
          </w:tcPr>
          <w:p w14:paraId="50D1F261" w14:textId="77777777" w:rsidR="002E375F" w:rsidRPr="00862FE1" w:rsidRDefault="00EB2569" w:rsidP="001C442D">
            <w:pPr>
              <w:pStyle w:val="Heading2"/>
              <w:rPr>
                <w:rFonts w:ascii="Arial" w:hAnsi="Arial" w:cs="Arial"/>
                <w:b/>
                <w:sz w:val="18"/>
                <w:szCs w:val="18"/>
              </w:rPr>
            </w:pPr>
            <w:r w:rsidRPr="00862FE1">
              <w:rPr>
                <w:rFonts w:ascii="Arial" w:hAnsi="Arial" w:cs="Arial"/>
                <w:b/>
                <w:sz w:val="18"/>
                <w:szCs w:val="18"/>
              </w:rPr>
              <w:t>Represented by Movements in Carrying Amount:</w:t>
            </w:r>
          </w:p>
        </w:tc>
        <w:tc>
          <w:tcPr>
            <w:tcW w:w="964" w:type="dxa"/>
            <w:gridSpan w:val="2"/>
            <w:tcBorders>
              <w:top w:val="nil"/>
              <w:left w:val="nil"/>
              <w:bottom w:val="nil"/>
              <w:right w:val="nil"/>
            </w:tcBorders>
            <w:shd w:val="clear" w:color="auto" w:fill="FFFFFF"/>
            <w:vAlign w:val="bottom"/>
          </w:tcPr>
          <w:p w14:paraId="214C594B" w14:textId="77777777" w:rsidR="002E375F" w:rsidRPr="00862FE1" w:rsidRDefault="00EB2569" w:rsidP="00862FE1">
            <w:pPr>
              <w:pStyle w:val="Heading2"/>
              <w:jc w:val="right"/>
              <w:rPr>
                <w:rFonts w:ascii="Arial" w:hAnsi="Arial" w:cs="Arial"/>
                <w:b/>
                <w:sz w:val="18"/>
                <w:szCs w:val="18"/>
              </w:rPr>
            </w:pPr>
            <w:r w:rsidRPr="00862FE1">
              <w:rPr>
                <w:rFonts w:ascii="Arial" w:hAnsi="Arial" w:cs="Arial"/>
                <w:b/>
                <w:sz w:val="18"/>
                <w:szCs w:val="18"/>
              </w:rPr>
              <w:t>Land</w:t>
            </w:r>
            <w:r w:rsidRPr="00862FE1">
              <w:rPr>
                <w:rFonts w:ascii="Arial" w:hAnsi="Arial" w:cs="Arial"/>
                <w:b/>
                <w:sz w:val="18"/>
                <w:szCs w:val="18"/>
              </w:rPr>
              <w:br/>
              <w:t>$'000</w:t>
            </w:r>
          </w:p>
        </w:tc>
        <w:tc>
          <w:tcPr>
            <w:tcW w:w="964" w:type="dxa"/>
            <w:gridSpan w:val="2"/>
            <w:tcBorders>
              <w:top w:val="nil"/>
              <w:left w:val="nil"/>
              <w:bottom w:val="nil"/>
              <w:right w:val="nil"/>
            </w:tcBorders>
            <w:shd w:val="clear" w:color="auto" w:fill="FFFFFF"/>
            <w:vAlign w:val="bottom"/>
          </w:tcPr>
          <w:p w14:paraId="090A54DC" w14:textId="77777777" w:rsidR="002E375F" w:rsidRPr="00862FE1" w:rsidRDefault="00EB2569" w:rsidP="00862FE1">
            <w:pPr>
              <w:pStyle w:val="Heading2"/>
              <w:jc w:val="right"/>
              <w:rPr>
                <w:rFonts w:ascii="Arial" w:hAnsi="Arial" w:cs="Arial"/>
                <w:b/>
                <w:sz w:val="18"/>
                <w:szCs w:val="18"/>
              </w:rPr>
            </w:pPr>
            <w:r w:rsidRPr="00862FE1">
              <w:rPr>
                <w:rFonts w:ascii="Arial" w:hAnsi="Arial" w:cs="Arial"/>
                <w:b/>
                <w:sz w:val="18"/>
                <w:szCs w:val="18"/>
              </w:rPr>
              <w:t>Buildings</w:t>
            </w:r>
            <w:r w:rsidRPr="00862FE1">
              <w:rPr>
                <w:rFonts w:ascii="Arial" w:hAnsi="Arial" w:cs="Arial"/>
                <w:b/>
                <w:sz w:val="18"/>
                <w:szCs w:val="18"/>
              </w:rPr>
              <w:br/>
              <w:t>$'000</w:t>
            </w:r>
          </w:p>
        </w:tc>
        <w:tc>
          <w:tcPr>
            <w:tcW w:w="964" w:type="dxa"/>
            <w:gridSpan w:val="2"/>
            <w:tcBorders>
              <w:top w:val="nil"/>
              <w:left w:val="nil"/>
              <w:bottom w:val="nil"/>
              <w:right w:val="nil"/>
            </w:tcBorders>
            <w:shd w:val="clear" w:color="auto" w:fill="FFFFFF"/>
            <w:vAlign w:val="bottom"/>
          </w:tcPr>
          <w:p w14:paraId="6C6641C1" w14:textId="77777777" w:rsidR="002E375F" w:rsidRPr="00862FE1" w:rsidRDefault="00EB2569" w:rsidP="00862FE1">
            <w:pPr>
              <w:pStyle w:val="Heading2"/>
              <w:jc w:val="right"/>
              <w:rPr>
                <w:rFonts w:ascii="Arial" w:hAnsi="Arial" w:cs="Arial"/>
                <w:b/>
                <w:sz w:val="18"/>
                <w:szCs w:val="18"/>
              </w:rPr>
            </w:pPr>
            <w:r w:rsidRPr="00862FE1">
              <w:rPr>
                <w:rFonts w:ascii="Arial" w:hAnsi="Arial" w:cs="Arial"/>
                <w:b/>
                <w:sz w:val="18"/>
                <w:szCs w:val="18"/>
              </w:rPr>
              <w:t>Plant and equipment</w:t>
            </w:r>
            <w:r w:rsidRPr="00862FE1">
              <w:rPr>
                <w:rFonts w:ascii="Arial" w:hAnsi="Arial" w:cs="Arial"/>
                <w:b/>
                <w:sz w:val="18"/>
                <w:szCs w:val="18"/>
              </w:rPr>
              <w:br/>
              <w:t>$'000</w:t>
            </w:r>
          </w:p>
        </w:tc>
        <w:tc>
          <w:tcPr>
            <w:tcW w:w="964" w:type="dxa"/>
            <w:gridSpan w:val="2"/>
            <w:tcBorders>
              <w:top w:val="nil"/>
              <w:left w:val="nil"/>
              <w:bottom w:val="nil"/>
              <w:right w:val="nil"/>
            </w:tcBorders>
            <w:shd w:val="clear" w:color="auto" w:fill="FFFFFF"/>
            <w:vAlign w:val="bottom"/>
          </w:tcPr>
          <w:p w14:paraId="29F56E0B" w14:textId="77777777" w:rsidR="002E375F" w:rsidRPr="00862FE1" w:rsidRDefault="00EB2569" w:rsidP="00862FE1">
            <w:pPr>
              <w:pStyle w:val="Heading2"/>
              <w:jc w:val="right"/>
              <w:rPr>
                <w:rFonts w:ascii="Arial" w:hAnsi="Arial" w:cs="Arial"/>
                <w:b/>
                <w:sz w:val="18"/>
                <w:szCs w:val="18"/>
              </w:rPr>
            </w:pPr>
            <w:r w:rsidRPr="00862FE1">
              <w:rPr>
                <w:rFonts w:ascii="Arial" w:hAnsi="Arial" w:cs="Arial"/>
                <w:b/>
                <w:sz w:val="18"/>
                <w:szCs w:val="18"/>
              </w:rPr>
              <w:t>Capital works in progress</w:t>
            </w:r>
            <w:r w:rsidRPr="00862FE1">
              <w:rPr>
                <w:rFonts w:ascii="Arial" w:hAnsi="Arial" w:cs="Arial"/>
                <w:b/>
                <w:sz w:val="18"/>
                <w:szCs w:val="18"/>
              </w:rPr>
              <w:br/>
              <w:t>$'000</w:t>
            </w:r>
          </w:p>
        </w:tc>
        <w:tc>
          <w:tcPr>
            <w:tcW w:w="965" w:type="dxa"/>
            <w:gridSpan w:val="2"/>
            <w:tcBorders>
              <w:top w:val="nil"/>
              <w:left w:val="nil"/>
              <w:bottom w:val="nil"/>
              <w:right w:val="nil"/>
            </w:tcBorders>
            <w:shd w:val="clear" w:color="auto" w:fill="FFFFFF"/>
            <w:vAlign w:val="bottom"/>
          </w:tcPr>
          <w:p w14:paraId="478B693F" w14:textId="77777777" w:rsidR="002E375F" w:rsidRPr="00862FE1" w:rsidRDefault="00EB2569" w:rsidP="00862FE1">
            <w:pPr>
              <w:pStyle w:val="Heading2"/>
              <w:jc w:val="right"/>
              <w:rPr>
                <w:rFonts w:ascii="Arial" w:hAnsi="Arial" w:cs="Arial"/>
                <w:b/>
                <w:sz w:val="18"/>
                <w:szCs w:val="18"/>
              </w:rPr>
            </w:pPr>
            <w:r w:rsidRPr="00862FE1">
              <w:rPr>
                <w:rFonts w:ascii="Arial" w:hAnsi="Arial" w:cs="Arial"/>
                <w:b/>
                <w:sz w:val="18"/>
                <w:szCs w:val="18"/>
              </w:rPr>
              <w:t>Total</w:t>
            </w:r>
            <w:r w:rsidRPr="00862FE1">
              <w:rPr>
                <w:rFonts w:ascii="Arial" w:hAnsi="Arial" w:cs="Arial"/>
                <w:b/>
                <w:sz w:val="18"/>
                <w:szCs w:val="18"/>
              </w:rPr>
              <w:br/>
              <w:t>$'000</w:t>
            </w:r>
          </w:p>
        </w:tc>
      </w:tr>
      <w:tr w:rsidR="002E375F" w14:paraId="000E1A5A" w14:textId="77777777" w:rsidTr="00B55A2A">
        <w:tc>
          <w:tcPr>
            <w:tcW w:w="4231" w:type="dxa"/>
            <w:gridSpan w:val="2"/>
            <w:tcBorders>
              <w:top w:val="nil"/>
              <w:left w:val="nil"/>
              <w:bottom w:val="nil"/>
              <w:right w:val="nil"/>
            </w:tcBorders>
            <w:shd w:val="clear" w:color="auto" w:fill="FFFFFF"/>
            <w:vAlign w:val="bottom"/>
          </w:tcPr>
          <w:p w14:paraId="32C7924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Carrying amount at 1 July 2018</w:t>
            </w:r>
          </w:p>
        </w:tc>
        <w:tc>
          <w:tcPr>
            <w:tcW w:w="964" w:type="dxa"/>
            <w:gridSpan w:val="2"/>
            <w:tcBorders>
              <w:top w:val="nil"/>
              <w:left w:val="nil"/>
              <w:bottom w:val="nil"/>
              <w:right w:val="nil"/>
            </w:tcBorders>
            <w:shd w:val="clear" w:color="auto" w:fill="FFFFFF"/>
            <w:vAlign w:val="bottom"/>
          </w:tcPr>
          <w:p w14:paraId="2D4316B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77,200</w:t>
            </w:r>
          </w:p>
        </w:tc>
        <w:tc>
          <w:tcPr>
            <w:tcW w:w="964" w:type="dxa"/>
            <w:gridSpan w:val="2"/>
            <w:tcBorders>
              <w:top w:val="nil"/>
              <w:left w:val="nil"/>
              <w:bottom w:val="nil"/>
              <w:right w:val="nil"/>
            </w:tcBorders>
            <w:shd w:val="clear" w:color="auto" w:fill="FFFFFF"/>
            <w:vAlign w:val="bottom"/>
          </w:tcPr>
          <w:p w14:paraId="01CB466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176,390</w:t>
            </w:r>
          </w:p>
        </w:tc>
        <w:tc>
          <w:tcPr>
            <w:tcW w:w="964" w:type="dxa"/>
            <w:gridSpan w:val="2"/>
            <w:tcBorders>
              <w:top w:val="nil"/>
              <w:left w:val="nil"/>
              <w:bottom w:val="nil"/>
              <w:right w:val="nil"/>
            </w:tcBorders>
            <w:shd w:val="clear" w:color="auto" w:fill="FFFFFF"/>
            <w:vAlign w:val="bottom"/>
          </w:tcPr>
          <w:p w14:paraId="6E594BD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3,369</w:t>
            </w:r>
          </w:p>
        </w:tc>
        <w:tc>
          <w:tcPr>
            <w:tcW w:w="964" w:type="dxa"/>
            <w:gridSpan w:val="2"/>
            <w:tcBorders>
              <w:top w:val="nil"/>
              <w:left w:val="nil"/>
              <w:bottom w:val="nil"/>
              <w:right w:val="nil"/>
            </w:tcBorders>
            <w:shd w:val="clear" w:color="auto" w:fill="FFFFFF"/>
            <w:vAlign w:val="bottom"/>
          </w:tcPr>
          <w:p w14:paraId="72BF503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4,660</w:t>
            </w:r>
          </w:p>
        </w:tc>
        <w:tc>
          <w:tcPr>
            <w:tcW w:w="965" w:type="dxa"/>
            <w:gridSpan w:val="2"/>
            <w:tcBorders>
              <w:top w:val="nil"/>
              <w:left w:val="nil"/>
              <w:bottom w:val="nil"/>
              <w:right w:val="nil"/>
            </w:tcBorders>
            <w:shd w:val="clear" w:color="auto" w:fill="FFFFFF"/>
            <w:vAlign w:val="bottom"/>
          </w:tcPr>
          <w:p w14:paraId="30747DE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261,619</w:t>
            </w:r>
          </w:p>
        </w:tc>
      </w:tr>
      <w:tr w:rsidR="002E375F" w14:paraId="31B8EC1A" w14:textId="77777777" w:rsidTr="00B55A2A">
        <w:tc>
          <w:tcPr>
            <w:tcW w:w="4231" w:type="dxa"/>
            <w:gridSpan w:val="2"/>
            <w:tcBorders>
              <w:top w:val="nil"/>
              <w:left w:val="nil"/>
              <w:bottom w:val="nil"/>
              <w:right w:val="nil"/>
            </w:tcBorders>
            <w:shd w:val="clear" w:color="auto" w:fill="FFFFFF"/>
            <w:vAlign w:val="bottom"/>
          </w:tcPr>
          <w:p w14:paraId="38159A9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Acquisitions (including upgrades)</w:t>
            </w:r>
          </w:p>
        </w:tc>
        <w:tc>
          <w:tcPr>
            <w:tcW w:w="964" w:type="dxa"/>
            <w:gridSpan w:val="2"/>
            <w:tcBorders>
              <w:top w:val="nil"/>
              <w:left w:val="nil"/>
              <w:bottom w:val="nil"/>
              <w:right w:val="nil"/>
            </w:tcBorders>
            <w:shd w:val="clear" w:color="auto" w:fill="FFFFFF"/>
            <w:vAlign w:val="bottom"/>
          </w:tcPr>
          <w:p w14:paraId="2FD8F0B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1,623</w:t>
            </w:r>
          </w:p>
        </w:tc>
        <w:tc>
          <w:tcPr>
            <w:tcW w:w="964" w:type="dxa"/>
            <w:gridSpan w:val="2"/>
            <w:tcBorders>
              <w:top w:val="nil"/>
              <w:left w:val="nil"/>
              <w:bottom w:val="nil"/>
              <w:right w:val="nil"/>
            </w:tcBorders>
            <w:shd w:val="clear" w:color="auto" w:fill="FFFFFF"/>
            <w:vAlign w:val="bottom"/>
          </w:tcPr>
          <w:p w14:paraId="3097A41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447F4A7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6257B87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16,524</w:t>
            </w:r>
          </w:p>
        </w:tc>
        <w:tc>
          <w:tcPr>
            <w:tcW w:w="965" w:type="dxa"/>
            <w:gridSpan w:val="2"/>
            <w:tcBorders>
              <w:top w:val="nil"/>
              <w:left w:val="nil"/>
              <w:bottom w:val="nil"/>
              <w:right w:val="nil"/>
            </w:tcBorders>
            <w:shd w:val="clear" w:color="auto" w:fill="FFFFFF"/>
            <w:vAlign w:val="bottom"/>
          </w:tcPr>
          <w:p w14:paraId="5A4C071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18,147</w:t>
            </w:r>
          </w:p>
        </w:tc>
      </w:tr>
      <w:tr w:rsidR="002E375F" w14:paraId="619A97EC" w14:textId="77777777" w:rsidTr="00B55A2A">
        <w:tc>
          <w:tcPr>
            <w:tcW w:w="4231" w:type="dxa"/>
            <w:gridSpan w:val="2"/>
            <w:tcBorders>
              <w:top w:val="nil"/>
              <w:left w:val="nil"/>
              <w:bottom w:val="nil"/>
              <w:right w:val="nil"/>
            </w:tcBorders>
            <w:shd w:val="clear" w:color="auto" w:fill="FFFFFF"/>
            <w:vAlign w:val="bottom"/>
          </w:tcPr>
          <w:p w14:paraId="1E4666C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Disposals</w:t>
            </w:r>
          </w:p>
        </w:tc>
        <w:tc>
          <w:tcPr>
            <w:tcW w:w="964" w:type="dxa"/>
            <w:gridSpan w:val="2"/>
            <w:tcBorders>
              <w:top w:val="nil"/>
              <w:left w:val="nil"/>
              <w:bottom w:val="nil"/>
              <w:right w:val="nil"/>
            </w:tcBorders>
            <w:shd w:val="clear" w:color="auto" w:fill="FFFFFF"/>
            <w:vAlign w:val="bottom"/>
          </w:tcPr>
          <w:p w14:paraId="0DE0D4A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0549E82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7F5BD47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(41)</w:t>
            </w:r>
          </w:p>
        </w:tc>
        <w:tc>
          <w:tcPr>
            <w:tcW w:w="964" w:type="dxa"/>
            <w:gridSpan w:val="2"/>
            <w:tcBorders>
              <w:top w:val="nil"/>
              <w:left w:val="nil"/>
              <w:bottom w:val="nil"/>
              <w:right w:val="nil"/>
            </w:tcBorders>
            <w:shd w:val="clear" w:color="auto" w:fill="FFFFFF"/>
            <w:vAlign w:val="bottom"/>
          </w:tcPr>
          <w:p w14:paraId="00F2D13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5" w:type="dxa"/>
            <w:gridSpan w:val="2"/>
            <w:tcBorders>
              <w:top w:val="nil"/>
              <w:left w:val="nil"/>
              <w:bottom w:val="nil"/>
              <w:right w:val="nil"/>
            </w:tcBorders>
            <w:shd w:val="clear" w:color="auto" w:fill="FFFFFF"/>
            <w:vAlign w:val="bottom"/>
          </w:tcPr>
          <w:p w14:paraId="7E50174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(41)</w:t>
            </w:r>
          </w:p>
        </w:tc>
      </w:tr>
      <w:tr w:rsidR="002E375F" w14:paraId="26BC376A" w14:textId="77777777" w:rsidTr="00B55A2A">
        <w:tc>
          <w:tcPr>
            <w:tcW w:w="4231" w:type="dxa"/>
            <w:gridSpan w:val="2"/>
            <w:tcBorders>
              <w:top w:val="nil"/>
              <w:left w:val="nil"/>
              <w:bottom w:val="nil"/>
              <w:right w:val="nil"/>
            </w:tcBorders>
            <w:shd w:val="clear" w:color="auto" w:fill="FFFFFF"/>
            <w:vAlign w:val="bottom"/>
          </w:tcPr>
          <w:p w14:paraId="02C331E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Transfers in from other Queensland Government entities</w:t>
            </w:r>
          </w:p>
        </w:tc>
        <w:tc>
          <w:tcPr>
            <w:tcW w:w="964" w:type="dxa"/>
            <w:gridSpan w:val="2"/>
            <w:tcBorders>
              <w:top w:val="nil"/>
              <w:left w:val="nil"/>
              <w:bottom w:val="nil"/>
              <w:right w:val="nil"/>
            </w:tcBorders>
            <w:shd w:val="clear" w:color="auto" w:fill="FFFFFF"/>
            <w:vAlign w:val="bottom"/>
          </w:tcPr>
          <w:p w14:paraId="155DED0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1,130</w:t>
            </w:r>
          </w:p>
        </w:tc>
        <w:tc>
          <w:tcPr>
            <w:tcW w:w="964" w:type="dxa"/>
            <w:gridSpan w:val="2"/>
            <w:tcBorders>
              <w:top w:val="nil"/>
              <w:left w:val="nil"/>
              <w:bottom w:val="nil"/>
              <w:right w:val="nil"/>
            </w:tcBorders>
            <w:shd w:val="clear" w:color="auto" w:fill="FFFFFF"/>
            <w:vAlign w:val="bottom"/>
          </w:tcPr>
          <w:p w14:paraId="4F5A8F9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600</w:t>
            </w:r>
          </w:p>
        </w:tc>
        <w:tc>
          <w:tcPr>
            <w:tcW w:w="964" w:type="dxa"/>
            <w:gridSpan w:val="2"/>
            <w:tcBorders>
              <w:top w:val="nil"/>
              <w:left w:val="nil"/>
              <w:bottom w:val="nil"/>
              <w:right w:val="nil"/>
            </w:tcBorders>
            <w:shd w:val="clear" w:color="auto" w:fill="FFFFFF"/>
            <w:vAlign w:val="bottom"/>
          </w:tcPr>
          <w:p w14:paraId="60437C3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1801BE4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5" w:type="dxa"/>
            <w:gridSpan w:val="2"/>
            <w:tcBorders>
              <w:top w:val="nil"/>
              <w:left w:val="nil"/>
              <w:bottom w:val="nil"/>
              <w:right w:val="nil"/>
            </w:tcBorders>
            <w:shd w:val="clear" w:color="auto" w:fill="FFFFFF"/>
            <w:vAlign w:val="bottom"/>
          </w:tcPr>
          <w:p w14:paraId="15EC566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1,730</w:t>
            </w:r>
          </w:p>
        </w:tc>
      </w:tr>
      <w:tr w:rsidR="002E375F" w14:paraId="4A9185D1" w14:textId="77777777" w:rsidTr="00B55A2A">
        <w:tc>
          <w:tcPr>
            <w:tcW w:w="4231" w:type="dxa"/>
            <w:gridSpan w:val="2"/>
            <w:tcBorders>
              <w:top w:val="nil"/>
              <w:left w:val="nil"/>
              <w:bottom w:val="nil"/>
              <w:right w:val="nil"/>
            </w:tcBorders>
            <w:shd w:val="clear" w:color="auto" w:fill="FFFFFF"/>
            <w:vAlign w:val="bottom"/>
          </w:tcPr>
          <w:p w14:paraId="1DA6B09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Transfers out to other Queensland Government entities</w:t>
            </w:r>
          </w:p>
        </w:tc>
        <w:tc>
          <w:tcPr>
            <w:tcW w:w="964" w:type="dxa"/>
            <w:gridSpan w:val="2"/>
            <w:tcBorders>
              <w:top w:val="nil"/>
              <w:left w:val="nil"/>
              <w:bottom w:val="nil"/>
              <w:right w:val="nil"/>
            </w:tcBorders>
            <w:shd w:val="clear" w:color="auto" w:fill="FFFFFF"/>
            <w:vAlign w:val="bottom"/>
          </w:tcPr>
          <w:p w14:paraId="1ED1EEA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76BCFC9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(4,682)</w:t>
            </w:r>
          </w:p>
        </w:tc>
        <w:tc>
          <w:tcPr>
            <w:tcW w:w="964" w:type="dxa"/>
            <w:gridSpan w:val="2"/>
            <w:tcBorders>
              <w:top w:val="nil"/>
              <w:left w:val="nil"/>
              <w:bottom w:val="nil"/>
              <w:right w:val="nil"/>
            </w:tcBorders>
            <w:shd w:val="clear" w:color="auto" w:fill="FFFFFF"/>
            <w:vAlign w:val="bottom"/>
          </w:tcPr>
          <w:p w14:paraId="4B33261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(46)</w:t>
            </w:r>
          </w:p>
        </w:tc>
        <w:tc>
          <w:tcPr>
            <w:tcW w:w="964" w:type="dxa"/>
            <w:gridSpan w:val="2"/>
            <w:tcBorders>
              <w:top w:val="nil"/>
              <w:left w:val="nil"/>
              <w:bottom w:val="nil"/>
              <w:right w:val="nil"/>
            </w:tcBorders>
            <w:shd w:val="clear" w:color="auto" w:fill="FFFFFF"/>
            <w:vAlign w:val="bottom"/>
          </w:tcPr>
          <w:p w14:paraId="0449164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5" w:type="dxa"/>
            <w:gridSpan w:val="2"/>
            <w:tcBorders>
              <w:top w:val="nil"/>
              <w:left w:val="nil"/>
              <w:bottom w:val="nil"/>
              <w:right w:val="nil"/>
            </w:tcBorders>
            <w:shd w:val="clear" w:color="auto" w:fill="FFFFFF"/>
            <w:vAlign w:val="bottom"/>
          </w:tcPr>
          <w:p w14:paraId="02E9489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(4,728)</w:t>
            </w:r>
          </w:p>
        </w:tc>
      </w:tr>
      <w:tr w:rsidR="002E375F" w14:paraId="1F0082A6" w14:textId="77777777" w:rsidTr="00B55A2A">
        <w:tc>
          <w:tcPr>
            <w:tcW w:w="4231" w:type="dxa"/>
            <w:gridSpan w:val="2"/>
            <w:tcBorders>
              <w:top w:val="nil"/>
              <w:left w:val="nil"/>
              <w:bottom w:val="nil"/>
              <w:right w:val="nil"/>
            </w:tcBorders>
            <w:shd w:val="clear" w:color="auto" w:fill="FFFFFF"/>
            <w:vAlign w:val="bottom"/>
          </w:tcPr>
          <w:p w14:paraId="4BC7840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Donations received</w:t>
            </w:r>
          </w:p>
        </w:tc>
        <w:tc>
          <w:tcPr>
            <w:tcW w:w="964" w:type="dxa"/>
            <w:gridSpan w:val="2"/>
            <w:tcBorders>
              <w:top w:val="nil"/>
              <w:left w:val="nil"/>
              <w:bottom w:val="nil"/>
              <w:right w:val="nil"/>
            </w:tcBorders>
            <w:shd w:val="clear" w:color="auto" w:fill="FFFFFF"/>
            <w:vAlign w:val="bottom"/>
          </w:tcPr>
          <w:p w14:paraId="4021275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1,625</w:t>
            </w:r>
          </w:p>
        </w:tc>
        <w:tc>
          <w:tcPr>
            <w:tcW w:w="964" w:type="dxa"/>
            <w:gridSpan w:val="2"/>
            <w:tcBorders>
              <w:top w:val="nil"/>
              <w:left w:val="nil"/>
              <w:bottom w:val="nil"/>
              <w:right w:val="nil"/>
            </w:tcBorders>
            <w:shd w:val="clear" w:color="auto" w:fill="FFFFFF"/>
            <w:vAlign w:val="bottom"/>
          </w:tcPr>
          <w:p w14:paraId="52EECE7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1,444</w:t>
            </w:r>
          </w:p>
        </w:tc>
        <w:tc>
          <w:tcPr>
            <w:tcW w:w="964" w:type="dxa"/>
            <w:gridSpan w:val="2"/>
            <w:tcBorders>
              <w:top w:val="nil"/>
              <w:left w:val="nil"/>
              <w:bottom w:val="nil"/>
              <w:right w:val="nil"/>
            </w:tcBorders>
            <w:shd w:val="clear" w:color="auto" w:fill="FFFFFF"/>
            <w:vAlign w:val="bottom"/>
          </w:tcPr>
          <w:p w14:paraId="2E732B8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1359CFC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5" w:type="dxa"/>
            <w:gridSpan w:val="2"/>
            <w:tcBorders>
              <w:top w:val="nil"/>
              <w:left w:val="nil"/>
              <w:bottom w:val="nil"/>
              <w:right w:val="nil"/>
            </w:tcBorders>
            <w:shd w:val="clear" w:color="auto" w:fill="FFFFFF"/>
            <w:vAlign w:val="bottom"/>
          </w:tcPr>
          <w:p w14:paraId="778406A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3,069</w:t>
            </w:r>
          </w:p>
        </w:tc>
      </w:tr>
      <w:tr w:rsidR="002E375F" w14:paraId="4CF60ED1" w14:textId="77777777" w:rsidTr="00B55A2A">
        <w:tc>
          <w:tcPr>
            <w:tcW w:w="4231" w:type="dxa"/>
            <w:gridSpan w:val="2"/>
            <w:tcBorders>
              <w:top w:val="nil"/>
              <w:left w:val="nil"/>
              <w:bottom w:val="nil"/>
              <w:right w:val="nil"/>
            </w:tcBorders>
            <w:shd w:val="clear" w:color="auto" w:fill="FFFFFF"/>
            <w:vAlign w:val="bottom"/>
          </w:tcPr>
          <w:p w14:paraId="71A0DA8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Assets reclassified as held for sale</w:t>
            </w:r>
          </w:p>
        </w:tc>
        <w:tc>
          <w:tcPr>
            <w:tcW w:w="964" w:type="dxa"/>
            <w:gridSpan w:val="2"/>
            <w:tcBorders>
              <w:top w:val="nil"/>
              <w:left w:val="nil"/>
              <w:bottom w:val="nil"/>
              <w:right w:val="nil"/>
            </w:tcBorders>
            <w:shd w:val="clear" w:color="auto" w:fill="FFFFFF"/>
            <w:vAlign w:val="bottom"/>
          </w:tcPr>
          <w:p w14:paraId="42EBED5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(180)</w:t>
            </w:r>
          </w:p>
        </w:tc>
        <w:tc>
          <w:tcPr>
            <w:tcW w:w="964" w:type="dxa"/>
            <w:gridSpan w:val="2"/>
            <w:tcBorders>
              <w:top w:val="nil"/>
              <w:left w:val="nil"/>
              <w:bottom w:val="nil"/>
              <w:right w:val="nil"/>
            </w:tcBorders>
            <w:shd w:val="clear" w:color="auto" w:fill="FFFFFF"/>
            <w:vAlign w:val="bottom"/>
          </w:tcPr>
          <w:p w14:paraId="6FFD185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(188)</w:t>
            </w:r>
          </w:p>
        </w:tc>
        <w:tc>
          <w:tcPr>
            <w:tcW w:w="964" w:type="dxa"/>
            <w:gridSpan w:val="2"/>
            <w:tcBorders>
              <w:top w:val="nil"/>
              <w:left w:val="nil"/>
              <w:bottom w:val="nil"/>
              <w:right w:val="nil"/>
            </w:tcBorders>
            <w:shd w:val="clear" w:color="auto" w:fill="FFFFFF"/>
            <w:vAlign w:val="bottom"/>
          </w:tcPr>
          <w:p w14:paraId="5B9AC2F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5B36CBD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5" w:type="dxa"/>
            <w:gridSpan w:val="2"/>
            <w:tcBorders>
              <w:top w:val="nil"/>
              <w:left w:val="nil"/>
              <w:bottom w:val="nil"/>
              <w:right w:val="nil"/>
            </w:tcBorders>
            <w:shd w:val="clear" w:color="auto" w:fill="FFFFFF"/>
            <w:vAlign w:val="bottom"/>
          </w:tcPr>
          <w:p w14:paraId="603784F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(368)</w:t>
            </w:r>
          </w:p>
        </w:tc>
      </w:tr>
      <w:tr w:rsidR="002E375F" w14:paraId="52F368CD" w14:textId="77777777" w:rsidTr="00B55A2A">
        <w:tc>
          <w:tcPr>
            <w:tcW w:w="4231" w:type="dxa"/>
            <w:gridSpan w:val="2"/>
            <w:tcBorders>
              <w:top w:val="nil"/>
              <w:left w:val="nil"/>
              <w:bottom w:val="nil"/>
              <w:right w:val="nil"/>
            </w:tcBorders>
            <w:shd w:val="clear" w:color="auto" w:fill="FFFFFF"/>
            <w:vAlign w:val="bottom"/>
          </w:tcPr>
          <w:p w14:paraId="16A33C2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Transfers between asset classes</w:t>
            </w:r>
          </w:p>
        </w:tc>
        <w:tc>
          <w:tcPr>
            <w:tcW w:w="964" w:type="dxa"/>
            <w:gridSpan w:val="2"/>
            <w:tcBorders>
              <w:top w:val="nil"/>
              <w:left w:val="nil"/>
              <w:bottom w:val="nil"/>
              <w:right w:val="nil"/>
            </w:tcBorders>
            <w:shd w:val="clear" w:color="auto" w:fill="FFFFFF"/>
            <w:vAlign w:val="bottom"/>
          </w:tcPr>
          <w:p w14:paraId="0F47379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442</w:t>
            </w:r>
          </w:p>
        </w:tc>
        <w:tc>
          <w:tcPr>
            <w:tcW w:w="964" w:type="dxa"/>
            <w:gridSpan w:val="2"/>
            <w:tcBorders>
              <w:top w:val="nil"/>
              <w:left w:val="nil"/>
              <w:bottom w:val="nil"/>
              <w:right w:val="nil"/>
            </w:tcBorders>
            <w:shd w:val="clear" w:color="auto" w:fill="FFFFFF"/>
            <w:vAlign w:val="bottom"/>
          </w:tcPr>
          <w:p w14:paraId="3A2BDDF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7,913</w:t>
            </w:r>
          </w:p>
        </w:tc>
        <w:tc>
          <w:tcPr>
            <w:tcW w:w="964" w:type="dxa"/>
            <w:gridSpan w:val="2"/>
            <w:tcBorders>
              <w:top w:val="nil"/>
              <w:left w:val="nil"/>
              <w:bottom w:val="nil"/>
              <w:right w:val="nil"/>
            </w:tcBorders>
            <w:shd w:val="clear" w:color="auto" w:fill="FFFFFF"/>
            <w:vAlign w:val="bottom"/>
          </w:tcPr>
          <w:p w14:paraId="3FEF253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628</w:t>
            </w:r>
          </w:p>
        </w:tc>
        <w:tc>
          <w:tcPr>
            <w:tcW w:w="964" w:type="dxa"/>
            <w:gridSpan w:val="2"/>
            <w:tcBorders>
              <w:top w:val="nil"/>
              <w:left w:val="nil"/>
              <w:bottom w:val="nil"/>
              <w:right w:val="nil"/>
            </w:tcBorders>
            <w:shd w:val="clear" w:color="auto" w:fill="FFFFFF"/>
            <w:vAlign w:val="bottom"/>
          </w:tcPr>
          <w:p w14:paraId="5473C30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(9,538)</w:t>
            </w:r>
          </w:p>
        </w:tc>
        <w:tc>
          <w:tcPr>
            <w:tcW w:w="965" w:type="dxa"/>
            <w:gridSpan w:val="2"/>
            <w:tcBorders>
              <w:top w:val="nil"/>
              <w:left w:val="nil"/>
              <w:bottom w:val="nil"/>
              <w:right w:val="nil"/>
            </w:tcBorders>
            <w:shd w:val="clear" w:color="auto" w:fill="FFFFFF"/>
            <w:vAlign w:val="bottom"/>
          </w:tcPr>
          <w:p w14:paraId="780E2D7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(555)</w:t>
            </w:r>
          </w:p>
        </w:tc>
      </w:tr>
      <w:tr w:rsidR="002E375F" w14:paraId="1093F0EC" w14:textId="77777777" w:rsidTr="00B55A2A">
        <w:tc>
          <w:tcPr>
            <w:tcW w:w="4231" w:type="dxa"/>
            <w:gridSpan w:val="2"/>
            <w:tcBorders>
              <w:top w:val="nil"/>
              <w:left w:val="nil"/>
              <w:bottom w:val="nil"/>
              <w:right w:val="nil"/>
            </w:tcBorders>
            <w:shd w:val="clear" w:color="auto" w:fill="FFFFFF"/>
            <w:vAlign w:val="bottom"/>
          </w:tcPr>
          <w:p w14:paraId="5F08656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Net revaluation increments/ (decrements) in operating surplus</w:t>
            </w:r>
          </w:p>
        </w:tc>
        <w:tc>
          <w:tcPr>
            <w:tcW w:w="964" w:type="dxa"/>
            <w:gridSpan w:val="2"/>
            <w:tcBorders>
              <w:top w:val="nil"/>
              <w:left w:val="nil"/>
              <w:bottom w:val="nil"/>
              <w:right w:val="nil"/>
            </w:tcBorders>
            <w:shd w:val="clear" w:color="auto" w:fill="FFFFFF"/>
            <w:vAlign w:val="bottom"/>
          </w:tcPr>
          <w:p w14:paraId="6026ED9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158</w:t>
            </w:r>
          </w:p>
        </w:tc>
        <w:tc>
          <w:tcPr>
            <w:tcW w:w="964" w:type="dxa"/>
            <w:gridSpan w:val="2"/>
            <w:tcBorders>
              <w:top w:val="nil"/>
              <w:left w:val="nil"/>
              <w:bottom w:val="nil"/>
              <w:right w:val="nil"/>
            </w:tcBorders>
            <w:shd w:val="clear" w:color="auto" w:fill="FFFFFF"/>
            <w:vAlign w:val="bottom"/>
          </w:tcPr>
          <w:p w14:paraId="5075BD8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2,358</w:t>
            </w:r>
          </w:p>
        </w:tc>
        <w:tc>
          <w:tcPr>
            <w:tcW w:w="964" w:type="dxa"/>
            <w:gridSpan w:val="2"/>
            <w:tcBorders>
              <w:top w:val="nil"/>
              <w:left w:val="nil"/>
              <w:bottom w:val="nil"/>
              <w:right w:val="nil"/>
            </w:tcBorders>
            <w:shd w:val="clear" w:color="auto" w:fill="FFFFFF"/>
            <w:vAlign w:val="bottom"/>
          </w:tcPr>
          <w:p w14:paraId="4FF3DD2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5978BC9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5" w:type="dxa"/>
            <w:gridSpan w:val="2"/>
            <w:tcBorders>
              <w:top w:val="nil"/>
              <w:left w:val="nil"/>
              <w:bottom w:val="nil"/>
              <w:right w:val="nil"/>
            </w:tcBorders>
            <w:shd w:val="clear" w:color="auto" w:fill="FFFFFF"/>
            <w:vAlign w:val="bottom"/>
          </w:tcPr>
          <w:p w14:paraId="07E8FF3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2,516</w:t>
            </w:r>
          </w:p>
        </w:tc>
      </w:tr>
      <w:tr w:rsidR="002E375F" w14:paraId="09EB011E" w14:textId="77777777" w:rsidTr="00B55A2A">
        <w:tc>
          <w:tcPr>
            <w:tcW w:w="4231" w:type="dxa"/>
            <w:gridSpan w:val="2"/>
            <w:tcBorders>
              <w:top w:val="nil"/>
              <w:left w:val="nil"/>
              <w:bottom w:val="nil"/>
              <w:right w:val="nil"/>
            </w:tcBorders>
            <w:shd w:val="clear" w:color="auto" w:fill="FFFFFF"/>
            <w:vAlign w:val="bottom"/>
          </w:tcPr>
          <w:p w14:paraId="168E3E9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Depreciation expense</w:t>
            </w:r>
          </w:p>
        </w:tc>
        <w:tc>
          <w:tcPr>
            <w:tcW w:w="964" w:type="dxa"/>
            <w:gridSpan w:val="2"/>
            <w:tcBorders>
              <w:top w:val="nil"/>
              <w:left w:val="nil"/>
              <w:bottom w:val="single" w:sz="2" w:space="0" w:color="auto"/>
              <w:right w:val="nil"/>
            </w:tcBorders>
            <w:shd w:val="clear" w:color="auto" w:fill="FFFFFF"/>
            <w:vAlign w:val="bottom"/>
          </w:tcPr>
          <w:p w14:paraId="6A03EAD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single" w:sz="2" w:space="0" w:color="auto"/>
              <w:right w:val="nil"/>
            </w:tcBorders>
            <w:shd w:val="clear" w:color="auto" w:fill="FFFFFF"/>
            <w:vAlign w:val="bottom"/>
          </w:tcPr>
          <w:p w14:paraId="3354241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(3,691)</w:t>
            </w:r>
          </w:p>
        </w:tc>
        <w:tc>
          <w:tcPr>
            <w:tcW w:w="964" w:type="dxa"/>
            <w:gridSpan w:val="2"/>
            <w:tcBorders>
              <w:top w:val="nil"/>
              <w:left w:val="nil"/>
              <w:bottom w:val="single" w:sz="2" w:space="0" w:color="auto"/>
              <w:right w:val="nil"/>
            </w:tcBorders>
            <w:shd w:val="clear" w:color="auto" w:fill="FFFFFF"/>
            <w:vAlign w:val="bottom"/>
          </w:tcPr>
          <w:p w14:paraId="3DF9BA8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(1,253)</w:t>
            </w:r>
          </w:p>
        </w:tc>
        <w:tc>
          <w:tcPr>
            <w:tcW w:w="964" w:type="dxa"/>
            <w:gridSpan w:val="2"/>
            <w:tcBorders>
              <w:top w:val="nil"/>
              <w:left w:val="nil"/>
              <w:bottom w:val="single" w:sz="2" w:space="0" w:color="auto"/>
              <w:right w:val="nil"/>
            </w:tcBorders>
            <w:shd w:val="clear" w:color="auto" w:fill="FFFFFF"/>
            <w:vAlign w:val="bottom"/>
          </w:tcPr>
          <w:p w14:paraId="3076D3D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5" w:type="dxa"/>
            <w:gridSpan w:val="2"/>
            <w:tcBorders>
              <w:top w:val="nil"/>
              <w:left w:val="nil"/>
              <w:bottom w:val="single" w:sz="2" w:space="0" w:color="auto"/>
              <w:right w:val="nil"/>
            </w:tcBorders>
            <w:shd w:val="clear" w:color="auto" w:fill="FFFFFF"/>
            <w:vAlign w:val="bottom"/>
          </w:tcPr>
          <w:p w14:paraId="59AAD64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(4,944)</w:t>
            </w:r>
          </w:p>
        </w:tc>
      </w:tr>
      <w:tr w:rsidR="002E375F" w14:paraId="625D5688" w14:textId="77777777" w:rsidTr="00B55A2A">
        <w:tc>
          <w:tcPr>
            <w:tcW w:w="4231" w:type="dxa"/>
            <w:gridSpan w:val="2"/>
            <w:tcBorders>
              <w:top w:val="nil"/>
              <w:left w:val="nil"/>
              <w:bottom w:val="nil"/>
              <w:right w:val="nil"/>
            </w:tcBorders>
            <w:shd w:val="clear" w:color="auto" w:fill="FFFFFF"/>
            <w:vAlign w:val="bottom"/>
          </w:tcPr>
          <w:p w14:paraId="17968C8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Carrying amount at 30 June 2019</w:t>
            </w:r>
          </w:p>
        </w:tc>
        <w:tc>
          <w:tcPr>
            <w:tcW w:w="964" w:type="dxa"/>
            <w:gridSpan w:val="2"/>
            <w:tcBorders>
              <w:top w:val="nil"/>
              <w:left w:val="nil"/>
              <w:bottom w:val="single" w:sz="2" w:space="0" w:color="auto"/>
              <w:right w:val="nil"/>
            </w:tcBorders>
            <w:shd w:val="clear" w:color="auto" w:fill="FFFFFF"/>
            <w:vAlign w:val="bottom"/>
          </w:tcPr>
          <w:p w14:paraId="0599EC7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81,998</w:t>
            </w:r>
          </w:p>
        </w:tc>
        <w:tc>
          <w:tcPr>
            <w:tcW w:w="964" w:type="dxa"/>
            <w:gridSpan w:val="2"/>
            <w:tcBorders>
              <w:top w:val="nil"/>
              <w:left w:val="nil"/>
              <w:bottom w:val="single" w:sz="2" w:space="0" w:color="auto"/>
              <w:right w:val="nil"/>
            </w:tcBorders>
            <w:shd w:val="clear" w:color="auto" w:fill="FFFFFF"/>
            <w:vAlign w:val="bottom"/>
          </w:tcPr>
          <w:p w14:paraId="7D11476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180,144</w:t>
            </w:r>
          </w:p>
        </w:tc>
        <w:tc>
          <w:tcPr>
            <w:tcW w:w="964" w:type="dxa"/>
            <w:gridSpan w:val="2"/>
            <w:tcBorders>
              <w:top w:val="nil"/>
              <w:left w:val="nil"/>
              <w:bottom w:val="single" w:sz="2" w:space="0" w:color="auto"/>
              <w:right w:val="nil"/>
            </w:tcBorders>
            <w:shd w:val="clear" w:color="auto" w:fill="FFFFFF"/>
            <w:vAlign w:val="bottom"/>
          </w:tcPr>
          <w:p w14:paraId="1AED20C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2,657</w:t>
            </w:r>
          </w:p>
        </w:tc>
        <w:tc>
          <w:tcPr>
            <w:tcW w:w="964" w:type="dxa"/>
            <w:gridSpan w:val="2"/>
            <w:tcBorders>
              <w:top w:val="nil"/>
              <w:left w:val="nil"/>
              <w:bottom w:val="single" w:sz="2" w:space="0" w:color="auto"/>
              <w:right w:val="nil"/>
            </w:tcBorders>
            <w:shd w:val="clear" w:color="auto" w:fill="FFFFFF"/>
            <w:vAlign w:val="bottom"/>
          </w:tcPr>
          <w:p w14:paraId="160F043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11,646</w:t>
            </w:r>
          </w:p>
        </w:tc>
        <w:tc>
          <w:tcPr>
            <w:tcW w:w="965" w:type="dxa"/>
            <w:gridSpan w:val="2"/>
            <w:tcBorders>
              <w:top w:val="nil"/>
              <w:left w:val="nil"/>
              <w:bottom w:val="single" w:sz="2" w:space="0" w:color="auto"/>
              <w:right w:val="nil"/>
            </w:tcBorders>
            <w:shd w:val="clear" w:color="auto" w:fill="FFFFFF"/>
            <w:vAlign w:val="bottom"/>
          </w:tcPr>
          <w:p w14:paraId="5921022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276,445</w:t>
            </w:r>
          </w:p>
        </w:tc>
      </w:tr>
      <w:tr w:rsidR="002E375F" w14:paraId="0181E8E3" w14:textId="77777777" w:rsidTr="00B55A2A">
        <w:trPr>
          <w:gridAfter w:val="1"/>
          <w:wAfter w:w="20" w:type="dxa"/>
        </w:trPr>
        <w:tc>
          <w:tcPr>
            <w:tcW w:w="4212" w:type="dxa"/>
            <w:tcBorders>
              <w:top w:val="nil"/>
              <w:left w:val="nil"/>
              <w:bottom w:val="nil"/>
              <w:right w:val="nil"/>
            </w:tcBorders>
            <w:shd w:val="clear" w:color="auto" w:fill="FFFFFF"/>
            <w:vAlign w:val="bottom"/>
          </w:tcPr>
          <w:p w14:paraId="31CD859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Carrying amount at 1 July 2019</w:t>
            </w:r>
          </w:p>
        </w:tc>
        <w:tc>
          <w:tcPr>
            <w:tcW w:w="964" w:type="dxa"/>
            <w:gridSpan w:val="2"/>
            <w:tcBorders>
              <w:top w:val="nil"/>
              <w:left w:val="nil"/>
              <w:bottom w:val="nil"/>
              <w:right w:val="nil"/>
            </w:tcBorders>
            <w:shd w:val="clear" w:color="auto" w:fill="FFFFFF"/>
            <w:vAlign w:val="bottom"/>
          </w:tcPr>
          <w:p w14:paraId="348B823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81,998</w:t>
            </w:r>
          </w:p>
        </w:tc>
        <w:tc>
          <w:tcPr>
            <w:tcW w:w="964" w:type="dxa"/>
            <w:gridSpan w:val="2"/>
            <w:tcBorders>
              <w:top w:val="nil"/>
              <w:left w:val="nil"/>
              <w:bottom w:val="nil"/>
              <w:right w:val="nil"/>
            </w:tcBorders>
            <w:shd w:val="clear" w:color="auto" w:fill="FFFFFF"/>
            <w:vAlign w:val="bottom"/>
          </w:tcPr>
          <w:p w14:paraId="670F824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180,144</w:t>
            </w:r>
          </w:p>
        </w:tc>
        <w:tc>
          <w:tcPr>
            <w:tcW w:w="964" w:type="dxa"/>
            <w:gridSpan w:val="2"/>
            <w:tcBorders>
              <w:top w:val="nil"/>
              <w:left w:val="nil"/>
              <w:bottom w:val="nil"/>
              <w:right w:val="nil"/>
            </w:tcBorders>
            <w:shd w:val="clear" w:color="auto" w:fill="FFFFFF"/>
            <w:vAlign w:val="bottom"/>
          </w:tcPr>
          <w:p w14:paraId="5906834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2,657</w:t>
            </w:r>
          </w:p>
        </w:tc>
        <w:tc>
          <w:tcPr>
            <w:tcW w:w="964" w:type="dxa"/>
            <w:gridSpan w:val="2"/>
            <w:tcBorders>
              <w:top w:val="nil"/>
              <w:left w:val="nil"/>
              <w:bottom w:val="nil"/>
              <w:right w:val="nil"/>
            </w:tcBorders>
            <w:shd w:val="clear" w:color="auto" w:fill="FFFFFF"/>
            <w:vAlign w:val="bottom"/>
          </w:tcPr>
          <w:p w14:paraId="69E7740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11,646</w:t>
            </w:r>
          </w:p>
        </w:tc>
        <w:tc>
          <w:tcPr>
            <w:tcW w:w="964" w:type="dxa"/>
            <w:gridSpan w:val="2"/>
            <w:tcBorders>
              <w:top w:val="nil"/>
              <w:left w:val="nil"/>
              <w:bottom w:val="nil"/>
              <w:right w:val="nil"/>
            </w:tcBorders>
            <w:shd w:val="clear" w:color="auto" w:fill="FFFFFF"/>
            <w:vAlign w:val="bottom"/>
          </w:tcPr>
          <w:p w14:paraId="6F5A97E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276,445</w:t>
            </w:r>
          </w:p>
        </w:tc>
      </w:tr>
      <w:tr w:rsidR="002E375F" w14:paraId="4990701C" w14:textId="77777777" w:rsidTr="00B55A2A">
        <w:trPr>
          <w:gridAfter w:val="1"/>
          <w:wAfter w:w="20" w:type="dxa"/>
        </w:trPr>
        <w:tc>
          <w:tcPr>
            <w:tcW w:w="4212" w:type="dxa"/>
            <w:tcBorders>
              <w:top w:val="nil"/>
              <w:left w:val="nil"/>
              <w:bottom w:val="nil"/>
              <w:right w:val="nil"/>
            </w:tcBorders>
            <w:shd w:val="clear" w:color="auto" w:fill="FFFFFF"/>
            <w:vAlign w:val="bottom"/>
          </w:tcPr>
          <w:p w14:paraId="6FD0050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Acquisitions (including upgrades)</w:t>
            </w:r>
          </w:p>
        </w:tc>
        <w:tc>
          <w:tcPr>
            <w:tcW w:w="964" w:type="dxa"/>
            <w:gridSpan w:val="2"/>
            <w:tcBorders>
              <w:top w:val="nil"/>
              <w:left w:val="nil"/>
              <w:bottom w:val="nil"/>
              <w:right w:val="nil"/>
            </w:tcBorders>
            <w:shd w:val="clear" w:color="auto" w:fill="FFFFFF"/>
            <w:vAlign w:val="bottom"/>
          </w:tcPr>
          <w:p w14:paraId="1A5E096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249C9A3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26D47D2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40D321B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11,005</w:t>
            </w:r>
          </w:p>
        </w:tc>
        <w:tc>
          <w:tcPr>
            <w:tcW w:w="964" w:type="dxa"/>
            <w:gridSpan w:val="2"/>
            <w:tcBorders>
              <w:top w:val="nil"/>
              <w:left w:val="nil"/>
              <w:bottom w:val="nil"/>
              <w:right w:val="nil"/>
            </w:tcBorders>
            <w:shd w:val="clear" w:color="auto" w:fill="FFFFFF"/>
            <w:vAlign w:val="bottom"/>
          </w:tcPr>
          <w:p w14:paraId="7EC0E7F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11,005</w:t>
            </w:r>
          </w:p>
        </w:tc>
      </w:tr>
      <w:tr w:rsidR="002E375F" w14:paraId="7635698F" w14:textId="77777777" w:rsidTr="00B55A2A">
        <w:trPr>
          <w:gridAfter w:val="1"/>
          <w:wAfter w:w="20" w:type="dxa"/>
        </w:trPr>
        <w:tc>
          <w:tcPr>
            <w:tcW w:w="4212" w:type="dxa"/>
            <w:tcBorders>
              <w:top w:val="nil"/>
              <w:left w:val="nil"/>
              <w:bottom w:val="nil"/>
              <w:right w:val="nil"/>
            </w:tcBorders>
            <w:shd w:val="clear" w:color="auto" w:fill="FFFFFF"/>
            <w:vAlign w:val="bottom"/>
          </w:tcPr>
          <w:p w14:paraId="4529B99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Disposals</w:t>
            </w:r>
          </w:p>
        </w:tc>
        <w:tc>
          <w:tcPr>
            <w:tcW w:w="964" w:type="dxa"/>
            <w:gridSpan w:val="2"/>
            <w:tcBorders>
              <w:top w:val="nil"/>
              <w:left w:val="nil"/>
              <w:bottom w:val="nil"/>
              <w:right w:val="nil"/>
            </w:tcBorders>
            <w:shd w:val="clear" w:color="auto" w:fill="FFFFFF"/>
            <w:vAlign w:val="bottom"/>
          </w:tcPr>
          <w:p w14:paraId="6CC294E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(741)</w:t>
            </w:r>
          </w:p>
        </w:tc>
        <w:tc>
          <w:tcPr>
            <w:tcW w:w="964" w:type="dxa"/>
            <w:gridSpan w:val="2"/>
            <w:tcBorders>
              <w:top w:val="nil"/>
              <w:left w:val="nil"/>
              <w:bottom w:val="nil"/>
              <w:right w:val="nil"/>
            </w:tcBorders>
            <w:shd w:val="clear" w:color="auto" w:fill="FFFFFF"/>
            <w:vAlign w:val="bottom"/>
          </w:tcPr>
          <w:p w14:paraId="7FD725B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(588)</w:t>
            </w:r>
          </w:p>
        </w:tc>
        <w:tc>
          <w:tcPr>
            <w:tcW w:w="964" w:type="dxa"/>
            <w:gridSpan w:val="2"/>
            <w:tcBorders>
              <w:top w:val="nil"/>
              <w:left w:val="nil"/>
              <w:bottom w:val="nil"/>
              <w:right w:val="nil"/>
            </w:tcBorders>
            <w:shd w:val="clear" w:color="auto" w:fill="FFFFFF"/>
            <w:vAlign w:val="bottom"/>
          </w:tcPr>
          <w:p w14:paraId="7BCF393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57D3F64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799C249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(1,329)</w:t>
            </w:r>
          </w:p>
        </w:tc>
      </w:tr>
      <w:tr w:rsidR="002E375F" w14:paraId="642BFEAA" w14:textId="77777777" w:rsidTr="00B55A2A">
        <w:trPr>
          <w:gridAfter w:val="1"/>
          <w:wAfter w:w="20" w:type="dxa"/>
        </w:trPr>
        <w:tc>
          <w:tcPr>
            <w:tcW w:w="4212" w:type="dxa"/>
            <w:tcBorders>
              <w:top w:val="nil"/>
              <w:left w:val="nil"/>
              <w:bottom w:val="nil"/>
              <w:right w:val="nil"/>
            </w:tcBorders>
            <w:shd w:val="clear" w:color="auto" w:fill="FFFFFF"/>
            <w:vAlign w:val="bottom"/>
          </w:tcPr>
          <w:p w14:paraId="7A1F7A9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Transfers out to other Queensland Government entities</w:t>
            </w:r>
          </w:p>
        </w:tc>
        <w:tc>
          <w:tcPr>
            <w:tcW w:w="964" w:type="dxa"/>
            <w:gridSpan w:val="2"/>
            <w:tcBorders>
              <w:top w:val="nil"/>
              <w:left w:val="nil"/>
              <w:bottom w:val="nil"/>
              <w:right w:val="nil"/>
            </w:tcBorders>
            <w:shd w:val="clear" w:color="auto" w:fill="FFFFFF"/>
            <w:vAlign w:val="bottom"/>
          </w:tcPr>
          <w:p w14:paraId="24AE3B5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(1,258)</w:t>
            </w:r>
          </w:p>
        </w:tc>
        <w:tc>
          <w:tcPr>
            <w:tcW w:w="964" w:type="dxa"/>
            <w:gridSpan w:val="2"/>
            <w:tcBorders>
              <w:top w:val="nil"/>
              <w:left w:val="nil"/>
              <w:bottom w:val="nil"/>
              <w:right w:val="nil"/>
            </w:tcBorders>
            <w:shd w:val="clear" w:color="auto" w:fill="FFFFFF"/>
            <w:vAlign w:val="bottom"/>
          </w:tcPr>
          <w:p w14:paraId="4B27154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(1,200)</w:t>
            </w:r>
          </w:p>
        </w:tc>
        <w:tc>
          <w:tcPr>
            <w:tcW w:w="964" w:type="dxa"/>
            <w:gridSpan w:val="2"/>
            <w:tcBorders>
              <w:top w:val="nil"/>
              <w:left w:val="nil"/>
              <w:bottom w:val="nil"/>
              <w:right w:val="nil"/>
            </w:tcBorders>
            <w:shd w:val="clear" w:color="auto" w:fill="FFFFFF"/>
            <w:vAlign w:val="bottom"/>
          </w:tcPr>
          <w:p w14:paraId="35691A9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1C2EEB9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4F11425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(2,458)</w:t>
            </w:r>
          </w:p>
        </w:tc>
      </w:tr>
      <w:tr w:rsidR="002E375F" w14:paraId="0F25E0F1" w14:textId="77777777" w:rsidTr="00B55A2A">
        <w:trPr>
          <w:gridAfter w:val="1"/>
          <w:wAfter w:w="20" w:type="dxa"/>
        </w:trPr>
        <w:tc>
          <w:tcPr>
            <w:tcW w:w="4212" w:type="dxa"/>
            <w:tcBorders>
              <w:top w:val="nil"/>
              <w:left w:val="nil"/>
              <w:bottom w:val="nil"/>
              <w:right w:val="nil"/>
            </w:tcBorders>
            <w:shd w:val="clear" w:color="auto" w:fill="FFFFFF"/>
            <w:vAlign w:val="bottom"/>
          </w:tcPr>
          <w:p w14:paraId="06D5BCE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Assets reclassified as held for sale</w:t>
            </w:r>
          </w:p>
        </w:tc>
        <w:tc>
          <w:tcPr>
            <w:tcW w:w="964" w:type="dxa"/>
            <w:gridSpan w:val="2"/>
            <w:tcBorders>
              <w:top w:val="nil"/>
              <w:left w:val="nil"/>
              <w:bottom w:val="nil"/>
              <w:right w:val="nil"/>
            </w:tcBorders>
            <w:shd w:val="clear" w:color="auto" w:fill="FFFFFF"/>
            <w:vAlign w:val="bottom"/>
          </w:tcPr>
          <w:p w14:paraId="50BC375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(500)</w:t>
            </w:r>
          </w:p>
        </w:tc>
        <w:tc>
          <w:tcPr>
            <w:tcW w:w="964" w:type="dxa"/>
            <w:gridSpan w:val="2"/>
            <w:tcBorders>
              <w:top w:val="nil"/>
              <w:left w:val="nil"/>
              <w:bottom w:val="nil"/>
              <w:right w:val="nil"/>
            </w:tcBorders>
            <w:shd w:val="clear" w:color="auto" w:fill="FFFFFF"/>
            <w:vAlign w:val="bottom"/>
          </w:tcPr>
          <w:p w14:paraId="5FA3ED8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(200)</w:t>
            </w:r>
          </w:p>
        </w:tc>
        <w:tc>
          <w:tcPr>
            <w:tcW w:w="964" w:type="dxa"/>
            <w:gridSpan w:val="2"/>
            <w:tcBorders>
              <w:top w:val="nil"/>
              <w:left w:val="nil"/>
              <w:bottom w:val="nil"/>
              <w:right w:val="nil"/>
            </w:tcBorders>
            <w:shd w:val="clear" w:color="auto" w:fill="FFFFFF"/>
            <w:vAlign w:val="bottom"/>
          </w:tcPr>
          <w:p w14:paraId="2EDB531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2F0F826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010A9C9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(700)</w:t>
            </w:r>
          </w:p>
        </w:tc>
      </w:tr>
      <w:tr w:rsidR="002E375F" w14:paraId="25011B0E" w14:textId="77777777" w:rsidTr="00B55A2A">
        <w:trPr>
          <w:gridAfter w:val="1"/>
          <w:wAfter w:w="20" w:type="dxa"/>
        </w:trPr>
        <w:tc>
          <w:tcPr>
            <w:tcW w:w="4212" w:type="dxa"/>
            <w:tcBorders>
              <w:top w:val="nil"/>
              <w:left w:val="nil"/>
              <w:bottom w:val="nil"/>
              <w:right w:val="nil"/>
            </w:tcBorders>
            <w:shd w:val="clear" w:color="auto" w:fill="FFFFFF"/>
            <w:vAlign w:val="bottom"/>
          </w:tcPr>
          <w:p w14:paraId="3B3324B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Transfers between asset classes</w:t>
            </w:r>
          </w:p>
        </w:tc>
        <w:tc>
          <w:tcPr>
            <w:tcW w:w="964" w:type="dxa"/>
            <w:gridSpan w:val="2"/>
            <w:tcBorders>
              <w:top w:val="nil"/>
              <w:left w:val="nil"/>
              <w:bottom w:val="nil"/>
              <w:right w:val="nil"/>
            </w:tcBorders>
            <w:shd w:val="clear" w:color="auto" w:fill="FFFFFF"/>
            <w:vAlign w:val="bottom"/>
          </w:tcPr>
          <w:p w14:paraId="34154BE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33</w:t>
            </w:r>
          </w:p>
        </w:tc>
        <w:tc>
          <w:tcPr>
            <w:tcW w:w="964" w:type="dxa"/>
            <w:gridSpan w:val="2"/>
            <w:tcBorders>
              <w:top w:val="nil"/>
              <w:left w:val="nil"/>
              <w:bottom w:val="nil"/>
              <w:right w:val="nil"/>
            </w:tcBorders>
            <w:shd w:val="clear" w:color="auto" w:fill="FFFFFF"/>
            <w:vAlign w:val="bottom"/>
          </w:tcPr>
          <w:p w14:paraId="300E9C6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13,304</w:t>
            </w:r>
          </w:p>
        </w:tc>
        <w:tc>
          <w:tcPr>
            <w:tcW w:w="964" w:type="dxa"/>
            <w:gridSpan w:val="2"/>
            <w:tcBorders>
              <w:top w:val="nil"/>
              <w:left w:val="nil"/>
              <w:bottom w:val="nil"/>
              <w:right w:val="nil"/>
            </w:tcBorders>
            <w:shd w:val="clear" w:color="auto" w:fill="FFFFFF"/>
            <w:vAlign w:val="bottom"/>
          </w:tcPr>
          <w:p w14:paraId="3B9355C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137</w:t>
            </w:r>
          </w:p>
        </w:tc>
        <w:tc>
          <w:tcPr>
            <w:tcW w:w="964" w:type="dxa"/>
            <w:gridSpan w:val="2"/>
            <w:tcBorders>
              <w:top w:val="nil"/>
              <w:left w:val="nil"/>
              <w:bottom w:val="nil"/>
              <w:right w:val="nil"/>
            </w:tcBorders>
            <w:shd w:val="clear" w:color="auto" w:fill="FFFFFF"/>
            <w:vAlign w:val="bottom"/>
          </w:tcPr>
          <w:p w14:paraId="1E4E101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(13,474)</w:t>
            </w:r>
          </w:p>
        </w:tc>
        <w:tc>
          <w:tcPr>
            <w:tcW w:w="964" w:type="dxa"/>
            <w:gridSpan w:val="2"/>
            <w:tcBorders>
              <w:top w:val="nil"/>
              <w:left w:val="nil"/>
              <w:bottom w:val="nil"/>
              <w:right w:val="nil"/>
            </w:tcBorders>
            <w:shd w:val="clear" w:color="auto" w:fill="FFFFFF"/>
            <w:vAlign w:val="bottom"/>
          </w:tcPr>
          <w:p w14:paraId="33CB9AD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524238B0" w14:textId="77777777" w:rsidTr="00B55A2A">
        <w:trPr>
          <w:gridAfter w:val="1"/>
          <w:wAfter w:w="20" w:type="dxa"/>
        </w:trPr>
        <w:tc>
          <w:tcPr>
            <w:tcW w:w="4212" w:type="dxa"/>
            <w:tcBorders>
              <w:top w:val="nil"/>
              <w:left w:val="nil"/>
              <w:bottom w:val="nil"/>
              <w:right w:val="nil"/>
            </w:tcBorders>
            <w:shd w:val="clear" w:color="auto" w:fill="FFFFFF"/>
            <w:vAlign w:val="bottom"/>
          </w:tcPr>
          <w:p w14:paraId="3677AAD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Net revaluation increments/ (decrements) in operating surplus</w:t>
            </w:r>
          </w:p>
        </w:tc>
        <w:tc>
          <w:tcPr>
            <w:tcW w:w="964" w:type="dxa"/>
            <w:gridSpan w:val="2"/>
            <w:tcBorders>
              <w:top w:val="nil"/>
              <w:left w:val="nil"/>
              <w:bottom w:val="nil"/>
              <w:right w:val="nil"/>
            </w:tcBorders>
            <w:shd w:val="clear" w:color="auto" w:fill="FFFFFF"/>
            <w:vAlign w:val="bottom"/>
          </w:tcPr>
          <w:p w14:paraId="27E21A9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3,454</w:t>
            </w:r>
          </w:p>
        </w:tc>
        <w:tc>
          <w:tcPr>
            <w:tcW w:w="964" w:type="dxa"/>
            <w:gridSpan w:val="2"/>
            <w:tcBorders>
              <w:top w:val="nil"/>
              <w:left w:val="nil"/>
              <w:bottom w:val="nil"/>
              <w:right w:val="nil"/>
            </w:tcBorders>
            <w:shd w:val="clear" w:color="auto" w:fill="FFFFFF"/>
            <w:vAlign w:val="bottom"/>
          </w:tcPr>
          <w:p w14:paraId="282362A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2,956</w:t>
            </w:r>
          </w:p>
        </w:tc>
        <w:tc>
          <w:tcPr>
            <w:tcW w:w="964" w:type="dxa"/>
            <w:gridSpan w:val="2"/>
            <w:tcBorders>
              <w:top w:val="nil"/>
              <w:left w:val="nil"/>
              <w:bottom w:val="nil"/>
              <w:right w:val="nil"/>
            </w:tcBorders>
            <w:shd w:val="clear" w:color="auto" w:fill="FFFFFF"/>
            <w:vAlign w:val="bottom"/>
          </w:tcPr>
          <w:p w14:paraId="708BAEC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39BCDE8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nil"/>
              <w:right w:val="nil"/>
            </w:tcBorders>
            <w:shd w:val="clear" w:color="auto" w:fill="FFFFFF"/>
            <w:vAlign w:val="bottom"/>
          </w:tcPr>
          <w:p w14:paraId="1DB20A4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6,410</w:t>
            </w:r>
          </w:p>
        </w:tc>
      </w:tr>
      <w:tr w:rsidR="002E375F" w14:paraId="47B97E41" w14:textId="77777777" w:rsidTr="00B55A2A">
        <w:trPr>
          <w:gridAfter w:val="1"/>
          <w:wAfter w:w="20" w:type="dxa"/>
        </w:trPr>
        <w:tc>
          <w:tcPr>
            <w:tcW w:w="4212" w:type="dxa"/>
            <w:tcBorders>
              <w:top w:val="nil"/>
              <w:left w:val="nil"/>
              <w:bottom w:val="nil"/>
              <w:right w:val="nil"/>
            </w:tcBorders>
            <w:shd w:val="clear" w:color="auto" w:fill="FFFFFF"/>
            <w:vAlign w:val="bottom"/>
          </w:tcPr>
          <w:p w14:paraId="5185966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Depreciation expense</w:t>
            </w:r>
          </w:p>
        </w:tc>
        <w:tc>
          <w:tcPr>
            <w:tcW w:w="964" w:type="dxa"/>
            <w:gridSpan w:val="2"/>
            <w:tcBorders>
              <w:top w:val="nil"/>
              <w:left w:val="nil"/>
              <w:bottom w:val="single" w:sz="2" w:space="0" w:color="auto"/>
              <w:right w:val="nil"/>
            </w:tcBorders>
            <w:shd w:val="clear" w:color="auto" w:fill="FFFFFF"/>
            <w:vAlign w:val="bottom"/>
          </w:tcPr>
          <w:p w14:paraId="0CE888F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single" w:sz="2" w:space="0" w:color="auto"/>
              <w:right w:val="nil"/>
            </w:tcBorders>
            <w:shd w:val="clear" w:color="auto" w:fill="FFFFFF"/>
            <w:vAlign w:val="bottom"/>
          </w:tcPr>
          <w:p w14:paraId="4FDA925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(4,671)</w:t>
            </w:r>
          </w:p>
        </w:tc>
        <w:tc>
          <w:tcPr>
            <w:tcW w:w="964" w:type="dxa"/>
            <w:gridSpan w:val="2"/>
            <w:tcBorders>
              <w:top w:val="nil"/>
              <w:left w:val="nil"/>
              <w:bottom w:val="single" w:sz="2" w:space="0" w:color="auto"/>
              <w:right w:val="nil"/>
            </w:tcBorders>
            <w:shd w:val="clear" w:color="auto" w:fill="FFFFFF"/>
            <w:vAlign w:val="bottom"/>
          </w:tcPr>
          <w:p w14:paraId="0F2CF91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(777)</w:t>
            </w:r>
          </w:p>
        </w:tc>
        <w:tc>
          <w:tcPr>
            <w:tcW w:w="964" w:type="dxa"/>
            <w:gridSpan w:val="2"/>
            <w:tcBorders>
              <w:top w:val="nil"/>
              <w:left w:val="nil"/>
              <w:bottom w:val="single" w:sz="2" w:space="0" w:color="auto"/>
              <w:right w:val="nil"/>
            </w:tcBorders>
            <w:shd w:val="clear" w:color="auto" w:fill="FFFFFF"/>
            <w:vAlign w:val="bottom"/>
          </w:tcPr>
          <w:p w14:paraId="4B5B8C0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gridSpan w:val="2"/>
            <w:tcBorders>
              <w:top w:val="nil"/>
              <w:left w:val="nil"/>
              <w:bottom w:val="single" w:sz="2" w:space="0" w:color="auto"/>
              <w:right w:val="nil"/>
            </w:tcBorders>
            <w:shd w:val="clear" w:color="auto" w:fill="FFFFFF"/>
            <w:vAlign w:val="bottom"/>
          </w:tcPr>
          <w:p w14:paraId="1218427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(5,448)</w:t>
            </w:r>
          </w:p>
        </w:tc>
      </w:tr>
      <w:tr w:rsidR="002E375F" w14:paraId="713AC89E" w14:textId="77777777" w:rsidTr="00B55A2A">
        <w:trPr>
          <w:gridAfter w:val="1"/>
          <w:wAfter w:w="20" w:type="dxa"/>
        </w:trPr>
        <w:tc>
          <w:tcPr>
            <w:tcW w:w="4212" w:type="dxa"/>
            <w:tcBorders>
              <w:top w:val="nil"/>
              <w:left w:val="nil"/>
              <w:bottom w:val="nil"/>
              <w:right w:val="nil"/>
            </w:tcBorders>
            <w:shd w:val="clear" w:color="auto" w:fill="FFFFFF"/>
            <w:vAlign w:val="bottom"/>
          </w:tcPr>
          <w:p w14:paraId="322D6CF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Carrying amount at 30 June 2020</w:t>
            </w:r>
          </w:p>
        </w:tc>
        <w:tc>
          <w:tcPr>
            <w:tcW w:w="964" w:type="dxa"/>
            <w:gridSpan w:val="2"/>
            <w:tcBorders>
              <w:top w:val="nil"/>
              <w:left w:val="nil"/>
              <w:bottom w:val="single" w:sz="2" w:space="0" w:color="auto"/>
              <w:right w:val="nil"/>
            </w:tcBorders>
            <w:shd w:val="clear" w:color="auto" w:fill="FFFFFF"/>
            <w:vAlign w:val="bottom"/>
          </w:tcPr>
          <w:p w14:paraId="13BA020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82,986</w:t>
            </w:r>
          </w:p>
        </w:tc>
        <w:tc>
          <w:tcPr>
            <w:tcW w:w="964" w:type="dxa"/>
            <w:gridSpan w:val="2"/>
            <w:tcBorders>
              <w:top w:val="nil"/>
              <w:left w:val="nil"/>
              <w:bottom w:val="single" w:sz="2" w:space="0" w:color="auto"/>
              <w:right w:val="nil"/>
            </w:tcBorders>
            <w:shd w:val="clear" w:color="auto" w:fill="FFFFFF"/>
            <w:vAlign w:val="bottom"/>
          </w:tcPr>
          <w:p w14:paraId="61ED305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189,745</w:t>
            </w:r>
          </w:p>
        </w:tc>
        <w:tc>
          <w:tcPr>
            <w:tcW w:w="964" w:type="dxa"/>
            <w:gridSpan w:val="2"/>
            <w:tcBorders>
              <w:top w:val="nil"/>
              <w:left w:val="nil"/>
              <w:bottom w:val="single" w:sz="2" w:space="0" w:color="auto"/>
              <w:right w:val="nil"/>
            </w:tcBorders>
            <w:shd w:val="clear" w:color="auto" w:fill="FFFFFF"/>
            <w:vAlign w:val="bottom"/>
          </w:tcPr>
          <w:p w14:paraId="636388D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2,017</w:t>
            </w:r>
          </w:p>
        </w:tc>
        <w:tc>
          <w:tcPr>
            <w:tcW w:w="964" w:type="dxa"/>
            <w:gridSpan w:val="2"/>
            <w:tcBorders>
              <w:top w:val="nil"/>
              <w:left w:val="nil"/>
              <w:bottom w:val="single" w:sz="2" w:space="0" w:color="auto"/>
              <w:right w:val="nil"/>
            </w:tcBorders>
            <w:shd w:val="clear" w:color="auto" w:fill="FFFFFF"/>
            <w:vAlign w:val="bottom"/>
          </w:tcPr>
          <w:p w14:paraId="7C856BC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9,177</w:t>
            </w:r>
          </w:p>
        </w:tc>
        <w:tc>
          <w:tcPr>
            <w:tcW w:w="964" w:type="dxa"/>
            <w:gridSpan w:val="2"/>
            <w:tcBorders>
              <w:top w:val="nil"/>
              <w:left w:val="nil"/>
              <w:bottom w:val="single" w:sz="2" w:space="0" w:color="auto"/>
              <w:right w:val="nil"/>
            </w:tcBorders>
            <w:shd w:val="clear" w:color="auto" w:fill="FFFFFF"/>
            <w:vAlign w:val="bottom"/>
          </w:tcPr>
          <w:p w14:paraId="2584C30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283,925</w:t>
            </w:r>
          </w:p>
        </w:tc>
      </w:tr>
    </w:tbl>
    <w:p w14:paraId="772F56DF" w14:textId="77777777" w:rsidR="002E375F" w:rsidRDefault="004212EA" w:rsidP="00862FE1">
      <w:pPr>
        <w:pStyle w:val="Heading3"/>
        <w:spacing w:before="240"/>
        <w:rPr>
          <w:rFonts w:ascii="Times New Roman" w:hAnsi="Times New Roman" w:cs="Times New Roman"/>
        </w:rPr>
      </w:pPr>
      <w:r>
        <w:t>C4-2 Recognition and Acquisition</w:t>
      </w:r>
    </w:p>
    <w:p w14:paraId="6E24A46B" w14:textId="77777777" w:rsidR="002E375F" w:rsidRPr="00E116EC" w:rsidRDefault="00EB2569" w:rsidP="00E116EC">
      <w:pPr>
        <w:pStyle w:val="Heading3"/>
        <w:rPr>
          <w:sz w:val="18"/>
          <w:szCs w:val="18"/>
        </w:rPr>
      </w:pPr>
      <w:r w:rsidRPr="00E116EC">
        <w:rPr>
          <w:sz w:val="18"/>
          <w:szCs w:val="18"/>
        </w:rPr>
        <w:t>Accounting Policy - Recognition</w:t>
      </w:r>
    </w:p>
    <w:p w14:paraId="0EC47D02" w14:textId="77777777" w:rsidR="002E375F" w:rsidRPr="00E116EC" w:rsidRDefault="00EB2569" w:rsidP="00E116EC">
      <w:pPr>
        <w:pStyle w:val="Heading3"/>
        <w:rPr>
          <w:sz w:val="18"/>
          <w:szCs w:val="18"/>
        </w:rPr>
      </w:pPr>
      <w:r w:rsidRPr="00E116EC">
        <w:rPr>
          <w:sz w:val="18"/>
          <w:szCs w:val="18"/>
        </w:rPr>
        <w:t>Basis of Capitalisation and Recognition Thresholds</w:t>
      </w:r>
    </w:p>
    <w:p w14:paraId="22FC6B01" w14:textId="77777777" w:rsidR="002E375F" w:rsidRDefault="00EB2569" w:rsidP="00D16D72">
      <w:pPr>
        <w:autoSpaceDE w:val="0"/>
        <w:autoSpaceDN w:val="0"/>
        <w:adjustRightInd w:val="0"/>
        <w:spacing w:after="141" w:line="240" w:lineRule="auto"/>
        <w:rPr>
          <w:rFonts w:ascii="Arial" w:hAnsi="Arial" w:cs="Arial"/>
          <w:sz w:val="18"/>
          <w:szCs w:val="18"/>
        </w:rPr>
      </w:pPr>
      <w:r>
        <w:rPr>
          <w:rFonts w:ascii="Arial" w:hAnsi="Arial" w:cs="Arial"/>
          <w:sz w:val="18"/>
          <w:szCs w:val="18"/>
        </w:rPr>
        <w:t>Items of property, plant and equipment with a historical cost or other value equal to or in excess of the following thresholds are recognised as assets for financial reporting purposes in the year of acquisition:</w:t>
      </w:r>
    </w:p>
    <w:p w14:paraId="48A1BE75" w14:textId="77777777" w:rsidR="004212EA" w:rsidRPr="004212EA" w:rsidRDefault="004212EA" w:rsidP="00D16D72">
      <w:pPr>
        <w:pStyle w:val="ListParagraph"/>
        <w:numPr>
          <w:ilvl w:val="0"/>
          <w:numId w:val="7"/>
        </w:numPr>
        <w:autoSpaceDE w:val="0"/>
        <w:autoSpaceDN w:val="0"/>
        <w:adjustRightInd w:val="0"/>
        <w:spacing w:after="141" w:line="240" w:lineRule="auto"/>
        <w:rPr>
          <w:rFonts w:ascii="Arial" w:hAnsi="Arial" w:cs="Arial"/>
          <w:sz w:val="18"/>
          <w:szCs w:val="18"/>
        </w:rPr>
      </w:pPr>
      <w:r w:rsidRPr="004212EA">
        <w:rPr>
          <w:rFonts w:ascii="Arial" w:hAnsi="Arial" w:cs="Arial"/>
          <w:sz w:val="18"/>
          <w:szCs w:val="18"/>
        </w:rPr>
        <w:t>Buildings (including land improvements) $10,000</w:t>
      </w:r>
    </w:p>
    <w:p w14:paraId="00147815" w14:textId="77777777" w:rsidR="004212EA" w:rsidRPr="004212EA" w:rsidRDefault="004212EA" w:rsidP="00D16D72">
      <w:pPr>
        <w:pStyle w:val="ListParagraph"/>
        <w:numPr>
          <w:ilvl w:val="0"/>
          <w:numId w:val="7"/>
        </w:numPr>
        <w:autoSpaceDE w:val="0"/>
        <w:autoSpaceDN w:val="0"/>
        <w:adjustRightInd w:val="0"/>
        <w:spacing w:after="141" w:line="240" w:lineRule="auto"/>
        <w:rPr>
          <w:rFonts w:ascii="Arial" w:hAnsi="Arial" w:cs="Arial"/>
          <w:sz w:val="18"/>
          <w:szCs w:val="18"/>
        </w:rPr>
      </w:pPr>
      <w:r w:rsidRPr="004212EA">
        <w:rPr>
          <w:rFonts w:ascii="Arial" w:hAnsi="Arial" w:cs="Arial"/>
          <w:sz w:val="18"/>
          <w:szCs w:val="18"/>
        </w:rPr>
        <w:t>Land $1</w:t>
      </w:r>
    </w:p>
    <w:p w14:paraId="2C4F6E7C" w14:textId="77777777" w:rsidR="004212EA" w:rsidRPr="004212EA" w:rsidRDefault="004212EA" w:rsidP="00D16D72">
      <w:pPr>
        <w:pStyle w:val="ListParagraph"/>
        <w:numPr>
          <w:ilvl w:val="0"/>
          <w:numId w:val="7"/>
        </w:numPr>
        <w:autoSpaceDE w:val="0"/>
        <w:autoSpaceDN w:val="0"/>
        <w:adjustRightInd w:val="0"/>
        <w:spacing w:after="141" w:line="240" w:lineRule="auto"/>
        <w:rPr>
          <w:rFonts w:ascii="Arial" w:hAnsi="Arial" w:cs="Arial"/>
          <w:sz w:val="18"/>
          <w:szCs w:val="18"/>
        </w:rPr>
      </w:pPr>
      <w:r w:rsidRPr="004212EA">
        <w:rPr>
          <w:rFonts w:ascii="Arial" w:hAnsi="Arial" w:cs="Arial"/>
          <w:sz w:val="18"/>
          <w:szCs w:val="18"/>
        </w:rPr>
        <w:t>Plant and equipment $5,000</w:t>
      </w:r>
    </w:p>
    <w:p w14:paraId="7E4E4F01"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Items with a lesser value are expensed in the year of acquisition.</w:t>
      </w:r>
    </w:p>
    <w:p w14:paraId="1D39DD8A"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Expenditure on property, plant and equipment is capitalised where it is probable that it will increase the service potential or useful life of the existing asset. Maintenance expenditure that merely restores original service potential (lost through ordinary wear and tear) is expensed.</w:t>
      </w:r>
    </w:p>
    <w:p w14:paraId="4FF4BA7E"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Separately identified components of assets are measured on the same basis as the assets to which they relate.</w:t>
      </w:r>
    </w:p>
    <w:p w14:paraId="7AA358EC" w14:textId="77777777" w:rsidR="002E375F" w:rsidRDefault="002E375F" w:rsidP="00D16D72">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67975E2D"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3504DBB6"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166D9628"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0526497D"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28DDE26E" w14:textId="77777777" w:rsidR="004212EA" w:rsidRPr="00255F08" w:rsidRDefault="004212EA" w:rsidP="00255F08">
      <w:pPr>
        <w:pStyle w:val="Heading3"/>
      </w:pPr>
      <w:r w:rsidRPr="00255F08">
        <w:t>C4 Property, Plant and Equipment (continued)</w:t>
      </w:r>
    </w:p>
    <w:p w14:paraId="63445B45" w14:textId="77777777" w:rsidR="004212EA" w:rsidRPr="00255F08" w:rsidRDefault="004212EA" w:rsidP="00255F08">
      <w:pPr>
        <w:pStyle w:val="Heading3"/>
      </w:pPr>
      <w:r w:rsidRPr="00255F08">
        <w:t>C4-2 Recognition and Acquisition (continued)</w:t>
      </w:r>
    </w:p>
    <w:p w14:paraId="506E4094" w14:textId="77777777" w:rsidR="002E375F" w:rsidRPr="00E116EC" w:rsidRDefault="00EB2569" w:rsidP="00E116EC">
      <w:pPr>
        <w:pStyle w:val="Heading3"/>
        <w:rPr>
          <w:sz w:val="18"/>
          <w:szCs w:val="18"/>
        </w:rPr>
      </w:pPr>
      <w:r w:rsidRPr="00E116EC">
        <w:rPr>
          <w:sz w:val="18"/>
          <w:szCs w:val="18"/>
        </w:rPr>
        <w:t>Accounting Policy - Cost of Acquisition</w:t>
      </w:r>
    </w:p>
    <w:p w14:paraId="30B057CA"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Historical cost is used for the initial recording of all property, plant and equipment acquisitions. Historical cost is determined as the value given as consideration and costs incidental to the acquisition (such as architect's fees and engineering design fees), plus all other costs incurred in getting the assets ready for use.</w:t>
      </w:r>
    </w:p>
    <w:p w14:paraId="7824BB0B" w14:textId="77777777" w:rsidR="002E375F" w:rsidRDefault="00EB2569" w:rsidP="00D16D72">
      <w:pPr>
        <w:autoSpaceDE w:val="0"/>
        <w:autoSpaceDN w:val="0"/>
        <w:adjustRightInd w:val="0"/>
        <w:spacing w:after="141" w:line="240" w:lineRule="auto"/>
        <w:rPr>
          <w:rFonts w:ascii="Arial" w:hAnsi="Arial" w:cs="Arial"/>
          <w:sz w:val="18"/>
          <w:szCs w:val="18"/>
        </w:rPr>
      </w:pPr>
      <w:r>
        <w:rPr>
          <w:rFonts w:ascii="Arial" w:hAnsi="Arial" w:cs="Arial"/>
          <w:sz w:val="18"/>
          <w:szCs w:val="18"/>
        </w:rPr>
        <w:t>Where assets are received free of charge from another State Government entity, whether as a result of a Machinery-of-Government change, or other involuntary transfer, the acquisition is recognised as the carrying amount in the books of the other entity immediately prior to the transfer.</w:t>
      </w:r>
    </w:p>
    <w:p w14:paraId="34288CF5" w14:textId="77777777" w:rsidR="004212EA" w:rsidRDefault="004212EA" w:rsidP="004212EA">
      <w:pPr>
        <w:pStyle w:val="Heading3"/>
        <w:rPr>
          <w:rFonts w:ascii="Times New Roman" w:hAnsi="Times New Roman" w:cs="Times New Roman"/>
        </w:rPr>
      </w:pPr>
      <w:r>
        <w:t>C4-3 Measurement Using Historical Cost</w:t>
      </w:r>
    </w:p>
    <w:p w14:paraId="12B46581" w14:textId="77777777" w:rsidR="002E375F" w:rsidRPr="00E116EC" w:rsidRDefault="00EB2569" w:rsidP="00E116EC">
      <w:pPr>
        <w:pStyle w:val="Heading3"/>
        <w:rPr>
          <w:sz w:val="18"/>
          <w:szCs w:val="18"/>
        </w:rPr>
      </w:pPr>
      <w:r w:rsidRPr="00E116EC">
        <w:rPr>
          <w:sz w:val="18"/>
          <w:szCs w:val="18"/>
        </w:rPr>
        <w:t>Accounting Policy</w:t>
      </w:r>
    </w:p>
    <w:p w14:paraId="2DA6B8D1" w14:textId="77777777" w:rsidR="002E375F" w:rsidRDefault="00EB2569" w:rsidP="00D16D72">
      <w:pPr>
        <w:autoSpaceDE w:val="0"/>
        <w:autoSpaceDN w:val="0"/>
        <w:adjustRightInd w:val="0"/>
        <w:spacing w:after="141" w:line="240" w:lineRule="auto"/>
        <w:rPr>
          <w:rFonts w:ascii="Arial" w:hAnsi="Arial" w:cs="Arial"/>
          <w:sz w:val="18"/>
          <w:szCs w:val="18"/>
        </w:rPr>
      </w:pPr>
      <w:r>
        <w:rPr>
          <w:rFonts w:ascii="Arial" w:hAnsi="Arial" w:cs="Arial"/>
          <w:sz w:val="18"/>
          <w:szCs w:val="18"/>
        </w:rPr>
        <w:t>Plant and equipment is measured at historical cost in accordance with the Queensland Treasury’s Non-Current Asset Policies (NCAP) for the Queensland Public Sector. The carrying amounts for such plant and equipment is not materially different from their fair value.</w:t>
      </w:r>
    </w:p>
    <w:p w14:paraId="700CF12E" w14:textId="77777777" w:rsidR="004212EA" w:rsidRDefault="004212EA" w:rsidP="004212EA">
      <w:pPr>
        <w:pStyle w:val="Heading3"/>
        <w:rPr>
          <w:rFonts w:ascii="Times New Roman" w:hAnsi="Times New Roman" w:cs="Times New Roman"/>
        </w:rPr>
      </w:pPr>
      <w:r>
        <w:t>C4-4 Measurement Using Fair Value</w:t>
      </w:r>
    </w:p>
    <w:p w14:paraId="3B8D67F3" w14:textId="77777777" w:rsidR="002E375F" w:rsidRPr="00E116EC" w:rsidRDefault="00EB2569" w:rsidP="00E116EC">
      <w:pPr>
        <w:pStyle w:val="Heading3"/>
        <w:rPr>
          <w:sz w:val="18"/>
          <w:szCs w:val="18"/>
        </w:rPr>
      </w:pPr>
      <w:r w:rsidRPr="00E116EC">
        <w:rPr>
          <w:sz w:val="18"/>
          <w:szCs w:val="18"/>
        </w:rPr>
        <w:t>Accounting Policy</w:t>
      </w:r>
    </w:p>
    <w:p w14:paraId="3AD9A108"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Land and buildings are measured at fair value as required by Queensland Treasury's NCAP for the Queensland Public Sector. These assets are reported at their revalued amounts, being the fair value at the date of valuation, less any subsequent accumulated depreciation and impairment losses where applicable (refer to Note C4-1).</w:t>
      </w:r>
    </w:p>
    <w:p w14:paraId="4A037BE2"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cost of items acquired during the financial year have been judged by management to materially represent their fair value at the end of the reporting period.</w:t>
      </w:r>
    </w:p>
    <w:p w14:paraId="02B46DFD"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Land and buildings are revalued on an annual basis either by appraisals undertaken by an independent professional valuer or by the use of appropriate and relevant indices.</w:t>
      </w:r>
    </w:p>
    <w:p w14:paraId="5EEC3110" w14:textId="77777777" w:rsidR="002E375F" w:rsidRPr="00E116EC" w:rsidRDefault="00EB2569" w:rsidP="00E116EC">
      <w:pPr>
        <w:pStyle w:val="Heading3"/>
        <w:rPr>
          <w:sz w:val="18"/>
          <w:szCs w:val="18"/>
        </w:rPr>
      </w:pPr>
      <w:r w:rsidRPr="00E116EC">
        <w:rPr>
          <w:sz w:val="18"/>
          <w:szCs w:val="18"/>
        </w:rPr>
        <w:t>Use of Specific Appraisals</w:t>
      </w:r>
    </w:p>
    <w:p w14:paraId="26232ED3"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Revaluations using independent professional valuers are undertaken at least once every five years. The department’s land and buildings were comprehensively revalued by independent professional valuers, APV Valuers &amp; Asset Management (APV) </w:t>
      </w:r>
      <w:proofErr w:type="gramStart"/>
      <w:r>
        <w:rPr>
          <w:rFonts w:ascii="Arial" w:hAnsi="Arial" w:cs="Arial"/>
          <w:sz w:val="18"/>
          <w:szCs w:val="18"/>
        </w:rPr>
        <w:t>valuers</w:t>
      </w:r>
      <w:proofErr w:type="gramEnd"/>
      <w:r>
        <w:rPr>
          <w:rFonts w:ascii="Arial" w:hAnsi="Arial" w:cs="Arial"/>
          <w:sz w:val="18"/>
          <w:szCs w:val="18"/>
        </w:rPr>
        <w:t xml:space="preserve"> certificates 2962 and 4079, in the current financial year. Indexations sourced from APV have been applied to these assets in the previous reporting period. The effective date of the comprehensive valuation is 29 February 2020. Management have confirmed there has been no significant shift in the values since then.</w:t>
      </w:r>
    </w:p>
    <w:p w14:paraId="2EC8105F"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Revaluations using independent professional valuers are undertaken annually. However, if a particular asset class experiences significant and volatile changes in fair value, the class is subject to specific appraisal in the reporting period, where practicable, regardless of the timing of the last specific appraisal.</w:t>
      </w:r>
    </w:p>
    <w:p w14:paraId="4C28DD6F"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fair values reported by the department are based on appropriate valuation techniques that maximise the use of available and relevant observable inputs and minimise the use of unobservable inputs. Materiality is considered in determining whether the difference between the carrying amount and the fair value of an asset is material (in which case revaluation is warranted).</w:t>
      </w:r>
    </w:p>
    <w:p w14:paraId="56C3CBC2" w14:textId="77777777" w:rsidR="002E375F" w:rsidRDefault="002E375F" w:rsidP="00D16D72">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306CA28D" w14:textId="77777777" w:rsidR="002E375F" w:rsidRDefault="00EB2569" w:rsidP="008571E3">
      <w:pPr>
        <w:pStyle w:val="Heading2"/>
        <w:rPr>
          <w:rFonts w:ascii="Times New Roman" w:hAnsi="Times New Roman" w:cs="Times New Roman"/>
          <w:sz w:val="24"/>
          <w:szCs w:val="24"/>
        </w:rPr>
      </w:pPr>
      <w:r>
        <w:lastRenderedPageBreak/>
        <w:t>Department of Communities, Disability Services and Seniors</w:t>
      </w:r>
    </w:p>
    <w:p w14:paraId="52A4C33A" w14:textId="77777777" w:rsidR="002E375F" w:rsidRDefault="00EB2569" w:rsidP="008571E3">
      <w:pPr>
        <w:pStyle w:val="Heading2"/>
        <w:rPr>
          <w:rFonts w:ascii="Times New Roman" w:hAnsi="Times New Roman" w:cs="Times New Roman"/>
          <w:sz w:val="24"/>
          <w:szCs w:val="24"/>
        </w:rPr>
      </w:pPr>
      <w:r>
        <w:t>Notes to the Financial Statements</w:t>
      </w:r>
    </w:p>
    <w:p w14:paraId="15E27744" w14:textId="77777777" w:rsidR="002E375F" w:rsidRDefault="00EB2569" w:rsidP="008571E3">
      <w:pPr>
        <w:pStyle w:val="Heading2"/>
        <w:rPr>
          <w:rFonts w:ascii="Times New Roman" w:hAnsi="Times New Roman" w:cs="Times New Roman"/>
          <w:sz w:val="24"/>
          <w:szCs w:val="24"/>
        </w:rPr>
      </w:pPr>
      <w:r>
        <w:t>for the year ended 30 June 2020</w:t>
      </w:r>
    </w:p>
    <w:p w14:paraId="2C063476"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051754A8" w14:textId="77777777" w:rsidR="002E375F" w:rsidRDefault="004212EA" w:rsidP="004212EA">
      <w:pPr>
        <w:pStyle w:val="Heading3"/>
      </w:pPr>
      <w:r>
        <w:t>C4 Property, Plant and Equipment (continued)</w:t>
      </w:r>
    </w:p>
    <w:p w14:paraId="6B1776F0" w14:textId="77777777" w:rsidR="004212EA" w:rsidRDefault="004212EA" w:rsidP="004212EA">
      <w:pPr>
        <w:pStyle w:val="Heading3"/>
        <w:rPr>
          <w:rFonts w:ascii="Times New Roman" w:hAnsi="Times New Roman" w:cs="Times New Roman"/>
        </w:rPr>
      </w:pPr>
      <w:r>
        <w:t>C4-4 Measurement Using Fair Value (continued)</w:t>
      </w:r>
    </w:p>
    <w:p w14:paraId="7E3AC115" w14:textId="77777777" w:rsidR="002E375F" w:rsidRPr="00E116EC" w:rsidRDefault="00EB2569" w:rsidP="00E116EC">
      <w:pPr>
        <w:pStyle w:val="Heading3"/>
        <w:rPr>
          <w:sz w:val="18"/>
          <w:szCs w:val="18"/>
        </w:rPr>
      </w:pPr>
      <w:r w:rsidRPr="00E116EC">
        <w:rPr>
          <w:sz w:val="18"/>
          <w:szCs w:val="18"/>
        </w:rPr>
        <w:t>Use of Indices</w:t>
      </w:r>
    </w:p>
    <w:p w14:paraId="2F0E320C"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Where assets have not been specifically appraised in the reporting period, their previous valuations are materially kept up-to-date via the application of relevant indices. APV performed the revaluation of the department's land and buildings in 2018-19, with indices sourced from APV being applied to these assets (refer to Note C4-7</w:t>
      </w:r>
      <w:r w:rsidR="006626B2">
        <w:rPr>
          <w:rFonts w:ascii="Arial" w:hAnsi="Arial" w:cs="Arial"/>
          <w:sz w:val="18"/>
          <w:szCs w:val="18"/>
        </w:rPr>
        <w:t>)</w:t>
      </w:r>
      <w:r>
        <w:rPr>
          <w:rFonts w:ascii="Arial" w:hAnsi="Arial" w:cs="Arial"/>
          <w:sz w:val="18"/>
          <w:szCs w:val="18"/>
        </w:rPr>
        <w:t>.</w:t>
      </w:r>
    </w:p>
    <w:p w14:paraId="4EA2D418"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APV supplies the indices and provides assurance of their robustness, validity and appropriateness for application to the relevant assets. Management assesses and confirms the relevance and suitability of indices provided by APV based on the department's own particular circumstances.</w:t>
      </w:r>
    </w:p>
    <w:p w14:paraId="57AF7F79" w14:textId="77777777" w:rsidR="002E375F" w:rsidRPr="00E116EC" w:rsidRDefault="00EB2569" w:rsidP="00E116EC">
      <w:pPr>
        <w:pStyle w:val="Heading3"/>
        <w:rPr>
          <w:sz w:val="18"/>
          <w:szCs w:val="18"/>
        </w:rPr>
      </w:pPr>
      <w:r w:rsidRPr="00E116EC">
        <w:rPr>
          <w:sz w:val="18"/>
          <w:szCs w:val="18"/>
        </w:rPr>
        <w:t>Accounting for Changes in Fair Value</w:t>
      </w:r>
    </w:p>
    <w:p w14:paraId="02BA2E3C"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Any revaluation increment arising on the revaluation of an asset is credited to the asset revaluation surplus of the appropriate class, except to the extent it reverses a revaluation decrement for the class previously recognised as an expense. A decrease in the carrying amount of an asset on revaluation is charged as an expense, to the extent it exceeds the balance if any, in the revaluation surplus relating to the asset class.</w:t>
      </w:r>
    </w:p>
    <w:p w14:paraId="3B8C6F24"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 depleted its asset revaluation reserve in the 2011-12 financial year and a $201.000M revaluation decrement was recognised. The decrement was due to the revaluation of rental housing stock at fair value prior to the asset transfer to the Department of Housing and Public Works. The fair value of the housing stock was significantly lower than the book value due to economic factors impacting on the property market at that time.</w:t>
      </w:r>
    </w:p>
    <w:p w14:paraId="15908C87"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In accordance with Australian Accounting Standards, the revaluation increment on the department’s land and buildings in 2019-20 has been recognised as revenue in the Income Statement, as a reversal of the revaluation decrement.</w:t>
      </w:r>
    </w:p>
    <w:p w14:paraId="656BD65B" w14:textId="77777777" w:rsidR="002E375F" w:rsidRDefault="00EB2569" w:rsidP="00D16D72">
      <w:pPr>
        <w:autoSpaceDE w:val="0"/>
        <w:autoSpaceDN w:val="0"/>
        <w:adjustRightInd w:val="0"/>
        <w:spacing w:after="141" w:line="240" w:lineRule="auto"/>
        <w:rPr>
          <w:rFonts w:ascii="Arial" w:hAnsi="Arial" w:cs="Arial"/>
          <w:sz w:val="18"/>
          <w:szCs w:val="18"/>
        </w:rPr>
      </w:pPr>
      <w:r>
        <w:rPr>
          <w:rFonts w:ascii="Arial" w:hAnsi="Arial" w:cs="Arial"/>
          <w:sz w:val="18"/>
          <w:szCs w:val="18"/>
        </w:rPr>
        <w:t>As at 30 June 2020, the carrying amount of the asset revaluation decrements were $71.331M (2018-19: $74.786M) for land and $76.367M (2018-19: $79.322M) for buildings.</w:t>
      </w:r>
    </w:p>
    <w:p w14:paraId="750B4D8D" w14:textId="77777777" w:rsidR="004212EA" w:rsidRDefault="004212EA" w:rsidP="004212EA">
      <w:pPr>
        <w:pStyle w:val="Heading3"/>
        <w:rPr>
          <w:rFonts w:ascii="Times New Roman" w:hAnsi="Times New Roman" w:cs="Times New Roman"/>
        </w:rPr>
      </w:pPr>
      <w:r>
        <w:t>C4-5 Depreciation Expense</w:t>
      </w:r>
    </w:p>
    <w:p w14:paraId="4DAB1B06" w14:textId="77777777" w:rsidR="002E375F" w:rsidRPr="00E116EC" w:rsidRDefault="00EB2569" w:rsidP="00E116EC">
      <w:pPr>
        <w:pStyle w:val="Heading3"/>
        <w:rPr>
          <w:sz w:val="18"/>
          <w:szCs w:val="18"/>
        </w:rPr>
      </w:pPr>
      <w:r w:rsidRPr="00E116EC">
        <w:rPr>
          <w:sz w:val="18"/>
          <w:szCs w:val="18"/>
        </w:rPr>
        <w:t>Accounting Policy</w:t>
      </w:r>
    </w:p>
    <w:p w14:paraId="38389850"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Property, plant and equipment is depreciated on a straight-line basis so as to allocate the net cost or revalued amount of each asset, less any estimated residual value, progressively over its estimated useful life to the department. The remaining useful lives of buildings, plant and equipment are reviewed annually.</w:t>
      </w:r>
    </w:p>
    <w:p w14:paraId="6E37F473"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Land is not depreciated as it has an unlimited useful life.</w:t>
      </w:r>
    </w:p>
    <w:p w14:paraId="73A9D33D"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Straight line depreciation is used as that is consistent with the even consumption of service potential of these assets over their useful life to the department.</w:t>
      </w:r>
    </w:p>
    <w:p w14:paraId="5519C7EA"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Assets under construction (work-in-progress) are not depreciated until construction is complete and the asset is put to use or is ready for its intended use, whichever is the earlier. These assets are then reclassified to the relevant class within property, plant and equipment.</w:t>
      </w:r>
    </w:p>
    <w:p w14:paraId="5917467B"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depreciable amount of improvements to or on leasehold land is allocated progressively over the estimated useful lives of the improvements or the unexpired period of the lease, whichever is the shorter. The unexpired period of a lease includes any option period where exercise of the option is probable.</w:t>
      </w:r>
    </w:p>
    <w:p w14:paraId="6CF7BACB"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For the department's depreciable assets, the estimated amount to be received on the disposal at the end of their useful life (residual value) is determined to be zero.</w:t>
      </w:r>
    </w:p>
    <w:p w14:paraId="76C5DCFA" w14:textId="77777777" w:rsidR="002E375F" w:rsidRDefault="002E375F" w:rsidP="00D16D72">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1FBB5DEE"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720F37B8"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4CD979E4"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4E25F6F8"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21806B73" w14:textId="77777777" w:rsidR="004212EA" w:rsidRDefault="004212EA" w:rsidP="004212EA">
      <w:pPr>
        <w:pStyle w:val="Heading3"/>
        <w:rPr>
          <w:rFonts w:ascii="Times New Roman" w:hAnsi="Times New Roman" w:cs="Times New Roman"/>
        </w:rPr>
      </w:pPr>
      <w:r>
        <w:t>C4 Property, Plant and Equipment (continued)</w:t>
      </w:r>
    </w:p>
    <w:p w14:paraId="56A6EF12" w14:textId="77777777" w:rsidR="004212EA" w:rsidRDefault="004212EA" w:rsidP="00E116EC">
      <w:pPr>
        <w:pStyle w:val="Heading3"/>
        <w:rPr>
          <w:sz w:val="18"/>
          <w:szCs w:val="18"/>
        </w:rPr>
      </w:pPr>
      <w:r>
        <w:rPr>
          <w:sz w:val="18"/>
          <w:szCs w:val="18"/>
        </w:rPr>
        <w:t>C4-5 Depreciation Expense (continued)</w:t>
      </w:r>
    </w:p>
    <w:p w14:paraId="5D2E6CA4" w14:textId="77777777" w:rsidR="002E375F" w:rsidRPr="00E116EC" w:rsidRDefault="00EB2569" w:rsidP="00E116EC">
      <w:pPr>
        <w:pStyle w:val="Heading3"/>
        <w:rPr>
          <w:sz w:val="18"/>
          <w:szCs w:val="18"/>
        </w:rPr>
      </w:pPr>
      <w:r w:rsidRPr="00E116EC">
        <w:rPr>
          <w:sz w:val="18"/>
          <w:szCs w:val="18"/>
        </w:rPr>
        <w:t>Depreciation Rates</w:t>
      </w:r>
    </w:p>
    <w:p w14:paraId="590AA705" w14:textId="77777777" w:rsidR="002E375F" w:rsidRDefault="00EB2569" w:rsidP="00862FE1">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Key Estimates: Depreciation rates for each class of depreciable asset (including significant identifiable components):</w:t>
      </w:r>
    </w:p>
    <w:tbl>
      <w:tblPr>
        <w:tblW w:w="8466" w:type="dxa"/>
        <w:tblLayout w:type="fixed"/>
        <w:tblCellMar>
          <w:left w:w="0" w:type="dxa"/>
          <w:right w:w="0" w:type="dxa"/>
        </w:tblCellMar>
        <w:tblLook w:val="0000" w:firstRow="0" w:lastRow="0" w:firstColumn="0" w:lastColumn="0" w:noHBand="0" w:noVBand="0"/>
      </w:tblPr>
      <w:tblGrid>
        <w:gridCol w:w="2794"/>
        <w:gridCol w:w="2836"/>
        <w:gridCol w:w="2836"/>
      </w:tblGrid>
      <w:tr w:rsidR="00E46D04" w14:paraId="32F7C03F" w14:textId="77777777" w:rsidTr="00862FE1">
        <w:tc>
          <w:tcPr>
            <w:tcW w:w="2794" w:type="dxa"/>
            <w:tcBorders>
              <w:top w:val="nil"/>
              <w:left w:val="nil"/>
              <w:bottom w:val="nil"/>
              <w:right w:val="nil"/>
            </w:tcBorders>
            <w:shd w:val="clear" w:color="auto" w:fill="FFFFFF"/>
            <w:vAlign w:val="bottom"/>
          </w:tcPr>
          <w:p w14:paraId="08B643AF" w14:textId="77777777" w:rsidR="00E46D04" w:rsidRDefault="00E46D04" w:rsidP="001C442D">
            <w:pPr>
              <w:pStyle w:val="Heading3"/>
            </w:pPr>
            <w:r>
              <w:rPr>
                <w:rFonts w:ascii="Arial" w:hAnsi="Arial" w:cs="Arial"/>
                <w:b/>
                <w:bCs/>
                <w:sz w:val="18"/>
                <w:szCs w:val="18"/>
              </w:rPr>
              <w:t>Asset</w:t>
            </w:r>
          </w:p>
        </w:tc>
        <w:tc>
          <w:tcPr>
            <w:tcW w:w="2836" w:type="dxa"/>
            <w:tcBorders>
              <w:top w:val="nil"/>
              <w:left w:val="nil"/>
              <w:bottom w:val="nil"/>
              <w:right w:val="nil"/>
            </w:tcBorders>
            <w:shd w:val="clear" w:color="auto" w:fill="FFFFFF"/>
            <w:vAlign w:val="bottom"/>
          </w:tcPr>
          <w:p w14:paraId="534F5462" w14:textId="77777777" w:rsidR="00E46D04" w:rsidRDefault="00E46D04" w:rsidP="00862FE1">
            <w:pPr>
              <w:pStyle w:val="Heading3"/>
              <w:jc w:val="right"/>
            </w:pPr>
            <w:r>
              <w:rPr>
                <w:rFonts w:ascii="Arial" w:hAnsi="Arial" w:cs="Arial"/>
                <w:b/>
                <w:bCs/>
                <w:sz w:val="18"/>
                <w:szCs w:val="18"/>
              </w:rPr>
              <w:t>Range of Useful Life</w:t>
            </w:r>
          </w:p>
        </w:tc>
        <w:tc>
          <w:tcPr>
            <w:tcW w:w="2836" w:type="dxa"/>
            <w:tcBorders>
              <w:top w:val="nil"/>
              <w:left w:val="nil"/>
              <w:bottom w:val="nil"/>
              <w:right w:val="nil"/>
            </w:tcBorders>
            <w:shd w:val="clear" w:color="auto" w:fill="FFFFFF"/>
            <w:vAlign w:val="bottom"/>
          </w:tcPr>
          <w:p w14:paraId="25651C34" w14:textId="77777777" w:rsidR="00E46D04" w:rsidRDefault="00E46D04" w:rsidP="00862FE1">
            <w:pPr>
              <w:pStyle w:val="Heading3"/>
              <w:jc w:val="right"/>
            </w:pPr>
            <w:r>
              <w:rPr>
                <w:rFonts w:ascii="Arial" w:hAnsi="Arial" w:cs="Arial"/>
                <w:b/>
                <w:bCs/>
                <w:sz w:val="18"/>
                <w:szCs w:val="18"/>
              </w:rPr>
              <w:t>Average Useful Life</w:t>
            </w:r>
          </w:p>
        </w:tc>
      </w:tr>
      <w:tr w:rsidR="00E46D04" w14:paraId="3C47DF30" w14:textId="77777777" w:rsidTr="00862FE1">
        <w:tc>
          <w:tcPr>
            <w:tcW w:w="2794" w:type="dxa"/>
            <w:tcBorders>
              <w:top w:val="nil"/>
              <w:left w:val="nil"/>
              <w:bottom w:val="nil"/>
              <w:right w:val="nil"/>
            </w:tcBorders>
            <w:shd w:val="clear" w:color="auto" w:fill="FFFFFF"/>
            <w:vAlign w:val="bottom"/>
          </w:tcPr>
          <w:p w14:paraId="6597040E" w14:textId="77777777" w:rsidR="00E46D04" w:rsidRDefault="00E46D04">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Buildings</w:t>
            </w:r>
          </w:p>
        </w:tc>
        <w:tc>
          <w:tcPr>
            <w:tcW w:w="2836" w:type="dxa"/>
            <w:tcBorders>
              <w:top w:val="nil"/>
              <w:left w:val="nil"/>
              <w:bottom w:val="nil"/>
              <w:right w:val="nil"/>
            </w:tcBorders>
            <w:shd w:val="clear" w:color="auto" w:fill="FFFFFF"/>
            <w:vAlign w:val="bottom"/>
          </w:tcPr>
          <w:p w14:paraId="6D837EC0" w14:textId="77777777" w:rsidR="00E46D04" w:rsidRDefault="00E46D04" w:rsidP="00862FE1">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7 - 120 years</w:t>
            </w:r>
          </w:p>
        </w:tc>
        <w:tc>
          <w:tcPr>
            <w:tcW w:w="2836" w:type="dxa"/>
            <w:tcBorders>
              <w:top w:val="nil"/>
              <w:left w:val="nil"/>
              <w:bottom w:val="nil"/>
              <w:right w:val="nil"/>
            </w:tcBorders>
            <w:shd w:val="clear" w:color="auto" w:fill="FFFFFF"/>
            <w:vAlign w:val="bottom"/>
          </w:tcPr>
          <w:p w14:paraId="68A27AA4" w14:textId="77777777" w:rsidR="00E46D04" w:rsidRDefault="00E46D04" w:rsidP="00862FE1">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57.80 years</w:t>
            </w:r>
          </w:p>
        </w:tc>
      </w:tr>
      <w:tr w:rsidR="00E46D04" w:rsidRPr="00E46D04" w14:paraId="5A305682" w14:textId="77777777" w:rsidTr="00862FE1">
        <w:tc>
          <w:tcPr>
            <w:tcW w:w="2794" w:type="dxa"/>
            <w:tcBorders>
              <w:top w:val="nil"/>
              <w:left w:val="nil"/>
              <w:bottom w:val="nil"/>
              <w:right w:val="nil"/>
            </w:tcBorders>
            <w:shd w:val="clear" w:color="auto" w:fill="FFFFFF"/>
            <w:vAlign w:val="bottom"/>
          </w:tcPr>
          <w:p w14:paraId="2C4A06B6" w14:textId="77777777" w:rsidR="00E46D04" w:rsidRPr="00862FE1" w:rsidRDefault="00E46D04" w:rsidP="00862FE1">
            <w:pPr>
              <w:autoSpaceDE w:val="0"/>
              <w:autoSpaceDN w:val="0"/>
              <w:adjustRightInd w:val="0"/>
              <w:spacing w:after="0" w:line="240" w:lineRule="auto"/>
              <w:rPr>
                <w:rFonts w:ascii="Arial" w:hAnsi="Arial" w:cs="Arial"/>
                <w:sz w:val="18"/>
                <w:szCs w:val="18"/>
              </w:rPr>
            </w:pPr>
            <w:r>
              <w:rPr>
                <w:rFonts w:ascii="Arial" w:hAnsi="Arial" w:cs="Arial"/>
                <w:sz w:val="18"/>
                <w:szCs w:val="18"/>
              </w:rPr>
              <w:t>Plant and Equipment</w:t>
            </w:r>
          </w:p>
        </w:tc>
        <w:tc>
          <w:tcPr>
            <w:tcW w:w="2836" w:type="dxa"/>
            <w:tcBorders>
              <w:top w:val="nil"/>
              <w:left w:val="nil"/>
              <w:bottom w:val="nil"/>
              <w:right w:val="nil"/>
            </w:tcBorders>
            <w:shd w:val="clear" w:color="auto" w:fill="FFFFFF"/>
            <w:vAlign w:val="bottom"/>
          </w:tcPr>
          <w:p w14:paraId="2EF03887" w14:textId="77777777" w:rsidR="00E46D04" w:rsidRPr="00862FE1" w:rsidRDefault="00E46D04" w:rsidP="00862FE1">
            <w:pPr>
              <w:autoSpaceDE w:val="0"/>
              <w:autoSpaceDN w:val="0"/>
              <w:adjustRightInd w:val="0"/>
              <w:spacing w:after="0" w:line="240" w:lineRule="auto"/>
              <w:jc w:val="right"/>
              <w:rPr>
                <w:rFonts w:ascii="Arial" w:hAnsi="Arial" w:cs="Arial"/>
                <w:sz w:val="18"/>
                <w:szCs w:val="18"/>
              </w:rPr>
            </w:pPr>
            <w:r>
              <w:rPr>
                <w:rFonts w:ascii="Arial" w:hAnsi="Arial" w:cs="Arial"/>
                <w:sz w:val="18"/>
                <w:szCs w:val="18"/>
              </w:rPr>
              <w:t>4 - 19 years</w:t>
            </w:r>
          </w:p>
        </w:tc>
        <w:tc>
          <w:tcPr>
            <w:tcW w:w="2836" w:type="dxa"/>
            <w:tcBorders>
              <w:top w:val="nil"/>
              <w:left w:val="nil"/>
              <w:bottom w:val="nil"/>
              <w:right w:val="nil"/>
            </w:tcBorders>
            <w:shd w:val="clear" w:color="auto" w:fill="FFFFFF"/>
            <w:vAlign w:val="bottom"/>
          </w:tcPr>
          <w:p w14:paraId="50B566AA" w14:textId="77777777" w:rsidR="00E46D04" w:rsidRPr="00862FE1" w:rsidRDefault="00E46D04" w:rsidP="00862FE1">
            <w:pPr>
              <w:autoSpaceDE w:val="0"/>
              <w:autoSpaceDN w:val="0"/>
              <w:adjustRightInd w:val="0"/>
              <w:spacing w:after="0" w:line="240" w:lineRule="auto"/>
              <w:jc w:val="right"/>
              <w:rPr>
                <w:rFonts w:ascii="Arial" w:hAnsi="Arial" w:cs="Arial"/>
                <w:sz w:val="18"/>
                <w:szCs w:val="18"/>
              </w:rPr>
            </w:pPr>
            <w:r>
              <w:rPr>
                <w:rFonts w:ascii="Arial" w:hAnsi="Arial" w:cs="Arial"/>
                <w:sz w:val="18"/>
                <w:szCs w:val="18"/>
              </w:rPr>
              <w:t>11.63 years</w:t>
            </w:r>
          </w:p>
        </w:tc>
      </w:tr>
    </w:tbl>
    <w:p w14:paraId="0B738F66" w14:textId="77777777" w:rsidR="004212EA" w:rsidRDefault="0040568F" w:rsidP="00862FE1">
      <w:pPr>
        <w:pStyle w:val="Heading3"/>
        <w:spacing w:before="240"/>
        <w:rPr>
          <w:sz w:val="18"/>
          <w:szCs w:val="18"/>
        </w:rPr>
      </w:pPr>
      <w:r>
        <w:t xml:space="preserve">C4-6 </w:t>
      </w:r>
      <w:r w:rsidR="004212EA">
        <w:t>Impairment</w:t>
      </w:r>
    </w:p>
    <w:p w14:paraId="6B50EB2F" w14:textId="77777777" w:rsidR="002E375F" w:rsidRPr="00E116EC" w:rsidRDefault="00EB2569" w:rsidP="00E116EC">
      <w:pPr>
        <w:pStyle w:val="Heading3"/>
        <w:rPr>
          <w:sz w:val="18"/>
          <w:szCs w:val="18"/>
        </w:rPr>
      </w:pPr>
      <w:r w:rsidRPr="00E116EC">
        <w:rPr>
          <w:sz w:val="18"/>
          <w:szCs w:val="18"/>
        </w:rPr>
        <w:t>Accounting Policy - Property, Plant and Equipment</w:t>
      </w:r>
    </w:p>
    <w:p w14:paraId="1A5B4D95" w14:textId="77777777" w:rsidR="002E375F" w:rsidRPr="00E116EC" w:rsidRDefault="00EB2569" w:rsidP="00E116EC">
      <w:pPr>
        <w:pStyle w:val="Heading3"/>
        <w:rPr>
          <w:sz w:val="18"/>
          <w:szCs w:val="18"/>
        </w:rPr>
      </w:pPr>
      <w:r w:rsidRPr="00E116EC">
        <w:rPr>
          <w:sz w:val="18"/>
          <w:szCs w:val="18"/>
        </w:rPr>
        <w:t>Indicators of Impairment and Determining Recoverable Amount</w:t>
      </w:r>
    </w:p>
    <w:p w14:paraId="3BBC08FF" w14:textId="77777777" w:rsidR="002E375F" w:rsidRDefault="00EB2569" w:rsidP="00D16D72">
      <w:pPr>
        <w:autoSpaceDE w:val="0"/>
        <w:autoSpaceDN w:val="0"/>
        <w:adjustRightInd w:val="0"/>
        <w:spacing w:after="141" w:line="240" w:lineRule="auto"/>
        <w:rPr>
          <w:rFonts w:ascii="Arial" w:hAnsi="Arial" w:cs="Arial"/>
          <w:sz w:val="18"/>
          <w:szCs w:val="18"/>
        </w:rPr>
      </w:pPr>
      <w:r>
        <w:rPr>
          <w:rFonts w:ascii="Arial" w:hAnsi="Arial" w:cs="Arial"/>
          <w:sz w:val="18"/>
          <w:szCs w:val="18"/>
        </w:rPr>
        <w:t xml:space="preserve">All property, plant and equipment assets are assessed for indicators of impairment on an annual basis or, where the asset is measured at fair value, for indicators of a change in fair value/service potential since the last valuation was completed. Where indicators of a material change in fair value or service potential since the last valuation arise, the asset is revalued at the reporting date under AASB 13 </w:t>
      </w:r>
      <w:r>
        <w:rPr>
          <w:rFonts w:ascii="Arial" w:hAnsi="Arial" w:cs="Arial"/>
          <w:i/>
          <w:iCs/>
          <w:sz w:val="18"/>
          <w:szCs w:val="18"/>
        </w:rPr>
        <w:t xml:space="preserve">Fair Value Measurement. </w:t>
      </w:r>
      <w:r>
        <w:rPr>
          <w:rFonts w:ascii="Arial" w:hAnsi="Arial" w:cs="Arial"/>
          <w:sz w:val="18"/>
          <w:szCs w:val="18"/>
        </w:rPr>
        <w:t xml:space="preserve">If an indicator of possible impairment exists, the department determines the asset's recoverable amount under AASB 136 </w:t>
      </w:r>
      <w:r>
        <w:rPr>
          <w:rFonts w:ascii="Arial" w:hAnsi="Arial" w:cs="Arial"/>
          <w:i/>
          <w:iCs/>
          <w:sz w:val="18"/>
          <w:szCs w:val="18"/>
        </w:rPr>
        <w:t>Impairment of Assets</w:t>
      </w:r>
      <w:r>
        <w:rPr>
          <w:rFonts w:ascii="Arial" w:hAnsi="Arial" w:cs="Arial"/>
          <w:sz w:val="18"/>
          <w:szCs w:val="18"/>
        </w:rPr>
        <w:t>. Recoverable amount is equal to the higher of the fair value less costs of disposal.</w:t>
      </w:r>
    </w:p>
    <w:p w14:paraId="37B1FD7F" w14:textId="77777777" w:rsidR="0040568F" w:rsidRDefault="0040568F" w:rsidP="0040568F">
      <w:pPr>
        <w:pStyle w:val="Heading3"/>
        <w:rPr>
          <w:rFonts w:ascii="Times New Roman" w:hAnsi="Times New Roman" w:cs="Times New Roman"/>
        </w:rPr>
      </w:pPr>
      <w:r>
        <w:t>C4-7 Fair Value Measurement</w:t>
      </w:r>
    </w:p>
    <w:p w14:paraId="4256C954" w14:textId="77777777" w:rsidR="002E375F" w:rsidRPr="00E116EC" w:rsidRDefault="00EB2569" w:rsidP="00E116EC">
      <w:pPr>
        <w:pStyle w:val="Heading3"/>
        <w:rPr>
          <w:sz w:val="18"/>
          <w:szCs w:val="18"/>
        </w:rPr>
      </w:pPr>
      <w:r w:rsidRPr="00E116EC">
        <w:rPr>
          <w:sz w:val="18"/>
          <w:szCs w:val="18"/>
        </w:rPr>
        <w:t>Fair Value Measurement Hierarchy</w:t>
      </w:r>
    </w:p>
    <w:p w14:paraId="16766D57" w14:textId="77777777" w:rsidR="002E375F" w:rsidRDefault="00EB2569" w:rsidP="00D16D72">
      <w:pPr>
        <w:autoSpaceDE w:val="0"/>
        <w:autoSpaceDN w:val="0"/>
        <w:adjustRightInd w:val="0"/>
        <w:spacing w:after="141" w:line="240" w:lineRule="auto"/>
        <w:rPr>
          <w:rFonts w:ascii="Arial" w:hAnsi="Arial" w:cs="Arial"/>
          <w:sz w:val="18"/>
          <w:szCs w:val="18"/>
        </w:rPr>
      </w:pPr>
      <w:r>
        <w:rPr>
          <w:rFonts w:ascii="Arial" w:hAnsi="Arial" w:cs="Arial"/>
          <w:sz w:val="18"/>
          <w:szCs w:val="18"/>
        </w:rPr>
        <w:t>All assets of the department for which fair value is measured are categorised within the following fair value hierarchy:</w:t>
      </w:r>
    </w:p>
    <w:p w14:paraId="584D6391" w14:textId="77777777" w:rsidR="0040568F" w:rsidRPr="0040568F" w:rsidRDefault="0040568F" w:rsidP="00D16D72">
      <w:pPr>
        <w:pStyle w:val="ListParagraph"/>
        <w:numPr>
          <w:ilvl w:val="0"/>
          <w:numId w:val="8"/>
        </w:numPr>
        <w:autoSpaceDE w:val="0"/>
        <w:autoSpaceDN w:val="0"/>
        <w:adjustRightInd w:val="0"/>
        <w:spacing w:after="141" w:line="240" w:lineRule="auto"/>
        <w:rPr>
          <w:rFonts w:ascii="Arial" w:hAnsi="Arial" w:cs="Arial"/>
          <w:sz w:val="18"/>
          <w:szCs w:val="18"/>
        </w:rPr>
      </w:pPr>
      <w:r w:rsidRPr="0040568F">
        <w:rPr>
          <w:rFonts w:ascii="Arial" w:hAnsi="Arial" w:cs="Arial"/>
          <w:sz w:val="18"/>
          <w:szCs w:val="18"/>
        </w:rPr>
        <w:t>level 1 - represents fair value measurements that reflect unadjusted quoted market prices in active markets for identical assets and liabilities;</w:t>
      </w:r>
    </w:p>
    <w:p w14:paraId="2BF19E06" w14:textId="77777777" w:rsidR="0040568F" w:rsidRPr="0040568F" w:rsidRDefault="0040568F" w:rsidP="00D16D72">
      <w:pPr>
        <w:pStyle w:val="ListParagraph"/>
        <w:numPr>
          <w:ilvl w:val="0"/>
          <w:numId w:val="8"/>
        </w:numPr>
        <w:autoSpaceDE w:val="0"/>
        <w:autoSpaceDN w:val="0"/>
        <w:adjustRightInd w:val="0"/>
        <w:spacing w:after="141" w:line="240" w:lineRule="auto"/>
        <w:rPr>
          <w:rFonts w:ascii="Arial" w:hAnsi="Arial" w:cs="Arial"/>
          <w:sz w:val="18"/>
          <w:szCs w:val="18"/>
        </w:rPr>
      </w:pPr>
      <w:r w:rsidRPr="0040568F">
        <w:rPr>
          <w:rFonts w:ascii="Arial" w:hAnsi="Arial" w:cs="Arial"/>
          <w:sz w:val="18"/>
          <w:szCs w:val="18"/>
        </w:rPr>
        <w:t>level 2 - represents fair value measurements that are substantially derived from inputs (other than quoted prices included within level 1) that are observable, either directly or indirectly; and</w:t>
      </w:r>
    </w:p>
    <w:p w14:paraId="6F4818AE" w14:textId="77777777" w:rsidR="0040568F" w:rsidRPr="0040568F" w:rsidRDefault="0040568F" w:rsidP="00D16D72">
      <w:pPr>
        <w:pStyle w:val="ListParagraph"/>
        <w:numPr>
          <w:ilvl w:val="0"/>
          <w:numId w:val="8"/>
        </w:numPr>
        <w:autoSpaceDE w:val="0"/>
        <w:autoSpaceDN w:val="0"/>
        <w:adjustRightInd w:val="0"/>
        <w:spacing w:after="141" w:line="240" w:lineRule="auto"/>
        <w:rPr>
          <w:rFonts w:ascii="Arial" w:hAnsi="Arial" w:cs="Arial"/>
          <w:sz w:val="18"/>
          <w:szCs w:val="18"/>
        </w:rPr>
      </w:pPr>
      <w:r w:rsidRPr="0040568F">
        <w:rPr>
          <w:rFonts w:ascii="Arial" w:hAnsi="Arial" w:cs="Arial"/>
          <w:sz w:val="18"/>
          <w:szCs w:val="18"/>
        </w:rPr>
        <w:t>level 3 - represents fair value measurements that are substantially derived from unobservable inputs.</w:t>
      </w:r>
    </w:p>
    <w:p w14:paraId="3BE7B682" w14:textId="77777777" w:rsidR="002E375F" w:rsidRDefault="00EB2569" w:rsidP="00D16D72">
      <w:pPr>
        <w:autoSpaceDE w:val="0"/>
        <w:autoSpaceDN w:val="0"/>
        <w:adjustRightInd w:val="0"/>
        <w:spacing w:after="141" w:line="240" w:lineRule="auto"/>
        <w:rPr>
          <w:rFonts w:ascii="Arial" w:hAnsi="Arial" w:cs="Arial"/>
          <w:sz w:val="18"/>
          <w:szCs w:val="18"/>
        </w:rPr>
      </w:pPr>
      <w:r>
        <w:rPr>
          <w:rFonts w:ascii="Arial" w:hAnsi="Arial" w:cs="Arial"/>
          <w:sz w:val="18"/>
          <w:szCs w:val="18"/>
        </w:rPr>
        <w:t>None of the department’s valuations of assets or liabilities are eligible for categorisation into level 1 of the fair value hierarchy.</w:t>
      </w:r>
    </w:p>
    <w:p w14:paraId="43517743" w14:textId="77777777" w:rsidR="002E375F" w:rsidRPr="00E116EC" w:rsidRDefault="00EB2569" w:rsidP="0040568F">
      <w:pPr>
        <w:pStyle w:val="Heading2"/>
      </w:pPr>
      <w:r w:rsidRPr="00E116EC">
        <w:t>Categorisation of Assets Measured at Fair Value</w:t>
      </w:r>
    </w:p>
    <w:tbl>
      <w:tblPr>
        <w:tblW w:w="0" w:type="auto"/>
        <w:tblLayout w:type="fixed"/>
        <w:tblCellMar>
          <w:left w:w="0" w:type="dxa"/>
          <w:right w:w="0" w:type="dxa"/>
        </w:tblCellMar>
        <w:tblLook w:val="0000" w:firstRow="0" w:lastRow="0" w:firstColumn="0" w:lastColumn="0" w:noHBand="0" w:noVBand="0"/>
      </w:tblPr>
      <w:tblGrid>
        <w:gridCol w:w="3248"/>
        <w:gridCol w:w="964"/>
        <w:gridCol w:w="964"/>
        <w:gridCol w:w="964"/>
        <w:gridCol w:w="964"/>
        <w:gridCol w:w="964"/>
        <w:gridCol w:w="964"/>
      </w:tblGrid>
      <w:tr w:rsidR="002E375F" w14:paraId="5D309A81" w14:textId="77777777">
        <w:tc>
          <w:tcPr>
            <w:tcW w:w="3248" w:type="dxa"/>
            <w:tcBorders>
              <w:top w:val="nil"/>
              <w:left w:val="nil"/>
              <w:bottom w:val="nil"/>
              <w:right w:val="nil"/>
            </w:tcBorders>
            <w:shd w:val="clear" w:color="auto" w:fill="FFFFFF"/>
            <w:vAlign w:val="bottom"/>
          </w:tcPr>
          <w:p w14:paraId="27591D9B" w14:textId="77777777" w:rsidR="002E375F" w:rsidRDefault="002E375F" w:rsidP="001C442D">
            <w:pPr>
              <w:pStyle w:val="Heading2"/>
            </w:pPr>
          </w:p>
        </w:tc>
        <w:tc>
          <w:tcPr>
            <w:tcW w:w="1928" w:type="dxa"/>
            <w:gridSpan w:val="2"/>
            <w:tcBorders>
              <w:top w:val="nil"/>
              <w:left w:val="nil"/>
              <w:bottom w:val="nil"/>
              <w:right w:val="nil"/>
            </w:tcBorders>
            <w:shd w:val="clear" w:color="auto" w:fill="FFFFFF"/>
            <w:vAlign w:val="bottom"/>
          </w:tcPr>
          <w:p w14:paraId="20D19C1A" w14:textId="77777777" w:rsidR="002E375F" w:rsidRDefault="00EB2569" w:rsidP="00862FE1">
            <w:pPr>
              <w:pStyle w:val="Heading2"/>
              <w:jc w:val="center"/>
            </w:pPr>
            <w:r>
              <w:rPr>
                <w:rFonts w:ascii="Arial" w:hAnsi="Arial" w:cs="Arial"/>
                <w:b/>
                <w:bCs/>
                <w:sz w:val="18"/>
                <w:szCs w:val="18"/>
              </w:rPr>
              <w:t>Level 2</w:t>
            </w:r>
          </w:p>
        </w:tc>
        <w:tc>
          <w:tcPr>
            <w:tcW w:w="1928" w:type="dxa"/>
            <w:gridSpan w:val="2"/>
            <w:tcBorders>
              <w:top w:val="nil"/>
              <w:left w:val="nil"/>
              <w:bottom w:val="nil"/>
              <w:right w:val="nil"/>
            </w:tcBorders>
            <w:shd w:val="clear" w:color="auto" w:fill="FFFFFF"/>
            <w:vAlign w:val="bottom"/>
          </w:tcPr>
          <w:p w14:paraId="245E4E4A" w14:textId="77777777" w:rsidR="002E375F" w:rsidRDefault="00EB2569" w:rsidP="00862FE1">
            <w:pPr>
              <w:pStyle w:val="Heading2"/>
              <w:jc w:val="center"/>
            </w:pPr>
            <w:r>
              <w:rPr>
                <w:rFonts w:ascii="Arial" w:hAnsi="Arial" w:cs="Arial"/>
                <w:b/>
                <w:bCs/>
                <w:sz w:val="18"/>
                <w:szCs w:val="18"/>
              </w:rPr>
              <w:t>Level 3</w:t>
            </w:r>
          </w:p>
        </w:tc>
        <w:tc>
          <w:tcPr>
            <w:tcW w:w="1928" w:type="dxa"/>
            <w:gridSpan w:val="2"/>
            <w:tcBorders>
              <w:top w:val="nil"/>
              <w:left w:val="nil"/>
              <w:bottom w:val="nil"/>
              <w:right w:val="nil"/>
            </w:tcBorders>
            <w:shd w:val="clear" w:color="auto" w:fill="FFFFFF"/>
            <w:vAlign w:val="bottom"/>
          </w:tcPr>
          <w:p w14:paraId="50EE333D" w14:textId="77777777" w:rsidR="002E375F" w:rsidRDefault="00EB2569" w:rsidP="00862FE1">
            <w:pPr>
              <w:pStyle w:val="Heading2"/>
              <w:jc w:val="center"/>
            </w:pPr>
            <w:r>
              <w:rPr>
                <w:rFonts w:ascii="Arial" w:hAnsi="Arial" w:cs="Arial"/>
                <w:b/>
                <w:bCs/>
                <w:sz w:val="18"/>
                <w:szCs w:val="18"/>
              </w:rPr>
              <w:t>Total Carrying Amount</w:t>
            </w:r>
          </w:p>
        </w:tc>
      </w:tr>
      <w:tr w:rsidR="002E375F" w14:paraId="06EC0968" w14:textId="77777777">
        <w:tc>
          <w:tcPr>
            <w:tcW w:w="3248" w:type="dxa"/>
            <w:tcBorders>
              <w:top w:val="nil"/>
              <w:left w:val="nil"/>
              <w:bottom w:val="nil"/>
              <w:right w:val="nil"/>
            </w:tcBorders>
            <w:shd w:val="clear" w:color="auto" w:fill="FFFFFF"/>
            <w:vAlign w:val="bottom"/>
          </w:tcPr>
          <w:p w14:paraId="2CA41D8F"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2F0EB07F" w14:textId="77777777" w:rsidR="002E375F" w:rsidRPr="00862FE1" w:rsidRDefault="00EB2569" w:rsidP="00862FE1">
            <w:pPr>
              <w:pStyle w:val="Heading2"/>
              <w:jc w:val="right"/>
              <w:rPr>
                <w:b/>
              </w:rPr>
            </w:pPr>
            <w:r w:rsidRPr="00E46D04">
              <w:rPr>
                <w:rFonts w:ascii="Arial" w:hAnsi="Arial" w:cs="Arial"/>
                <w:b/>
                <w:bCs/>
                <w:sz w:val="18"/>
                <w:szCs w:val="18"/>
              </w:rPr>
              <w:t>2020</w:t>
            </w:r>
            <w:r w:rsidRPr="00E46D04">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6195BECB"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c>
          <w:tcPr>
            <w:tcW w:w="964" w:type="dxa"/>
            <w:tcBorders>
              <w:top w:val="nil"/>
              <w:left w:val="nil"/>
              <w:bottom w:val="nil"/>
              <w:right w:val="nil"/>
            </w:tcBorders>
            <w:shd w:val="clear" w:color="auto" w:fill="FFFFFF"/>
            <w:vAlign w:val="bottom"/>
          </w:tcPr>
          <w:p w14:paraId="48C55699" w14:textId="77777777" w:rsidR="002E375F" w:rsidRPr="00862FE1" w:rsidRDefault="00EB2569" w:rsidP="00862FE1">
            <w:pPr>
              <w:pStyle w:val="Heading2"/>
              <w:jc w:val="right"/>
              <w:rPr>
                <w:b/>
              </w:rPr>
            </w:pPr>
            <w:r w:rsidRPr="00E46D04">
              <w:rPr>
                <w:rFonts w:ascii="Arial" w:hAnsi="Arial" w:cs="Arial"/>
                <w:b/>
                <w:bCs/>
                <w:sz w:val="18"/>
                <w:szCs w:val="18"/>
              </w:rPr>
              <w:t>2020</w:t>
            </w:r>
            <w:r w:rsidRPr="00E46D04">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55981827"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c>
          <w:tcPr>
            <w:tcW w:w="964" w:type="dxa"/>
            <w:tcBorders>
              <w:top w:val="nil"/>
              <w:left w:val="nil"/>
              <w:bottom w:val="nil"/>
              <w:right w:val="nil"/>
            </w:tcBorders>
            <w:shd w:val="clear" w:color="auto" w:fill="FFFFFF"/>
            <w:vAlign w:val="bottom"/>
          </w:tcPr>
          <w:p w14:paraId="46E37193" w14:textId="77777777" w:rsidR="002E375F" w:rsidRPr="00862FE1" w:rsidRDefault="00EB2569" w:rsidP="00862FE1">
            <w:pPr>
              <w:pStyle w:val="Heading2"/>
              <w:jc w:val="right"/>
              <w:rPr>
                <w:b/>
              </w:rPr>
            </w:pPr>
            <w:r w:rsidRPr="00E46D04">
              <w:rPr>
                <w:rFonts w:ascii="Arial" w:hAnsi="Arial" w:cs="Arial"/>
                <w:b/>
                <w:bCs/>
                <w:sz w:val="18"/>
                <w:szCs w:val="18"/>
              </w:rPr>
              <w:t>2020</w:t>
            </w:r>
            <w:r w:rsidRPr="00E46D04">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1E88F357"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23FBC947" w14:textId="77777777">
        <w:tc>
          <w:tcPr>
            <w:tcW w:w="3248" w:type="dxa"/>
            <w:tcBorders>
              <w:top w:val="nil"/>
              <w:left w:val="nil"/>
              <w:bottom w:val="nil"/>
              <w:right w:val="nil"/>
            </w:tcBorders>
            <w:shd w:val="clear" w:color="auto" w:fill="FFFFFF"/>
            <w:vAlign w:val="bottom"/>
          </w:tcPr>
          <w:p w14:paraId="2831821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Land</w:t>
            </w:r>
          </w:p>
        </w:tc>
        <w:tc>
          <w:tcPr>
            <w:tcW w:w="964" w:type="dxa"/>
            <w:tcBorders>
              <w:top w:val="nil"/>
              <w:left w:val="nil"/>
              <w:bottom w:val="nil"/>
              <w:right w:val="nil"/>
            </w:tcBorders>
            <w:shd w:val="clear" w:color="auto" w:fill="FFFFFF"/>
            <w:vAlign w:val="bottom"/>
          </w:tcPr>
          <w:p w14:paraId="0E59A09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82,816</w:t>
            </w:r>
          </w:p>
        </w:tc>
        <w:tc>
          <w:tcPr>
            <w:tcW w:w="964" w:type="dxa"/>
            <w:tcBorders>
              <w:top w:val="nil"/>
              <w:left w:val="nil"/>
              <w:bottom w:val="nil"/>
              <w:right w:val="nil"/>
            </w:tcBorders>
            <w:shd w:val="clear" w:color="auto" w:fill="FFFFFF"/>
            <w:vAlign w:val="bottom"/>
          </w:tcPr>
          <w:p w14:paraId="1F72F66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78,011</w:t>
            </w:r>
          </w:p>
        </w:tc>
        <w:tc>
          <w:tcPr>
            <w:tcW w:w="964" w:type="dxa"/>
            <w:tcBorders>
              <w:top w:val="nil"/>
              <w:left w:val="nil"/>
              <w:bottom w:val="nil"/>
              <w:right w:val="nil"/>
            </w:tcBorders>
            <w:shd w:val="clear" w:color="auto" w:fill="FFFFFF"/>
            <w:vAlign w:val="bottom"/>
          </w:tcPr>
          <w:p w14:paraId="1863D20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170</w:t>
            </w:r>
          </w:p>
        </w:tc>
        <w:tc>
          <w:tcPr>
            <w:tcW w:w="964" w:type="dxa"/>
            <w:tcBorders>
              <w:top w:val="nil"/>
              <w:left w:val="nil"/>
              <w:bottom w:val="nil"/>
              <w:right w:val="nil"/>
            </w:tcBorders>
            <w:shd w:val="clear" w:color="auto" w:fill="FFFFFF"/>
            <w:vAlign w:val="bottom"/>
          </w:tcPr>
          <w:p w14:paraId="487DB6C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3,987</w:t>
            </w:r>
          </w:p>
        </w:tc>
        <w:tc>
          <w:tcPr>
            <w:tcW w:w="964" w:type="dxa"/>
            <w:tcBorders>
              <w:top w:val="nil"/>
              <w:left w:val="nil"/>
              <w:bottom w:val="nil"/>
              <w:right w:val="nil"/>
            </w:tcBorders>
            <w:shd w:val="clear" w:color="auto" w:fill="FFFFFF"/>
            <w:vAlign w:val="bottom"/>
          </w:tcPr>
          <w:p w14:paraId="19DAC94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82,986</w:t>
            </w:r>
          </w:p>
        </w:tc>
        <w:tc>
          <w:tcPr>
            <w:tcW w:w="964" w:type="dxa"/>
            <w:tcBorders>
              <w:top w:val="nil"/>
              <w:left w:val="nil"/>
              <w:bottom w:val="nil"/>
              <w:right w:val="nil"/>
            </w:tcBorders>
            <w:shd w:val="clear" w:color="auto" w:fill="FFFFFF"/>
            <w:vAlign w:val="bottom"/>
          </w:tcPr>
          <w:p w14:paraId="7967F3A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81,998</w:t>
            </w:r>
          </w:p>
        </w:tc>
      </w:tr>
      <w:tr w:rsidR="002E375F" w14:paraId="001BAC9F" w14:textId="77777777">
        <w:tc>
          <w:tcPr>
            <w:tcW w:w="3248" w:type="dxa"/>
            <w:tcBorders>
              <w:top w:val="nil"/>
              <w:left w:val="nil"/>
              <w:bottom w:val="nil"/>
              <w:right w:val="nil"/>
            </w:tcBorders>
            <w:shd w:val="clear" w:color="auto" w:fill="FFFFFF"/>
            <w:vAlign w:val="bottom"/>
          </w:tcPr>
          <w:p w14:paraId="0D6580D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Buildings</w:t>
            </w:r>
          </w:p>
        </w:tc>
        <w:tc>
          <w:tcPr>
            <w:tcW w:w="964" w:type="dxa"/>
            <w:tcBorders>
              <w:top w:val="nil"/>
              <w:left w:val="nil"/>
              <w:bottom w:val="nil"/>
              <w:right w:val="nil"/>
            </w:tcBorders>
            <w:shd w:val="clear" w:color="auto" w:fill="FFFFFF"/>
            <w:vAlign w:val="bottom"/>
          </w:tcPr>
          <w:p w14:paraId="0A0C55A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8,135</w:t>
            </w:r>
          </w:p>
        </w:tc>
        <w:tc>
          <w:tcPr>
            <w:tcW w:w="964" w:type="dxa"/>
            <w:tcBorders>
              <w:top w:val="nil"/>
              <w:left w:val="nil"/>
              <w:bottom w:val="nil"/>
              <w:right w:val="nil"/>
            </w:tcBorders>
            <w:shd w:val="clear" w:color="auto" w:fill="FFFFFF"/>
            <w:vAlign w:val="bottom"/>
          </w:tcPr>
          <w:p w14:paraId="163DCAB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14,632</w:t>
            </w:r>
          </w:p>
        </w:tc>
        <w:tc>
          <w:tcPr>
            <w:tcW w:w="964" w:type="dxa"/>
            <w:tcBorders>
              <w:top w:val="nil"/>
              <w:left w:val="nil"/>
              <w:bottom w:val="nil"/>
              <w:right w:val="nil"/>
            </w:tcBorders>
            <w:shd w:val="clear" w:color="auto" w:fill="FFFFFF"/>
            <w:vAlign w:val="bottom"/>
          </w:tcPr>
          <w:p w14:paraId="5B95D3E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181,610</w:t>
            </w:r>
          </w:p>
        </w:tc>
        <w:tc>
          <w:tcPr>
            <w:tcW w:w="964" w:type="dxa"/>
            <w:tcBorders>
              <w:top w:val="nil"/>
              <w:left w:val="nil"/>
              <w:bottom w:val="nil"/>
              <w:right w:val="nil"/>
            </w:tcBorders>
            <w:shd w:val="clear" w:color="auto" w:fill="FFFFFF"/>
            <w:vAlign w:val="bottom"/>
          </w:tcPr>
          <w:p w14:paraId="1DEEF21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165,512</w:t>
            </w:r>
          </w:p>
        </w:tc>
        <w:tc>
          <w:tcPr>
            <w:tcW w:w="964" w:type="dxa"/>
            <w:tcBorders>
              <w:top w:val="nil"/>
              <w:left w:val="nil"/>
              <w:bottom w:val="nil"/>
              <w:right w:val="nil"/>
            </w:tcBorders>
            <w:shd w:val="clear" w:color="auto" w:fill="FFFFFF"/>
            <w:vAlign w:val="bottom"/>
          </w:tcPr>
          <w:p w14:paraId="72CA973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189,745</w:t>
            </w:r>
          </w:p>
        </w:tc>
        <w:tc>
          <w:tcPr>
            <w:tcW w:w="964" w:type="dxa"/>
            <w:tcBorders>
              <w:top w:val="nil"/>
              <w:left w:val="nil"/>
              <w:bottom w:val="nil"/>
              <w:right w:val="nil"/>
            </w:tcBorders>
            <w:shd w:val="clear" w:color="auto" w:fill="FFFFFF"/>
            <w:vAlign w:val="bottom"/>
          </w:tcPr>
          <w:p w14:paraId="6118665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180,144</w:t>
            </w:r>
          </w:p>
        </w:tc>
      </w:tr>
    </w:tbl>
    <w:p w14:paraId="40B9F108" w14:textId="77777777" w:rsidR="002E375F" w:rsidRDefault="002E375F">
      <w:pPr>
        <w:autoSpaceDE w:val="0"/>
        <w:autoSpaceDN w:val="0"/>
        <w:adjustRightInd w:val="0"/>
        <w:spacing w:before="47" w:after="0" w:line="240" w:lineRule="auto"/>
        <w:rPr>
          <w:rFonts w:ascii="Times New Roman" w:hAnsi="Times New Roman" w:cs="Times New Roman"/>
          <w:sz w:val="24"/>
          <w:szCs w:val="24"/>
        </w:rPr>
      </w:pPr>
    </w:p>
    <w:p w14:paraId="38608C43"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6AF1ABB9"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5455B9B0"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77C17AE9"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54954503"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7D857467" w14:textId="77777777" w:rsidR="001D18C2" w:rsidRDefault="001D18C2" w:rsidP="001D18C2">
      <w:pPr>
        <w:pStyle w:val="Heading3"/>
      </w:pPr>
      <w:r>
        <w:t>C4 Property, Plant and Equipment (continued)</w:t>
      </w:r>
    </w:p>
    <w:p w14:paraId="03CF9E57" w14:textId="77777777" w:rsidR="001D18C2" w:rsidRDefault="001D18C2" w:rsidP="001D18C2">
      <w:pPr>
        <w:pStyle w:val="Heading3"/>
        <w:rPr>
          <w:rFonts w:ascii="Times New Roman" w:hAnsi="Times New Roman" w:cs="Times New Roman"/>
        </w:rPr>
      </w:pPr>
      <w:r>
        <w:t>C4-7 Fair Value Measurement (continued)</w:t>
      </w:r>
    </w:p>
    <w:tbl>
      <w:tblPr>
        <w:tblW w:w="9032" w:type="dxa"/>
        <w:tblLayout w:type="fixed"/>
        <w:tblCellMar>
          <w:left w:w="0" w:type="dxa"/>
          <w:right w:w="0" w:type="dxa"/>
        </w:tblCellMar>
        <w:tblLook w:val="0000" w:firstRow="0" w:lastRow="0" w:firstColumn="0" w:lastColumn="0" w:noHBand="0" w:noVBand="0"/>
      </w:tblPr>
      <w:tblGrid>
        <w:gridCol w:w="5176"/>
        <w:gridCol w:w="964"/>
        <w:gridCol w:w="964"/>
        <w:gridCol w:w="964"/>
        <w:gridCol w:w="964"/>
      </w:tblGrid>
      <w:tr w:rsidR="002E375F" w:rsidRPr="00E46D04" w14:paraId="2701BAC1" w14:textId="77777777" w:rsidTr="001D18C2">
        <w:tc>
          <w:tcPr>
            <w:tcW w:w="5176" w:type="dxa"/>
            <w:tcBorders>
              <w:top w:val="nil"/>
              <w:left w:val="nil"/>
              <w:bottom w:val="nil"/>
              <w:right w:val="nil"/>
            </w:tcBorders>
            <w:shd w:val="clear" w:color="auto" w:fill="FFFFFF"/>
            <w:vAlign w:val="bottom"/>
          </w:tcPr>
          <w:p w14:paraId="4EFA1A17" w14:textId="77777777" w:rsidR="002E375F" w:rsidRPr="00862FE1" w:rsidRDefault="001C442D" w:rsidP="001C442D">
            <w:pPr>
              <w:pStyle w:val="Heading2"/>
              <w:rPr>
                <w:rFonts w:ascii="Arial" w:hAnsi="Arial" w:cs="Arial"/>
                <w:b/>
                <w:sz w:val="18"/>
                <w:szCs w:val="18"/>
              </w:rPr>
            </w:pPr>
            <w:r w:rsidRPr="00862FE1">
              <w:rPr>
                <w:rFonts w:ascii="Arial" w:hAnsi="Arial" w:cs="Arial"/>
                <w:b/>
                <w:sz w:val="18"/>
                <w:szCs w:val="18"/>
              </w:rPr>
              <w:t>Level 3 Fair Value Measurement - Reconciliation</w:t>
            </w:r>
          </w:p>
        </w:tc>
        <w:tc>
          <w:tcPr>
            <w:tcW w:w="1928" w:type="dxa"/>
            <w:gridSpan w:val="2"/>
            <w:tcBorders>
              <w:top w:val="nil"/>
              <w:left w:val="nil"/>
              <w:bottom w:val="nil"/>
              <w:right w:val="nil"/>
            </w:tcBorders>
            <w:shd w:val="clear" w:color="auto" w:fill="FFFFFF"/>
            <w:vAlign w:val="bottom"/>
          </w:tcPr>
          <w:p w14:paraId="6BC7BDD1" w14:textId="77777777" w:rsidR="002E375F" w:rsidRPr="00862FE1" w:rsidRDefault="00EB2569" w:rsidP="00862FE1">
            <w:pPr>
              <w:pStyle w:val="Heading2"/>
              <w:jc w:val="center"/>
              <w:rPr>
                <w:rFonts w:ascii="Arial" w:hAnsi="Arial" w:cs="Arial"/>
                <w:b/>
                <w:sz w:val="18"/>
                <w:szCs w:val="18"/>
              </w:rPr>
            </w:pPr>
            <w:r w:rsidRPr="00862FE1">
              <w:rPr>
                <w:rFonts w:ascii="Arial" w:hAnsi="Arial" w:cs="Arial"/>
                <w:b/>
                <w:sz w:val="18"/>
                <w:szCs w:val="18"/>
              </w:rPr>
              <w:t>Land</w:t>
            </w:r>
          </w:p>
        </w:tc>
        <w:tc>
          <w:tcPr>
            <w:tcW w:w="1928" w:type="dxa"/>
            <w:gridSpan w:val="2"/>
            <w:tcBorders>
              <w:top w:val="nil"/>
              <w:left w:val="nil"/>
              <w:bottom w:val="nil"/>
              <w:right w:val="nil"/>
            </w:tcBorders>
            <w:shd w:val="clear" w:color="auto" w:fill="FFFFFF"/>
            <w:vAlign w:val="bottom"/>
          </w:tcPr>
          <w:p w14:paraId="68C9F67B" w14:textId="77777777" w:rsidR="002E375F" w:rsidRPr="00862FE1" w:rsidRDefault="00EB2569" w:rsidP="00862FE1">
            <w:pPr>
              <w:pStyle w:val="Heading2"/>
              <w:jc w:val="center"/>
              <w:rPr>
                <w:rFonts w:ascii="Arial" w:hAnsi="Arial" w:cs="Arial"/>
                <w:b/>
                <w:sz w:val="18"/>
                <w:szCs w:val="18"/>
              </w:rPr>
            </w:pPr>
            <w:r w:rsidRPr="00862FE1">
              <w:rPr>
                <w:rFonts w:ascii="Arial" w:hAnsi="Arial" w:cs="Arial"/>
                <w:b/>
                <w:sz w:val="18"/>
                <w:szCs w:val="18"/>
              </w:rPr>
              <w:t>Buildings</w:t>
            </w:r>
          </w:p>
        </w:tc>
      </w:tr>
      <w:tr w:rsidR="002E375F" w:rsidRPr="00E46D04" w14:paraId="6DC9D508" w14:textId="77777777" w:rsidTr="001D18C2">
        <w:tc>
          <w:tcPr>
            <w:tcW w:w="5176" w:type="dxa"/>
            <w:tcBorders>
              <w:top w:val="nil"/>
              <w:left w:val="nil"/>
              <w:bottom w:val="nil"/>
              <w:right w:val="nil"/>
            </w:tcBorders>
            <w:shd w:val="clear" w:color="auto" w:fill="FFFFFF"/>
            <w:vAlign w:val="bottom"/>
          </w:tcPr>
          <w:p w14:paraId="08665170" w14:textId="77777777" w:rsidR="002E375F" w:rsidRPr="00862FE1" w:rsidRDefault="002E375F" w:rsidP="001C442D">
            <w:pPr>
              <w:pStyle w:val="Heading2"/>
              <w:rPr>
                <w:rFonts w:ascii="Arial" w:hAnsi="Arial" w:cs="Arial"/>
                <w:b/>
                <w:sz w:val="18"/>
                <w:szCs w:val="18"/>
              </w:rPr>
            </w:pPr>
          </w:p>
        </w:tc>
        <w:tc>
          <w:tcPr>
            <w:tcW w:w="964" w:type="dxa"/>
            <w:tcBorders>
              <w:top w:val="nil"/>
              <w:left w:val="nil"/>
              <w:bottom w:val="nil"/>
              <w:right w:val="nil"/>
            </w:tcBorders>
            <w:shd w:val="clear" w:color="auto" w:fill="FFFFFF"/>
            <w:vAlign w:val="bottom"/>
          </w:tcPr>
          <w:p w14:paraId="584EE890" w14:textId="77777777" w:rsidR="002E375F" w:rsidRPr="00862FE1" w:rsidRDefault="00EB2569" w:rsidP="00862FE1">
            <w:pPr>
              <w:pStyle w:val="Heading2"/>
              <w:jc w:val="right"/>
              <w:rPr>
                <w:rFonts w:ascii="Arial" w:hAnsi="Arial" w:cs="Arial"/>
                <w:b/>
                <w:sz w:val="18"/>
                <w:szCs w:val="18"/>
              </w:rPr>
            </w:pPr>
            <w:r w:rsidRPr="00862FE1">
              <w:rPr>
                <w:rFonts w:ascii="Arial" w:hAnsi="Arial" w:cs="Arial"/>
                <w:b/>
                <w:sz w:val="18"/>
                <w:szCs w:val="18"/>
              </w:rPr>
              <w:t>2020</w:t>
            </w:r>
            <w:r w:rsidRPr="00862FE1">
              <w:rPr>
                <w:rFonts w:ascii="Arial" w:hAnsi="Arial" w:cs="Arial"/>
                <w:b/>
                <w:sz w:val="18"/>
                <w:szCs w:val="18"/>
              </w:rPr>
              <w:br/>
              <w:t>$'000</w:t>
            </w:r>
          </w:p>
        </w:tc>
        <w:tc>
          <w:tcPr>
            <w:tcW w:w="964" w:type="dxa"/>
            <w:tcBorders>
              <w:top w:val="nil"/>
              <w:left w:val="nil"/>
              <w:bottom w:val="nil"/>
              <w:right w:val="nil"/>
            </w:tcBorders>
            <w:shd w:val="clear" w:color="auto" w:fill="FFFFFF"/>
            <w:vAlign w:val="bottom"/>
          </w:tcPr>
          <w:p w14:paraId="663CC2F6" w14:textId="77777777" w:rsidR="002E375F" w:rsidRPr="00862FE1" w:rsidRDefault="00EB2569" w:rsidP="00862FE1">
            <w:pPr>
              <w:pStyle w:val="Heading2"/>
              <w:jc w:val="right"/>
              <w:rPr>
                <w:rFonts w:ascii="Arial" w:hAnsi="Arial" w:cs="Arial"/>
                <w:sz w:val="18"/>
                <w:szCs w:val="18"/>
              </w:rPr>
            </w:pPr>
            <w:r w:rsidRPr="00862FE1">
              <w:rPr>
                <w:rFonts w:ascii="Arial" w:hAnsi="Arial" w:cs="Arial"/>
                <w:sz w:val="18"/>
                <w:szCs w:val="18"/>
              </w:rPr>
              <w:t>2019</w:t>
            </w:r>
            <w:r w:rsidRPr="00862FE1">
              <w:rPr>
                <w:rFonts w:ascii="Arial" w:hAnsi="Arial" w:cs="Arial"/>
                <w:sz w:val="18"/>
                <w:szCs w:val="18"/>
              </w:rPr>
              <w:br/>
              <w:t>$'000</w:t>
            </w:r>
          </w:p>
        </w:tc>
        <w:tc>
          <w:tcPr>
            <w:tcW w:w="964" w:type="dxa"/>
            <w:tcBorders>
              <w:top w:val="nil"/>
              <w:left w:val="nil"/>
              <w:bottom w:val="nil"/>
              <w:right w:val="nil"/>
            </w:tcBorders>
            <w:shd w:val="clear" w:color="auto" w:fill="FFFFFF"/>
            <w:vAlign w:val="bottom"/>
          </w:tcPr>
          <w:p w14:paraId="441051BA" w14:textId="77777777" w:rsidR="002E375F" w:rsidRPr="00862FE1" w:rsidRDefault="00EB2569" w:rsidP="00862FE1">
            <w:pPr>
              <w:pStyle w:val="Heading2"/>
              <w:jc w:val="right"/>
              <w:rPr>
                <w:rFonts w:ascii="Arial" w:hAnsi="Arial" w:cs="Arial"/>
                <w:b/>
                <w:sz w:val="18"/>
                <w:szCs w:val="18"/>
              </w:rPr>
            </w:pPr>
            <w:r w:rsidRPr="00862FE1">
              <w:rPr>
                <w:rFonts w:ascii="Arial" w:hAnsi="Arial" w:cs="Arial"/>
                <w:b/>
                <w:sz w:val="18"/>
                <w:szCs w:val="18"/>
              </w:rPr>
              <w:t>2020</w:t>
            </w:r>
            <w:r w:rsidRPr="00862FE1">
              <w:rPr>
                <w:rFonts w:ascii="Arial" w:hAnsi="Arial" w:cs="Arial"/>
                <w:b/>
                <w:sz w:val="18"/>
                <w:szCs w:val="18"/>
              </w:rPr>
              <w:br/>
              <w:t>$'000</w:t>
            </w:r>
          </w:p>
        </w:tc>
        <w:tc>
          <w:tcPr>
            <w:tcW w:w="964" w:type="dxa"/>
            <w:tcBorders>
              <w:top w:val="nil"/>
              <w:left w:val="nil"/>
              <w:bottom w:val="nil"/>
              <w:right w:val="nil"/>
            </w:tcBorders>
            <w:shd w:val="clear" w:color="auto" w:fill="FFFFFF"/>
            <w:vAlign w:val="bottom"/>
          </w:tcPr>
          <w:p w14:paraId="411C17CC" w14:textId="77777777" w:rsidR="002E375F" w:rsidRPr="00862FE1" w:rsidRDefault="00EB2569" w:rsidP="00862FE1">
            <w:pPr>
              <w:pStyle w:val="Heading2"/>
              <w:jc w:val="right"/>
              <w:rPr>
                <w:rFonts w:ascii="Arial" w:hAnsi="Arial" w:cs="Arial"/>
                <w:sz w:val="18"/>
                <w:szCs w:val="18"/>
              </w:rPr>
            </w:pPr>
            <w:r w:rsidRPr="00862FE1">
              <w:rPr>
                <w:rFonts w:ascii="Arial" w:hAnsi="Arial" w:cs="Arial"/>
                <w:sz w:val="18"/>
                <w:szCs w:val="18"/>
              </w:rPr>
              <w:t>2019</w:t>
            </w:r>
            <w:r w:rsidRPr="00862FE1">
              <w:rPr>
                <w:rFonts w:ascii="Arial" w:hAnsi="Arial" w:cs="Arial"/>
                <w:sz w:val="18"/>
                <w:szCs w:val="18"/>
              </w:rPr>
              <w:br/>
              <w:t>$'000</w:t>
            </w:r>
          </w:p>
        </w:tc>
      </w:tr>
      <w:tr w:rsidR="002E375F" w14:paraId="4A3701F4" w14:textId="77777777" w:rsidTr="001D18C2">
        <w:tc>
          <w:tcPr>
            <w:tcW w:w="5176" w:type="dxa"/>
            <w:tcBorders>
              <w:top w:val="nil"/>
              <w:left w:val="nil"/>
              <w:bottom w:val="nil"/>
              <w:right w:val="nil"/>
            </w:tcBorders>
            <w:shd w:val="clear" w:color="auto" w:fill="FFFFFF"/>
            <w:vAlign w:val="bottom"/>
          </w:tcPr>
          <w:p w14:paraId="72FE91A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Carrying amount at 1 July 2019</w:t>
            </w:r>
          </w:p>
        </w:tc>
        <w:tc>
          <w:tcPr>
            <w:tcW w:w="964" w:type="dxa"/>
            <w:tcBorders>
              <w:top w:val="nil"/>
              <w:left w:val="nil"/>
              <w:bottom w:val="nil"/>
              <w:right w:val="nil"/>
            </w:tcBorders>
            <w:shd w:val="clear" w:color="auto" w:fill="FFFFFF"/>
            <w:vAlign w:val="bottom"/>
          </w:tcPr>
          <w:p w14:paraId="2B25EC4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3,987</w:t>
            </w:r>
          </w:p>
        </w:tc>
        <w:tc>
          <w:tcPr>
            <w:tcW w:w="964" w:type="dxa"/>
            <w:tcBorders>
              <w:top w:val="nil"/>
              <w:left w:val="nil"/>
              <w:bottom w:val="nil"/>
              <w:right w:val="nil"/>
            </w:tcBorders>
            <w:shd w:val="clear" w:color="auto" w:fill="FFFFFF"/>
            <w:vAlign w:val="bottom"/>
          </w:tcPr>
          <w:p w14:paraId="68E59C4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3,263</w:t>
            </w:r>
          </w:p>
        </w:tc>
        <w:tc>
          <w:tcPr>
            <w:tcW w:w="964" w:type="dxa"/>
            <w:tcBorders>
              <w:top w:val="nil"/>
              <w:left w:val="nil"/>
              <w:bottom w:val="nil"/>
              <w:right w:val="nil"/>
            </w:tcBorders>
            <w:shd w:val="clear" w:color="auto" w:fill="FFFFFF"/>
            <w:vAlign w:val="bottom"/>
          </w:tcPr>
          <w:p w14:paraId="4BA95D1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165,512</w:t>
            </w:r>
          </w:p>
        </w:tc>
        <w:tc>
          <w:tcPr>
            <w:tcW w:w="964" w:type="dxa"/>
            <w:tcBorders>
              <w:top w:val="nil"/>
              <w:left w:val="nil"/>
              <w:bottom w:val="nil"/>
              <w:right w:val="nil"/>
            </w:tcBorders>
            <w:shd w:val="clear" w:color="auto" w:fill="FFFFFF"/>
            <w:vAlign w:val="bottom"/>
          </w:tcPr>
          <w:p w14:paraId="3B65C4A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163,155</w:t>
            </w:r>
          </w:p>
        </w:tc>
      </w:tr>
      <w:tr w:rsidR="002E375F" w14:paraId="2573BC4F" w14:textId="77777777" w:rsidTr="001D18C2">
        <w:tc>
          <w:tcPr>
            <w:tcW w:w="5176" w:type="dxa"/>
            <w:tcBorders>
              <w:top w:val="nil"/>
              <w:left w:val="nil"/>
              <w:bottom w:val="nil"/>
              <w:right w:val="nil"/>
            </w:tcBorders>
            <w:shd w:val="clear" w:color="auto" w:fill="FFFFFF"/>
            <w:vAlign w:val="bottom"/>
          </w:tcPr>
          <w:p w14:paraId="3B52D71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Acquisitions (including upgrades)</w:t>
            </w:r>
          </w:p>
        </w:tc>
        <w:tc>
          <w:tcPr>
            <w:tcW w:w="964" w:type="dxa"/>
            <w:tcBorders>
              <w:top w:val="nil"/>
              <w:left w:val="nil"/>
              <w:bottom w:val="nil"/>
              <w:right w:val="nil"/>
            </w:tcBorders>
            <w:shd w:val="clear" w:color="auto" w:fill="FFFFFF"/>
            <w:vAlign w:val="bottom"/>
          </w:tcPr>
          <w:p w14:paraId="7411707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5C1404B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732</w:t>
            </w:r>
          </w:p>
        </w:tc>
        <w:tc>
          <w:tcPr>
            <w:tcW w:w="964" w:type="dxa"/>
            <w:tcBorders>
              <w:top w:val="nil"/>
              <w:left w:val="nil"/>
              <w:bottom w:val="nil"/>
              <w:right w:val="nil"/>
            </w:tcBorders>
            <w:shd w:val="clear" w:color="auto" w:fill="FFFFFF"/>
            <w:vAlign w:val="bottom"/>
          </w:tcPr>
          <w:p w14:paraId="0705634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74BD83B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151753E7" w14:textId="77777777" w:rsidTr="001D18C2">
        <w:tc>
          <w:tcPr>
            <w:tcW w:w="5176" w:type="dxa"/>
            <w:tcBorders>
              <w:top w:val="nil"/>
              <w:left w:val="nil"/>
              <w:bottom w:val="nil"/>
              <w:right w:val="nil"/>
            </w:tcBorders>
            <w:shd w:val="clear" w:color="auto" w:fill="FFFFFF"/>
            <w:vAlign w:val="bottom"/>
          </w:tcPr>
          <w:p w14:paraId="640BE3A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Disposals</w:t>
            </w:r>
          </w:p>
        </w:tc>
        <w:tc>
          <w:tcPr>
            <w:tcW w:w="964" w:type="dxa"/>
            <w:tcBorders>
              <w:top w:val="nil"/>
              <w:left w:val="nil"/>
              <w:bottom w:val="nil"/>
              <w:right w:val="nil"/>
            </w:tcBorders>
            <w:shd w:val="clear" w:color="auto" w:fill="FFFFFF"/>
            <w:vAlign w:val="bottom"/>
          </w:tcPr>
          <w:p w14:paraId="3729B6B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(741)</w:t>
            </w:r>
          </w:p>
        </w:tc>
        <w:tc>
          <w:tcPr>
            <w:tcW w:w="964" w:type="dxa"/>
            <w:tcBorders>
              <w:top w:val="nil"/>
              <w:left w:val="nil"/>
              <w:bottom w:val="nil"/>
              <w:right w:val="nil"/>
            </w:tcBorders>
            <w:shd w:val="clear" w:color="auto" w:fill="FFFFFF"/>
            <w:vAlign w:val="bottom"/>
          </w:tcPr>
          <w:p w14:paraId="5654638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7E7AF6F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(417)</w:t>
            </w:r>
          </w:p>
        </w:tc>
        <w:tc>
          <w:tcPr>
            <w:tcW w:w="964" w:type="dxa"/>
            <w:tcBorders>
              <w:top w:val="nil"/>
              <w:left w:val="nil"/>
              <w:bottom w:val="nil"/>
              <w:right w:val="nil"/>
            </w:tcBorders>
            <w:shd w:val="clear" w:color="auto" w:fill="FFFFFF"/>
            <w:vAlign w:val="bottom"/>
          </w:tcPr>
          <w:p w14:paraId="4E61B2D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38DC3C1E" w14:textId="77777777" w:rsidTr="001D18C2">
        <w:tc>
          <w:tcPr>
            <w:tcW w:w="5176" w:type="dxa"/>
            <w:tcBorders>
              <w:top w:val="nil"/>
              <w:left w:val="nil"/>
              <w:bottom w:val="nil"/>
              <w:right w:val="nil"/>
            </w:tcBorders>
            <w:shd w:val="clear" w:color="auto" w:fill="FFFFFF"/>
            <w:vAlign w:val="bottom"/>
          </w:tcPr>
          <w:p w14:paraId="3AFA7E5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Transfers out to other Queensland Government entities</w:t>
            </w:r>
          </w:p>
        </w:tc>
        <w:tc>
          <w:tcPr>
            <w:tcW w:w="964" w:type="dxa"/>
            <w:tcBorders>
              <w:top w:val="nil"/>
              <w:left w:val="nil"/>
              <w:bottom w:val="nil"/>
              <w:right w:val="nil"/>
            </w:tcBorders>
            <w:shd w:val="clear" w:color="auto" w:fill="FFFFFF"/>
            <w:vAlign w:val="bottom"/>
          </w:tcPr>
          <w:p w14:paraId="36CCA22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(351)</w:t>
            </w:r>
          </w:p>
        </w:tc>
        <w:tc>
          <w:tcPr>
            <w:tcW w:w="964" w:type="dxa"/>
            <w:tcBorders>
              <w:top w:val="nil"/>
              <w:left w:val="nil"/>
              <w:bottom w:val="nil"/>
              <w:right w:val="nil"/>
            </w:tcBorders>
            <w:shd w:val="clear" w:color="auto" w:fill="FFFFFF"/>
            <w:vAlign w:val="bottom"/>
          </w:tcPr>
          <w:p w14:paraId="6375528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26EC3D9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(1,082)</w:t>
            </w:r>
          </w:p>
        </w:tc>
        <w:tc>
          <w:tcPr>
            <w:tcW w:w="964" w:type="dxa"/>
            <w:tcBorders>
              <w:top w:val="nil"/>
              <w:left w:val="nil"/>
              <w:bottom w:val="nil"/>
              <w:right w:val="nil"/>
            </w:tcBorders>
            <w:shd w:val="clear" w:color="auto" w:fill="FFFFFF"/>
            <w:vAlign w:val="bottom"/>
          </w:tcPr>
          <w:p w14:paraId="5003B24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(4,682)</w:t>
            </w:r>
          </w:p>
        </w:tc>
      </w:tr>
      <w:tr w:rsidR="002E375F" w14:paraId="150350F6" w14:textId="77777777" w:rsidTr="001D18C2">
        <w:tc>
          <w:tcPr>
            <w:tcW w:w="5176" w:type="dxa"/>
            <w:tcBorders>
              <w:top w:val="nil"/>
              <w:left w:val="nil"/>
              <w:bottom w:val="nil"/>
              <w:right w:val="nil"/>
            </w:tcBorders>
            <w:shd w:val="clear" w:color="auto" w:fill="FFFFFF"/>
            <w:vAlign w:val="bottom"/>
          </w:tcPr>
          <w:p w14:paraId="73FB264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 xml:space="preserve">Assets reclassified as held for sale </w:t>
            </w:r>
          </w:p>
        </w:tc>
        <w:tc>
          <w:tcPr>
            <w:tcW w:w="964" w:type="dxa"/>
            <w:tcBorders>
              <w:top w:val="nil"/>
              <w:left w:val="nil"/>
              <w:bottom w:val="nil"/>
              <w:right w:val="nil"/>
            </w:tcBorders>
            <w:shd w:val="clear" w:color="auto" w:fill="FFFFFF"/>
            <w:vAlign w:val="bottom"/>
          </w:tcPr>
          <w:p w14:paraId="04F9959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75ED9E0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37D50F6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03BD6CC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(188)</w:t>
            </w:r>
          </w:p>
        </w:tc>
      </w:tr>
      <w:tr w:rsidR="002E375F" w14:paraId="5410B57D" w14:textId="77777777" w:rsidTr="001D18C2">
        <w:tc>
          <w:tcPr>
            <w:tcW w:w="5176" w:type="dxa"/>
            <w:tcBorders>
              <w:top w:val="nil"/>
              <w:left w:val="nil"/>
              <w:bottom w:val="nil"/>
              <w:right w:val="nil"/>
            </w:tcBorders>
            <w:shd w:val="clear" w:color="auto" w:fill="FFFFFF"/>
            <w:vAlign w:val="bottom"/>
          </w:tcPr>
          <w:p w14:paraId="3B459D1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 xml:space="preserve">Transfers between asset classes </w:t>
            </w:r>
          </w:p>
        </w:tc>
        <w:tc>
          <w:tcPr>
            <w:tcW w:w="964" w:type="dxa"/>
            <w:tcBorders>
              <w:top w:val="nil"/>
              <w:left w:val="nil"/>
              <w:bottom w:val="nil"/>
              <w:right w:val="nil"/>
            </w:tcBorders>
            <w:shd w:val="clear" w:color="auto" w:fill="FFFFFF"/>
            <w:vAlign w:val="bottom"/>
          </w:tcPr>
          <w:p w14:paraId="78A8969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76A69FE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715275C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13,304</w:t>
            </w:r>
          </w:p>
        </w:tc>
        <w:tc>
          <w:tcPr>
            <w:tcW w:w="964" w:type="dxa"/>
            <w:tcBorders>
              <w:top w:val="nil"/>
              <w:left w:val="nil"/>
              <w:bottom w:val="nil"/>
              <w:right w:val="nil"/>
            </w:tcBorders>
            <w:shd w:val="clear" w:color="auto" w:fill="FFFFFF"/>
            <w:vAlign w:val="bottom"/>
          </w:tcPr>
          <w:p w14:paraId="037C568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7,389</w:t>
            </w:r>
          </w:p>
        </w:tc>
      </w:tr>
      <w:tr w:rsidR="002E375F" w14:paraId="02D88B96" w14:textId="77777777" w:rsidTr="001D18C2">
        <w:tc>
          <w:tcPr>
            <w:tcW w:w="5176" w:type="dxa"/>
            <w:tcBorders>
              <w:top w:val="nil"/>
              <w:left w:val="nil"/>
              <w:bottom w:val="nil"/>
              <w:right w:val="nil"/>
            </w:tcBorders>
            <w:shd w:val="clear" w:color="auto" w:fill="FFFFFF"/>
            <w:vAlign w:val="bottom"/>
          </w:tcPr>
          <w:p w14:paraId="200F4F9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 xml:space="preserve">Transfers into level 3 from level 2 </w:t>
            </w:r>
          </w:p>
        </w:tc>
        <w:tc>
          <w:tcPr>
            <w:tcW w:w="964" w:type="dxa"/>
            <w:tcBorders>
              <w:top w:val="nil"/>
              <w:left w:val="nil"/>
              <w:bottom w:val="nil"/>
              <w:right w:val="nil"/>
            </w:tcBorders>
            <w:shd w:val="clear" w:color="auto" w:fill="FFFFFF"/>
            <w:vAlign w:val="bottom"/>
          </w:tcPr>
          <w:p w14:paraId="066CD27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17D1B4D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631408C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5,661</w:t>
            </w:r>
          </w:p>
        </w:tc>
        <w:tc>
          <w:tcPr>
            <w:tcW w:w="964" w:type="dxa"/>
            <w:tcBorders>
              <w:top w:val="nil"/>
              <w:left w:val="nil"/>
              <w:bottom w:val="nil"/>
              <w:right w:val="nil"/>
            </w:tcBorders>
            <w:shd w:val="clear" w:color="auto" w:fill="FFFFFF"/>
            <w:vAlign w:val="bottom"/>
          </w:tcPr>
          <w:p w14:paraId="12A2991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1,206</w:t>
            </w:r>
          </w:p>
        </w:tc>
      </w:tr>
      <w:tr w:rsidR="002E375F" w14:paraId="61F81D81" w14:textId="77777777" w:rsidTr="001D18C2">
        <w:tc>
          <w:tcPr>
            <w:tcW w:w="5176" w:type="dxa"/>
            <w:tcBorders>
              <w:top w:val="nil"/>
              <w:left w:val="nil"/>
              <w:bottom w:val="nil"/>
              <w:right w:val="nil"/>
            </w:tcBorders>
            <w:shd w:val="clear" w:color="auto" w:fill="FFFFFF"/>
            <w:vAlign w:val="bottom"/>
          </w:tcPr>
          <w:p w14:paraId="486FA6C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Transfers out of level 3 to level 2</w:t>
            </w:r>
          </w:p>
        </w:tc>
        <w:tc>
          <w:tcPr>
            <w:tcW w:w="964" w:type="dxa"/>
            <w:tcBorders>
              <w:top w:val="nil"/>
              <w:left w:val="nil"/>
              <w:bottom w:val="nil"/>
              <w:right w:val="nil"/>
            </w:tcBorders>
            <w:shd w:val="clear" w:color="auto" w:fill="FFFFFF"/>
            <w:vAlign w:val="bottom"/>
          </w:tcPr>
          <w:p w14:paraId="7E5CE28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(2,725)</w:t>
            </w:r>
          </w:p>
        </w:tc>
        <w:tc>
          <w:tcPr>
            <w:tcW w:w="964" w:type="dxa"/>
            <w:tcBorders>
              <w:top w:val="nil"/>
              <w:left w:val="nil"/>
              <w:bottom w:val="nil"/>
              <w:right w:val="nil"/>
            </w:tcBorders>
            <w:shd w:val="clear" w:color="auto" w:fill="FFFFFF"/>
            <w:vAlign w:val="bottom"/>
          </w:tcPr>
          <w:p w14:paraId="4C6A35A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2199D3F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256655D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5832B99C" w14:textId="77777777" w:rsidTr="001D18C2">
        <w:tc>
          <w:tcPr>
            <w:tcW w:w="5176" w:type="dxa"/>
            <w:tcBorders>
              <w:top w:val="nil"/>
              <w:left w:val="nil"/>
              <w:bottom w:val="nil"/>
              <w:right w:val="nil"/>
            </w:tcBorders>
            <w:shd w:val="clear" w:color="auto" w:fill="FFFFFF"/>
            <w:vAlign w:val="bottom"/>
          </w:tcPr>
          <w:p w14:paraId="0690B62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Net revaluation increments/ (decrements) in operating surplus</w:t>
            </w:r>
          </w:p>
        </w:tc>
        <w:tc>
          <w:tcPr>
            <w:tcW w:w="964" w:type="dxa"/>
            <w:tcBorders>
              <w:top w:val="nil"/>
              <w:left w:val="nil"/>
              <w:bottom w:val="nil"/>
              <w:right w:val="nil"/>
            </w:tcBorders>
            <w:shd w:val="clear" w:color="auto" w:fill="FFFFFF"/>
            <w:vAlign w:val="bottom"/>
          </w:tcPr>
          <w:p w14:paraId="78A7E8C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5C99FD7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w:t>
            </w:r>
          </w:p>
        </w:tc>
        <w:tc>
          <w:tcPr>
            <w:tcW w:w="964" w:type="dxa"/>
            <w:tcBorders>
              <w:top w:val="nil"/>
              <w:left w:val="nil"/>
              <w:bottom w:val="nil"/>
              <w:right w:val="nil"/>
            </w:tcBorders>
            <w:shd w:val="clear" w:color="auto" w:fill="FFFFFF"/>
            <w:vAlign w:val="bottom"/>
          </w:tcPr>
          <w:p w14:paraId="1A9EDDD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5BB209E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3,102</w:t>
            </w:r>
          </w:p>
        </w:tc>
      </w:tr>
      <w:tr w:rsidR="002E375F" w14:paraId="798790B3" w14:textId="77777777" w:rsidTr="001D18C2">
        <w:tc>
          <w:tcPr>
            <w:tcW w:w="5176" w:type="dxa"/>
            <w:tcBorders>
              <w:top w:val="nil"/>
              <w:left w:val="nil"/>
              <w:bottom w:val="nil"/>
              <w:right w:val="nil"/>
            </w:tcBorders>
            <w:shd w:val="clear" w:color="auto" w:fill="FFFFFF"/>
            <w:vAlign w:val="bottom"/>
          </w:tcPr>
          <w:p w14:paraId="2D07759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Net revaluation increments/ (decrements) in asset revaluation surplus</w:t>
            </w:r>
          </w:p>
        </w:tc>
        <w:tc>
          <w:tcPr>
            <w:tcW w:w="964" w:type="dxa"/>
            <w:tcBorders>
              <w:top w:val="nil"/>
              <w:left w:val="nil"/>
              <w:bottom w:val="nil"/>
              <w:right w:val="nil"/>
            </w:tcBorders>
            <w:shd w:val="clear" w:color="auto" w:fill="FFFFFF"/>
            <w:vAlign w:val="bottom"/>
          </w:tcPr>
          <w:p w14:paraId="12369BC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540352D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1E8F219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2,954</w:t>
            </w:r>
          </w:p>
        </w:tc>
        <w:tc>
          <w:tcPr>
            <w:tcW w:w="964" w:type="dxa"/>
            <w:tcBorders>
              <w:top w:val="nil"/>
              <w:left w:val="nil"/>
              <w:bottom w:val="nil"/>
              <w:right w:val="nil"/>
            </w:tcBorders>
            <w:shd w:val="clear" w:color="auto" w:fill="FFFFFF"/>
            <w:vAlign w:val="bottom"/>
          </w:tcPr>
          <w:p w14:paraId="7408328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04148F43" w14:textId="77777777" w:rsidTr="001D18C2">
        <w:tc>
          <w:tcPr>
            <w:tcW w:w="5176" w:type="dxa"/>
            <w:tcBorders>
              <w:top w:val="nil"/>
              <w:left w:val="nil"/>
              <w:bottom w:val="nil"/>
              <w:right w:val="nil"/>
            </w:tcBorders>
            <w:shd w:val="clear" w:color="auto" w:fill="FFFFFF"/>
            <w:vAlign w:val="bottom"/>
          </w:tcPr>
          <w:p w14:paraId="60C7289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Depreciation</w:t>
            </w:r>
          </w:p>
        </w:tc>
        <w:tc>
          <w:tcPr>
            <w:tcW w:w="964" w:type="dxa"/>
            <w:tcBorders>
              <w:top w:val="nil"/>
              <w:left w:val="nil"/>
              <w:bottom w:val="single" w:sz="2" w:space="0" w:color="auto"/>
              <w:right w:val="nil"/>
            </w:tcBorders>
            <w:shd w:val="clear" w:color="auto" w:fill="FFFFFF"/>
            <w:vAlign w:val="bottom"/>
          </w:tcPr>
          <w:p w14:paraId="536E56D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4B076D3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76F4FC3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(4,322)</w:t>
            </w:r>
          </w:p>
        </w:tc>
        <w:tc>
          <w:tcPr>
            <w:tcW w:w="964" w:type="dxa"/>
            <w:tcBorders>
              <w:top w:val="nil"/>
              <w:left w:val="nil"/>
              <w:bottom w:val="single" w:sz="2" w:space="0" w:color="auto"/>
              <w:right w:val="nil"/>
            </w:tcBorders>
            <w:shd w:val="clear" w:color="auto" w:fill="FFFFFF"/>
            <w:vAlign w:val="bottom"/>
          </w:tcPr>
          <w:p w14:paraId="2F7DB1A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(4,470)</w:t>
            </w:r>
          </w:p>
        </w:tc>
      </w:tr>
      <w:tr w:rsidR="002E375F" w14:paraId="1836D3E1" w14:textId="77777777" w:rsidTr="001D18C2">
        <w:tc>
          <w:tcPr>
            <w:tcW w:w="5176" w:type="dxa"/>
            <w:tcBorders>
              <w:top w:val="nil"/>
              <w:left w:val="nil"/>
              <w:bottom w:val="nil"/>
              <w:right w:val="nil"/>
            </w:tcBorders>
            <w:shd w:val="clear" w:color="auto" w:fill="FFFFFF"/>
            <w:vAlign w:val="bottom"/>
          </w:tcPr>
          <w:p w14:paraId="23C8B70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Carrying amount at 30 June 2020</w:t>
            </w:r>
          </w:p>
        </w:tc>
        <w:tc>
          <w:tcPr>
            <w:tcW w:w="964" w:type="dxa"/>
            <w:tcBorders>
              <w:top w:val="nil"/>
              <w:left w:val="nil"/>
              <w:bottom w:val="single" w:sz="2" w:space="0" w:color="auto"/>
              <w:right w:val="nil"/>
            </w:tcBorders>
            <w:shd w:val="clear" w:color="auto" w:fill="FFFFFF"/>
            <w:vAlign w:val="bottom"/>
          </w:tcPr>
          <w:p w14:paraId="6622A8D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170</w:t>
            </w:r>
          </w:p>
        </w:tc>
        <w:tc>
          <w:tcPr>
            <w:tcW w:w="964" w:type="dxa"/>
            <w:tcBorders>
              <w:top w:val="nil"/>
              <w:left w:val="nil"/>
              <w:bottom w:val="single" w:sz="2" w:space="0" w:color="auto"/>
              <w:right w:val="nil"/>
            </w:tcBorders>
            <w:shd w:val="clear" w:color="auto" w:fill="FFFFFF"/>
            <w:vAlign w:val="bottom"/>
          </w:tcPr>
          <w:p w14:paraId="5AB502E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3,987</w:t>
            </w:r>
          </w:p>
        </w:tc>
        <w:tc>
          <w:tcPr>
            <w:tcW w:w="964" w:type="dxa"/>
            <w:tcBorders>
              <w:top w:val="nil"/>
              <w:left w:val="nil"/>
              <w:bottom w:val="single" w:sz="2" w:space="0" w:color="auto"/>
              <w:right w:val="nil"/>
            </w:tcBorders>
            <w:shd w:val="clear" w:color="auto" w:fill="FFFFFF"/>
            <w:vAlign w:val="bottom"/>
          </w:tcPr>
          <w:p w14:paraId="6D3CF88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181,610</w:t>
            </w:r>
          </w:p>
        </w:tc>
        <w:tc>
          <w:tcPr>
            <w:tcW w:w="964" w:type="dxa"/>
            <w:tcBorders>
              <w:top w:val="nil"/>
              <w:left w:val="nil"/>
              <w:bottom w:val="single" w:sz="2" w:space="0" w:color="auto"/>
              <w:right w:val="nil"/>
            </w:tcBorders>
            <w:shd w:val="clear" w:color="auto" w:fill="FFFFFF"/>
            <w:vAlign w:val="bottom"/>
          </w:tcPr>
          <w:p w14:paraId="571693F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165,512</w:t>
            </w:r>
          </w:p>
        </w:tc>
      </w:tr>
    </w:tbl>
    <w:p w14:paraId="0A6B2938" w14:textId="77777777" w:rsidR="002E375F" w:rsidRPr="00E116EC" w:rsidRDefault="00EB2569" w:rsidP="00862FE1">
      <w:pPr>
        <w:pStyle w:val="Heading3"/>
        <w:spacing w:before="240"/>
        <w:rPr>
          <w:sz w:val="18"/>
          <w:szCs w:val="18"/>
        </w:rPr>
      </w:pPr>
      <w:r w:rsidRPr="00E116EC">
        <w:rPr>
          <w:sz w:val="18"/>
          <w:szCs w:val="18"/>
        </w:rPr>
        <w:t>Basis for Fair Values of Assets</w:t>
      </w:r>
    </w:p>
    <w:p w14:paraId="4C1911F3"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The department's land and buildings were comprehensively revalued by APV in the 2019-20 financial year in accordance with AASB 13 </w:t>
      </w:r>
      <w:r>
        <w:rPr>
          <w:rFonts w:ascii="Arial" w:hAnsi="Arial" w:cs="Arial"/>
          <w:i/>
          <w:iCs/>
          <w:sz w:val="18"/>
          <w:szCs w:val="18"/>
        </w:rPr>
        <w:t>Fair Value Measurement</w:t>
      </w:r>
      <w:r>
        <w:rPr>
          <w:rFonts w:ascii="Arial" w:hAnsi="Arial" w:cs="Arial"/>
          <w:sz w:val="18"/>
          <w:szCs w:val="18"/>
        </w:rPr>
        <w:t>. The valuation approach for the department's land assets is a market based assessment. Inputs for this assessment include publicly available data on recently sold properties which are of a similar type. This comparison is adjusted to take into consideration the characteristics of the land, such as size, zoning, topography and configuration etc.</w:t>
      </w:r>
    </w:p>
    <w:p w14:paraId="78D2717D"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department's general purpose buildings (level 2 category) also used a market based assessment as their valuation approach. This included residential properties where the relevant inputs were able to be observed from current market evidence. The residential properties fair value has been derived from sales prices of comparable properties after adjusting for differences in key attributes such as property size.</w:t>
      </w:r>
    </w:p>
    <w:p w14:paraId="3C58BCED"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department's special purpose buildings (level 3 category) as well as buildings where due to external circumstances there was no evidence to support a market based approach, are valued using current replacement cost as their valuation approach. Under this approach the cost to replace the asset is calculated and then adjusted to take account of any obsolescence. Key inputs used in this approach include the condition of the building assets, legal and commercial obsolescence and the determination of key depreciation related assumptions such as residual value and useful life. The cost approach method is based on determining the current replacement cost of the buildings modern equivalent (or cost of reproduction where relevant) and then adjusting for the level of consumed obsolescence.</w:t>
      </w:r>
    </w:p>
    <w:p w14:paraId="335494F5" w14:textId="77777777" w:rsidR="002E375F" w:rsidRDefault="002E375F" w:rsidP="00D16D72">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4EE35212"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01D058EE"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30F05484"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0EE70C52"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50D07164" w14:textId="77777777" w:rsidR="002E375F" w:rsidRDefault="00746A7C" w:rsidP="00746A7C">
      <w:pPr>
        <w:pStyle w:val="Heading3"/>
      </w:pPr>
      <w:r>
        <w:t>C5 Intangibles</w:t>
      </w:r>
    </w:p>
    <w:p w14:paraId="679AEDBB" w14:textId="77777777" w:rsidR="00746A7C" w:rsidRDefault="00746A7C" w:rsidP="00746A7C">
      <w:pPr>
        <w:pStyle w:val="Heading3"/>
        <w:rPr>
          <w:rFonts w:ascii="Times New Roman" w:hAnsi="Times New Roman" w:cs="Times New Roman"/>
        </w:rPr>
      </w:pPr>
      <w:r>
        <w:t>C5-1 Closing Balances and Reconciliations of Carrying Amount</w:t>
      </w:r>
    </w:p>
    <w:tbl>
      <w:tblPr>
        <w:tblW w:w="9052" w:type="dxa"/>
        <w:tblLayout w:type="fixed"/>
        <w:tblCellMar>
          <w:left w:w="0" w:type="dxa"/>
          <w:right w:w="0" w:type="dxa"/>
        </w:tblCellMar>
        <w:tblLook w:val="0000" w:firstRow="0" w:lastRow="0" w:firstColumn="0" w:lastColumn="0" w:noHBand="0" w:noVBand="0"/>
      </w:tblPr>
      <w:tblGrid>
        <w:gridCol w:w="6159"/>
        <w:gridCol w:w="965"/>
        <w:gridCol w:w="964"/>
        <w:gridCol w:w="964"/>
      </w:tblGrid>
      <w:tr w:rsidR="002E375F" w14:paraId="30A4B0D5" w14:textId="77777777" w:rsidTr="00746A7C">
        <w:tc>
          <w:tcPr>
            <w:tcW w:w="7124" w:type="dxa"/>
            <w:gridSpan w:val="2"/>
            <w:tcBorders>
              <w:top w:val="nil"/>
              <w:left w:val="nil"/>
              <w:bottom w:val="nil"/>
              <w:right w:val="nil"/>
            </w:tcBorders>
            <w:shd w:val="clear" w:color="auto" w:fill="FFFFFF"/>
            <w:vAlign w:val="bottom"/>
          </w:tcPr>
          <w:p w14:paraId="3D9F080F"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1904FB39" w14:textId="77777777" w:rsidR="002E375F" w:rsidRPr="00862FE1" w:rsidRDefault="00EB2569" w:rsidP="00862FE1">
            <w:pPr>
              <w:pStyle w:val="Heading2"/>
              <w:jc w:val="right"/>
              <w:rPr>
                <w:b/>
              </w:rPr>
            </w:pPr>
            <w:r w:rsidRPr="00E46D04">
              <w:rPr>
                <w:rFonts w:ascii="Arial" w:hAnsi="Arial" w:cs="Arial"/>
                <w:b/>
                <w:bCs/>
                <w:sz w:val="18"/>
                <w:szCs w:val="18"/>
              </w:rPr>
              <w:t>2020</w:t>
            </w:r>
            <w:r w:rsidRPr="00E46D04">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6F267007"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364AFD39" w14:textId="77777777" w:rsidTr="00746A7C">
        <w:tc>
          <w:tcPr>
            <w:tcW w:w="9052" w:type="dxa"/>
            <w:gridSpan w:val="4"/>
            <w:tcBorders>
              <w:top w:val="nil"/>
              <w:left w:val="nil"/>
              <w:bottom w:val="nil"/>
              <w:right w:val="nil"/>
            </w:tcBorders>
            <w:shd w:val="clear" w:color="auto" w:fill="FFFFFF"/>
          </w:tcPr>
          <w:p w14:paraId="3920B19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Intangible Assets Reconciliation at 30 June 2020</w:t>
            </w:r>
          </w:p>
        </w:tc>
      </w:tr>
      <w:tr w:rsidR="002E375F" w14:paraId="169C4E58" w14:textId="77777777" w:rsidTr="00746A7C">
        <w:tc>
          <w:tcPr>
            <w:tcW w:w="7124" w:type="dxa"/>
            <w:gridSpan w:val="2"/>
            <w:tcBorders>
              <w:top w:val="nil"/>
              <w:left w:val="nil"/>
              <w:bottom w:val="nil"/>
              <w:right w:val="nil"/>
            </w:tcBorders>
            <w:shd w:val="clear" w:color="auto" w:fill="FFFFFF"/>
          </w:tcPr>
          <w:p w14:paraId="75E1531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Internally Generated</w:t>
            </w:r>
          </w:p>
        </w:tc>
        <w:tc>
          <w:tcPr>
            <w:tcW w:w="964" w:type="dxa"/>
            <w:tcBorders>
              <w:top w:val="nil"/>
              <w:left w:val="nil"/>
              <w:bottom w:val="nil"/>
              <w:right w:val="nil"/>
            </w:tcBorders>
            <w:shd w:val="clear" w:color="auto" w:fill="FFFFFF"/>
            <w:vAlign w:val="bottom"/>
          </w:tcPr>
          <w:p w14:paraId="603D7BF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1C967B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70E1BA32" w14:textId="77777777" w:rsidTr="00746A7C">
        <w:tc>
          <w:tcPr>
            <w:tcW w:w="7124" w:type="dxa"/>
            <w:gridSpan w:val="2"/>
            <w:tcBorders>
              <w:top w:val="nil"/>
              <w:left w:val="nil"/>
              <w:bottom w:val="nil"/>
              <w:right w:val="nil"/>
            </w:tcBorders>
            <w:shd w:val="clear" w:color="auto" w:fill="FFFFFF"/>
            <w:vAlign w:val="bottom"/>
          </w:tcPr>
          <w:p w14:paraId="0576334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Software - internally generated (at cost)</w:t>
            </w:r>
          </w:p>
        </w:tc>
        <w:tc>
          <w:tcPr>
            <w:tcW w:w="964" w:type="dxa"/>
            <w:tcBorders>
              <w:top w:val="nil"/>
              <w:left w:val="nil"/>
              <w:bottom w:val="nil"/>
              <w:right w:val="nil"/>
            </w:tcBorders>
            <w:shd w:val="clear" w:color="auto" w:fill="FFFFFF"/>
            <w:vAlign w:val="bottom"/>
          </w:tcPr>
          <w:p w14:paraId="229AE6B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45,889</w:t>
            </w:r>
          </w:p>
        </w:tc>
        <w:tc>
          <w:tcPr>
            <w:tcW w:w="964" w:type="dxa"/>
            <w:tcBorders>
              <w:top w:val="nil"/>
              <w:left w:val="nil"/>
              <w:bottom w:val="nil"/>
              <w:right w:val="nil"/>
            </w:tcBorders>
            <w:shd w:val="clear" w:color="auto" w:fill="FFFFFF"/>
            <w:vAlign w:val="bottom"/>
          </w:tcPr>
          <w:p w14:paraId="2B90E65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45,889</w:t>
            </w:r>
          </w:p>
        </w:tc>
      </w:tr>
      <w:tr w:rsidR="002E375F" w14:paraId="269E17F5" w14:textId="77777777" w:rsidTr="00746A7C">
        <w:tc>
          <w:tcPr>
            <w:tcW w:w="7124" w:type="dxa"/>
            <w:gridSpan w:val="2"/>
            <w:tcBorders>
              <w:top w:val="nil"/>
              <w:left w:val="nil"/>
              <w:bottom w:val="nil"/>
              <w:right w:val="nil"/>
            </w:tcBorders>
            <w:shd w:val="clear" w:color="auto" w:fill="FFFFFF"/>
            <w:vAlign w:val="bottom"/>
          </w:tcPr>
          <w:p w14:paraId="1EB1168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Less accumulated amortisation</w:t>
            </w:r>
          </w:p>
        </w:tc>
        <w:tc>
          <w:tcPr>
            <w:tcW w:w="964" w:type="dxa"/>
            <w:tcBorders>
              <w:top w:val="nil"/>
              <w:left w:val="nil"/>
              <w:bottom w:val="single" w:sz="2" w:space="0" w:color="auto"/>
              <w:right w:val="nil"/>
            </w:tcBorders>
            <w:shd w:val="clear" w:color="auto" w:fill="FFFFFF"/>
            <w:vAlign w:val="bottom"/>
          </w:tcPr>
          <w:p w14:paraId="0AB96D4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(43,741)</w:t>
            </w:r>
          </w:p>
        </w:tc>
        <w:tc>
          <w:tcPr>
            <w:tcW w:w="964" w:type="dxa"/>
            <w:tcBorders>
              <w:top w:val="nil"/>
              <w:left w:val="nil"/>
              <w:bottom w:val="single" w:sz="2" w:space="0" w:color="auto"/>
              <w:right w:val="nil"/>
            </w:tcBorders>
            <w:shd w:val="clear" w:color="auto" w:fill="FFFFFF"/>
            <w:vAlign w:val="bottom"/>
          </w:tcPr>
          <w:p w14:paraId="06A2979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(43,333)</w:t>
            </w:r>
          </w:p>
        </w:tc>
      </w:tr>
      <w:tr w:rsidR="002E375F" w14:paraId="459DAAF7" w14:textId="77777777" w:rsidTr="00746A7C">
        <w:tc>
          <w:tcPr>
            <w:tcW w:w="7124" w:type="dxa"/>
            <w:gridSpan w:val="2"/>
            <w:tcBorders>
              <w:top w:val="nil"/>
              <w:left w:val="nil"/>
              <w:bottom w:val="nil"/>
              <w:right w:val="nil"/>
            </w:tcBorders>
            <w:shd w:val="clear" w:color="auto" w:fill="FFFFFF"/>
            <w:vAlign w:val="bottom"/>
          </w:tcPr>
          <w:p w14:paraId="1A09C9E7"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049369B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2,148</w:t>
            </w:r>
          </w:p>
        </w:tc>
        <w:tc>
          <w:tcPr>
            <w:tcW w:w="964" w:type="dxa"/>
            <w:tcBorders>
              <w:top w:val="nil"/>
              <w:left w:val="nil"/>
              <w:bottom w:val="single" w:sz="2" w:space="0" w:color="auto"/>
              <w:right w:val="nil"/>
            </w:tcBorders>
            <w:shd w:val="clear" w:color="auto" w:fill="FFFFFF"/>
            <w:vAlign w:val="bottom"/>
          </w:tcPr>
          <w:p w14:paraId="264BD10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2,556</w:t>
            </w:r>
          </w:p>
        </w:tc>
      </w:tr>
      <w:tr w:rsidR="002E375F" w14:paraId="3DCB2FF6" w14:textId="77777777" w:rsidTr="00746A7C">
        <w:tc>
          <w:tcPr>
            <w:tcW w:w="7124" w:type="dxa"/>
            <w:gridSpan w:val="2"/>
            <w:tcBorders>
              <w:top w:val="nil"/>
              <w:left w:val="nil"/>
              <w:bottom w:val="nil"/>
              <w:right w:val="nil"/>
            </w:tcBorders>
            <w:shd w:val="clear" w:color="auto" w:fill="FFFFFF"/>
          </w:tcPr>
          <w:p w14:paraId="4CB4A7E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Works in progress</w:t>
            </w:r>
          </w:p>
        </w:tc>
        <w:tc>
          <w:tcPr>
            <w:tcW w:w="964" w:type="dxa"/>
            <w:tcBorders>
              <w:top w:val="nil"/>
              <w:left w:val="nil"/>
              <w:bottom w:val="nil"/>
              <w:right w:val="nil"/>
            </w:tcBorders>
            <w:shd w:val="clear" w:color="auto" w:fill="FFFFFF"/>
            <w:vAlign w:val="bottom"/>
          </w:tcPr>
          <w:p w14:paraId="4999875B"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1EA8A5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18CB4CD9" w14:textId="77777777" w:rsidTr="00746A7C">
        <w:tc>
          <w:tcPr>
            <w:tcW w:w="7124" w:type="dxa"/>
            <w:gridSpan w:val="2"/>
            <w:tcBorders>
              <w:top w:val="nil"/>
              <w:left w:val="nil"/>
              <w:bottom w:val="nil"/>
              <w:right w:val="nil"/>
            </w:tcBorders>
            <w:shd w:val="clear" w:color="auto" w:fill="FFFFFF"/>
            <w:vAlign w:val="bottom"/>
          </w:tcPr>
          <w:p w14:paraId="36FBB4D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Software - work in progress (at cost)</w:t>
            </w:r>
          </w:p>
        </w:tc>
        <w:tc>
          <w:tcPr>
            <w:tcW w:w="964" w:type="dxa"/>
            <w:tcBorders>
              <w:top w:val="nil"/>
              <w:left w:val="nil"/>
              <w:bottom w:val="single" w:sz="2" w:space="0" w:color="auto"/>
              <w:right w:val="nil"/>
            </w:tcBorders>
            <w:shd w:val="clear" w:color="auto" w:fill="FFFFFF"/>
            <w:vAlign w:val="bottom"/>
          </w:tcPr>
          <w:p w14:paraId="7155E9C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1,078</w:t>
            </w:r>
          </w:p>
        </w:tc>
        <w:tc>
          <w:tcPr>
            <w:tcW w:w="964" w:type="dxa"/>
            <w:tcBorders>
              <w:top w:val="nil"/>
              <w:left w:val="nil"/>
              <w:bottom w:val="single" w:sz="2" w:space="0" w:color="auto"/>
              <w:right w:val="nil"/>
            </w:tcBorders>
            <w:shd w:val="clear" w:color="auto" w:fill="FFFFFF"/>
            <w:vAlign w:val="bottom"/>
          </w:tcPr>
          <w:p w14:paraId="07F68EA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170A9BAC" w14:textId="77777777" w:rsidTr="00746A7C">
        <w:tc>
          <w:tcPr>
            <w:tcW w:w="7124" w:type="dxa"/>
            <w:gridSpan w:val="2"/>
            <w:tcBorders>
              <w:top w:val="nil"/>
              <w:left w:val="nil"/>
              <w:bottom w:val="nil"/>
              <w:right w:val="nil"/>
            </w:tcBorders>
            <w:shd w:val="clear" w:color="auto" w:fill="FFFFFF"/>
            <w:vAlign w:val="bottom"/>
          </w:tcPr>
          <w:p w14:paraId="4A4FF2CE"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782297B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1,078</w:t>
            </w:r>
          </w:p>
        </w:tc>
        <w:tc>
          <w:tcPr>
            <w:tcW w:w="964" w:type="dxa"/>
            <w:tcBorders>
              <w:top w:val="nil"/>
              <w:left w:val="nil"/>
              <w:bottom w:val="single" w:sz="2" w:space="0" w:color="auto"/>
              <w:right w:val="nil"/>
            </w:tcBorders>
            <w:shd w:val="clear" w:color="auto" w:fill="FFFFFF"/>
            <w:vAlign w:val="bottom"/>
          </w:tcPr>
          <w:p w14:paraId="6223EB6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396CE497" w14:textId="77777777" w:rsidTr="00746A7C">
        <w:tc>
          <w:tcPr>
            <w:tcW w:w="7124" w:type="dxa"/>
            <w:gridSpan w:val="2"/>
            <w:tcBorders>
              <w:top w:val="nil"/>
              <w:left w:val="nil"/>
              <w:bottom w:val="nil"/>
              <w:right w:val="nil"/>
            </w:tcBorders>
            <w:shd w:val="clear" w:color="auto" w:fill="FFFFFF"/>
            <w:vAlign w:val="bottom"/>
          </w:tcPr>
          <w:p w14:paraId="0D02D36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4073E51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3,226</w:t>
            </w:r>
          </w:p>
        </w:tc>
        <w:tc>
          <w:tcPr>
            <w:tcW w:w="964" w:type="dxa"/>
            <w:tcBorders>
              <w:top w:val="nil"/>
              <w:left w:val="nil"/>
              <w:bottom w:val="single" w:sz="2" w:space="0" w:color="auto"/>
              <w:right w:val="nil"/>
            </w:tcBorders>
            <w:shd w:val="clear" w:color="auto" w:fill="FFFFFF"/>
            <w:vAlign w:val="bottom"/>
          </w:tcPr>
          <w:p w14:paraId="392772D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2,556</w:t>
            </w:r>
          </w:p>
        </w:tc>
      </w:tr>
      <w:tr w:rsidR="002E375F" w14:paraId="58517D1B" w14:textId="77777777" w:rsidTr="00746A7C">
        <w:tc>
          <w:tcPr>
            <w:tcW w:w="6159" w:type="dxa"/>
            <w:tcBorders>
              <w:top w:val="nil"/>
              <w:left w:val="nil"/>
              <w:bottom w:val="nil"/>
              <w:right w:val="nil"/>
            </w:tcBorders>
            <w:shd w:val="clear" w:color="auto" w:fill="FFFFFF"/>
            <w:vAlign w:val="bottom"/>
          </w:tcPr>
          <w:p w14:paraId="218A49D4" w14:textId="77777777" w:rsidR="002E375F" w:rsidRDefault="00EB2569">
            <w:pPr>
              <w:autoSpaceDE w:val="0"/>
              <w:autoSpaceDN w:val="0"/>
              <w:adjustRightInd w:val="0"/>
              <w:spacing w:after="283" w:line="240" w:lineRule="auto"/>
              <w:rPr>
                <w:rFonts w:ascii="Times New Roman" w:hAnsi="Times New Roman" w:cs="Times New Roman"/>
                <w:sz w:val="24"/>
                <w:szCs w:val="24"/>
              </w:rPr>
            </w:pPr>
            <w:r>
              <w:rPr>
                <w:rFonts w:ascii="Arial" w:hAnsi="Arial" w:cs="Arial"/>
                <w:b/>
                <w:bCs/>
                <w:sz w:val="18"/>
                <w:szCs w:val="18"/>
              </w:rPr>
              <w:t>Represented by Movements in Carrying Amount:</w:t>
            </w:r>
          </w:p>
        </w:tc>
        <w:tc>
          <w:tcPr>
            <w:tcW w:w="965" w:type="dxa"/>
            <w:tcBorders>
              <w:top w:val="nil"/>
              <w:left w:val="nil"/>
              <w:bottom w:val="nil"/>
              <w:right w:val="nil"/>
            </w:tcBorders>
            <w:shd w:val="clear" w:color="auto" w:fill="FFFFFF"/>
            <w:vAlign w:val="bottom"/>
          </w:tcPr>
          <w:p w14:paraId="513EFCB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Software internally generated</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7872DDB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Software works in progress</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69B177E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Total</w:t>
            </w:r>
            <w:r>
              <w:rPr>
                <w:rFonts w:ascii="Arial" w:hAnsi="Arial" w:cs="Arial"/>
                <w:b/>
                <w:bCs/>
                <w:sz w:val="18"/>
                <w:szCs w:val="18"/>
              </w:rPr>
              <w:br/>
              <w:t>$'000</w:t>
            </w:r>
          </w:p>
        </w:tc>
      </w:tr>
      <w:tr w:rsidR="002E375F" w14:paraId="641DC998" w14:textId="77777777" w:rsidTr="00746A7C">
        <w:tc>
          <w:tcPr>
            <w:tcW w:w="6159" w:type="dxa"/>
            <w:tcBorders>
              <w:top w:val="nil"/>
              <w:left w:val="nil"/>
              <w:bottom w:val="nil"/>
              <w:right w:val="nil"/>
            </w:tcBorders>
            <w:shd w:val="clear" w:color="auto" w:fill="FFFFFF"/>
            <w:vAlign w:val="bottom"/>
          </w:tcPr>
          <w:p w14:paraId="49396AB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Carrying amount at 1 July 2018</w:t>
            </w:r>
          </w:p>
        </w:tc>
        <w:tc>
          <w:tcPr>
            <w:tcW w:w="965" w:type="dxa"/>
            <w:tcBorders>
              <w:top w:val="nil"/>
              <w:left w:val="nil"/>
              <w:bottom w:val="nil"/>
              <w:right w:val="nil"/>
            </w:tcBorders>
            <w:shd w:val="clear" w:color="auto" w:fill="FFFFFF"/>
            <w:vAlign w:val="bottom"/>
          </w:tcPr>
          <w:p w14:paraId="3AC0F77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3,422</w:t>
            </w:r>
          </w:p>
        </w:tc>
        <w:tc>
          <w:tcPr>
            <w:tcW w:w="964" w:type="dxa"/>
            <w:tcBorders>
              <w:top w:val="nil"/>
              <w:left w:val="nil"/>
              <w:bottom w:val="nil"/>
              <w:right w:val="nil"/>
            </w:tcBorders>
            <w:shd w:val="clear" w:color="auto" w:fill="FFFFFF"/>
            <w:vAlign w:val="bottom"/>
          </w:tcPr>
          <w:p w14:paraId="17E2F83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1,935</w:t>
            </w:r>
          </w:p>
        </w:tc>
        <w:tc>
          <w:tcPr>
            <w:tcW w:w="964" w:type="dxa"/>
            <w:tcBorders>
              <w:top w:val="nil"/>
              <w:left w:val="nil"/>
              <w:bottom w:val="nil"/>
              <w:right w:val="nil"/>
            </w:tcBorders>
            <w:shd w:val="clear" w:color="auto" w:fill="FFFFFF"/>
            <w:vAlign w:val="bottom"/>
          </w:tcPr>
          <w:p w14:paraId="7958F0E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5,357</w:t>
            </w:r>
          </w:p>
        </w:tc>
      </w:tr>
      <w:tr w:rsidR="002E375F" w14:paraId="5DA880BF" w14:textId="77777777" w:rsidTr="00746A7C">
        <w:tc>
          <w:tcPr>
            <w:tcW w:w="6159" w:type="dxa"/>
            <w:tcBorders>
              <w:top w:val="nil"/>
              <w:left w:val="nil"/>
              <w:bottom w:val="nil"/>
              <w:right w:val="nil"/>
            </w:tcBorders>
            <w:shd w:val="clear" w:color="auto" w:fill="FFFFFF"/>
            <w:vAlign w:val="bottom"/>
          </w:tcPr>
          <w:p w14:paraId="65CBAEB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Acquisitions</w:t>
            </w:r>
          </w:p>
        </w:tc>
        <w:tc>
          <w:tcPr>
            <w:tcW w:w="965" w:type="dxa"/>
            <w:tcBorders>
              <w:top w:val="nil"/>
              <w:left w:val="nil"/>
              <w:bottom w:val="nil"/>
              <w:right w:val="nil"/>
            </w:tcBorders>
            <w:shd w:val="clear" w:color="auto" w:fill="FFFFFF"/>
            <w:vAlign w:val="bottom"/>
          </w:tcPr>
          <w:p w14:paraId="51FBD01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446BFCF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588</w:t>
            </w:r>
          </w:p>
        </w:tc>
        <w:tc>
          <w:tcPr>
            <w:tcW w:w="964" w:type="dxa"/>
            <w:tcBorders>
              <w:top w:val="nil"/>
              <w:left w:val="nil"/>
              <w:bottom w:val="nil"/>
              <w:right w:val="nil"/>
            </w:tcBorders>
            <w:shd w:val="clear" w:color="auto" w:fill="FFFFFF"/>
            <w:vAlign w:val="bottom"/>
          </w:tcPr>
          <w:p w14:paraId="7DD4896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588</w:t>
            </w:r>
          </w:p>
        </w:tc>
      </w:tr>
      <w:tr w:rsidR="002E375F" w14:paraId="1845D085" w14:textId="77777777" w:rsidTr="00746A7C">
        <w:tc>
          <w:tcPr>
            <w:tcW w:w="6159" w:type="dxa"/>
            <w:tcBorders>
              <w:top w:val="nil"/>
              <w:left w:val="nil"/>
              <w:bottom w:val="nil"/>
              <w:right w:val="nil"/>
            </w:tcBorders>
            <w:shd w:val="clear" w:color="auto" w:fill="FFFFFF"/>
            <w:vAlign w:val="bottom"/>
          </w:tcPr>
          <w:p w14:paraId="2460061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Transfers between classes</w:t>
            </w:r>
          </w:p>
        </w:tc>
        <w:tc>
          <w:tcPr>
            <w:tcW w:w="965" w:type="dxa"/>
            <w:tcBorders>
              <w:top w:val="nil"/>
              <w:left w:val="nil"/>
              <w:bottom w:val="nil"/>
              <w:right w:val="nil"/>
            </w:tcBorders>
            <w:shd w:val="clear" w:color="auto" w:fill="FFFFFF"/>
            <w:vAlign w:val="bottom"/>
          </w:tcPr>
          <w:p w14:paraId="12D7618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2,523</w:t>
            </w:r>
          </w:p>
        </w:tc>
        <w:tc>
          <w:tcPr>
            <w:tcW w:w="964" w:type="dxa"/>
            <w:tcBorders>
              <w:top w:val="nil"/>
              <w:left w:val="nil"/>
              <w:bottom w:val="nil"/>
              <w:right w:val="nil"/>
            </w:tcBorders>
            <w:shd w:val="clear" w:color="auto" w:fill="FFFFFF"/>
            <w:vAlign w:val="bottom"/>
          </w:tcPr>
          <w:p w14:paraId="6BC4329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(2,523)</w:t>
            </w:r>
          </w:p>
        </w:tc>
        <w:tc>
          <w:tcPr>
            <w:tcW w:w="964" w:type="dxa"/>
            <w:tcBorders>
              <w:top w:val="nil"/>
              <w:left w:val="nil"/>
              <w:bottom w:val="nil"/>
              <w:right w:val="nil"/>
            </w:tcBorders>
            <w:shd w:val="clear" w:color="auto" w:fill="FFFFFF"/>
            <w:vAlign w:val="bottom"/>
          </w:tcPr>
          <w:p w14:paraId="60D64C9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0FA0D7C5" w14:textId="77777777" w:rsidTr="00746A7C">
        <w:tc>
          <w:tcPr>
            <w:tcW w:w="6159" w:type="dxa"/>
            <w:tcBorders>
              <w:top w:val="nil"/>
              <w:left w:val="nil"/>
              <w:bottom w:val="nil"/>
              <w:right w:val="nil"/>
            </w:tcBorders>
            <w:shd w:val="clear" w:color="auto" w:fill="FFFFFF"/>
            <w:vAlign w:val="bottom"/>
          </w:tcPr>
          <w:p w14:paraId="495D3B9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Amortisation</w:t>
            </w:r>
          </w:p>
        </w:tc>
        <w:tc>
          <w:tcPr>
            <w:tcW w:w="965" w:type="dxa"/>
            <w:tcBorders>
              <w:top w:val="nil"/>
              <w:left w:val="nil"/>
              <w:bottom w:val="single" w:sz="2" w:space="0" w:color="auto"/>
              <w:right w:val="nil"/>
            </w:tcBorders>
            <w:shd w:val="clear" w:color="auto" w:fill="FFFFFF"/>
            <w:vAlign w:val="bottom"/>
          </w:tcPr>
          <w:p w14:paraId="18C4997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(3,389)</w:t>
            </w:r>
          </w:p>
        </w:tc>
        <w:tc>
          <w:tcPr>
            <w:tcW w:w="964" w:type="dxa"/>
            <w:tcBorders>
              <w:top w:val="nil"/>
              <w:left w:val="nil"/>
              <w:bottom w:val="single" w:sz="2" w:space="0" w:color="auto"/>
              <w:right w:val="nil"/>
            </w:tcBorders>
            <w:shd w:val="clear" w:color="auto" w:fill="FFFFFF"/>
            <w:vAlign w:val="bottom"/>
          </w:tcPr>
          <w:p w14:paraId="4940B3F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5243D72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(3,389)</w:t>
            </w:r>
          </w:p>
        </w:tc>
      </w:tr>
      <w:tr w:rsidR="002E375F" w14:paraId="5EA2CF39" w14:textId="77777777" w:rsidTr="00746A7C">
        <w:tc>
          <w:tcPr>
            <w:tcW w:w="6159" w:type="dxa"/>
            <w:tcBorders>
              <w:top w:val="nil"/>
              <w:left w:val="nil"/>
              <w:bottom w:val="nil"/>
              <w:right w:val="nil"/>
            </w:tcBorders>
            <w:shd w:val="clear" w:color="auto" w:fill="FFFFFF"/>
            <w:vAlign w:val="bottom"/>
          </w:tcPr>
          <w:p w14:paraId="28825EA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Carrying amount at 30 June 2019</w:t>
            </w:r>
          </w:p>
        </w:tc>
        <w:tc>
          <w:tcPr>
            <w:tcW w:w="965" w:type="dxa"/>
            <w:tcBorders>
              <w:top w:val="nil"/>
              <w:left w:val="nil"/>
              <w:bottom w:val="single" w:sz="2" w:space="0" w:color="auto"/>
              <w:right w:val="nil"/>
            </w:tcBorders>
            <w:shd w:val="clear" w:color="auto" w:fill="FFFFFF"/>
            <w:vAlign w:val="bottom"/>
          </w:tcPr>
          <w:p w14:paraId="2C77294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2,556</w:t>
            </w:r>
          </w:p>
        </w:tc>
        <w:tc>
          <w:tcPr>
            <w:tcW w:w="964" w:type="dxa"/>
            <w:tcBorders>
              <w:top w:val="nil"/>
              <w:left w:val="nil"/>
              <w:bottom w:val="single" w:sz="2" w:space="0" w:color="auto"/>
              <w:right w:val="nil"/>
            </w:tcBorders>
            <w:shd w:val="clear" w:color="auto" w:fill="FFFFFF"/>
            <w:vAlign w:val="bottom"/>
          </w:tcPr>
          <w:p w14:paraId="727864F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0FC6F49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2,556</w:t>
            </w:r>
          </w:p>
        </w:tc>
      </w:tr>
      <w:tr w:rsidR="002E375F" w14:paraId="6418D75E" w14:textId="77777777" w:rsidTr="00746A7C">
        <w:tc>
          <w:tcPr>
            <w:tcW w:w="6159" w:type="dxa"/>
            <w:tcBorders>
              <w:top w:val="nil"/>
              <w:left w:val="nil"/>
              <w:bottom w:val="nil"/>
              <w:right w:val="nil"/>
            </w:tcBorders>
            <w:shd w:val="clear" w:color="auto" w:fill="FFFFFF"/>
            <w:vAlign w:val="bottom"/>
          </w:tcPr>
          <w:p w14:paraId="26F4B3A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Carrying amount at 1 July 2019</w:t>
            </w:r>
          </w:p>
        </w:tc>
        <w:tc>
          <w:tcPr>
            <w:tcW w:w="965" w:type="dxa"/>
            <w:tcBorders>
              <w:top w:val="nil"/>
              <w:left w:val="nil"/>
              <w:bottom w:val="nil"/>
              <w:right w:val="nil"/>
            </w:tcBorders>
            <w:shd w:val="clear" w:color="auto" w:fill="FFFFFF"/>
            <w:vAlign w:val="bottom"/>
          </w:tcPr>
          <w:p w14:paraId="149C970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2,556</w:t>
            </w:r>
          </w:p>
        </w:tc>
        <w:tc>
          <w:tcPr>
            <w:tcW w:w="964" w:type="dxa"/>
            <w:tcBorders>
              <w:top w:val="nil"/>
              <w:left w:val="nil"/>
              <w:bottom w:val="nil"/>
              <w:right w:val="nil"/>
            </w:tcBorders>
            <w:shd w:val="clear" w:color="auto" w:fill="FFFFFF"/>
            <w:vAlign w:val="bottom"/>
          </w:tcPr>
          <w:p w14:paraId="565B02C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7C870D5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2,556</w:t>
            </w:r>
          </w:p>
        </w:tc>
      </w:tr>
      <w:tr w:rsidR="002E375F" w14:paraId="59C5A90D" w14:textId="77777777" w:rsidTr="00746A7C">
        <w:tc>
          <w:tcPr>
            <w:tcW w:w="6159" w:type="dxa"/>
            <w:tcBorders>
              <w:top w:val="nil"/>
              <w:left w:val="nil"/>
              <w:bottom w:val="nil"/>
              <w:right w:val="nil"/>
            </w:tcBorders>
            <w:shd w:val="clear" w:color="auto" w:fill="FFFFFF"/>
            <w:vAlign w:val="bottom"/>
          </w:tcPr>
          <w:p w14:paraId="280B13A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Acquisitions</w:t>
            </w:r>
          </w:p>
        </w:tc>
        <w:tc>
          <w:tcPr>
            <w:tcW w:w="965" w:type="dxa"/>
            <w:tcBorders>
              <w:top w:val="nil"/>
              <w:left w:val="nil"/>
              <w:bottom w:val="nil"/>
              <w:right w:val="nil"/>
            </w:tcBorders>
            <w:shd w:val="clear" w:color="auto" w:fill="FFFFFF"/>
            <w:vAlign w:val="bottom"/>
          </w:tcPr>
          <w:p w14:paraId="4BFECE9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0947F1D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1,078</w:t>
            </w:r>
          </w:p>
        </w:tc>
        <w:tc>
          <w:tcPr>
            <w:tcW w:w="964" w:type="dxa"/>
            <w:tcBorders>
              <w:top w:val="nil"/>
              <w:left w:val="nil"/>
              <w:bottom w:val="nil"/>
              <w:right w:val="nil"/>
            </w:tcBorders>
            <w:shd w:val="clear" w:color="auto" w:fill="FFFFFF"/>
            <w:vAlign w:val="bottom"/>
          </w:tcPr>
          <w:p w14:paraId="2815721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1,078</w:t>
            </w:r>
          </w:p>
        </w:tc>
      </w:tr>
      <w:tr w:rsidR="002E375F" w14:paraId="1540915D" w14:textId="77777777" w:rsidTr="00746A7C">
        <w:tc>
          <w:tcPr>
            <w:tcW w:w="6159" w:type="dxa"/>
            <w:tcBorders>
              <w:top w:val="nil"/>
              <w:left w:val="nil"/>
              <w:bottom w:val="nil"/>
              <w:right w:val="nil"/>
            </w:tcBorders>
            <w:shd w:val="clear" w:color="auto" w:fill="FFFFFF"/>
            <w:vAlign w:val="bottom"/>
          </w:tcPr>
          <w:p w14:paraId="0EF33E6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Amortisation</w:t>
            </w:r>
          </w:p>
        </w:tc>
        <w:tc>
          <w:tcPr>
            <w:tcW w:w="965" w:type="dxa"/>
            <w:tcBorders>
              <w:top w:val="nil"/>
              <w:left w:val="nil"/>
              <w:bottom w:val="single" w:sz="2" w:space="0" w:color="auto"/>
              <w:right w:val="nil"/>
            </w:tcBorders>
            <w:shd w:val="clear" w:color="auto" w:fill="FFFFFF"/>
            <w:vAlign w:val="bottom"/>
          </w:tcPr>
          <w:p w14:paraId="24ACBCD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(408)</w:t>
            </w:r>
          </w:p>
        </w:tc>
        <w:tc>
          <w:tcPr>
            <w:tcW w:w="964" w:type="dxa"/>
            <w:tcBorders>
              <w:top w:val="nil"/>
              <w:left w:val="nil"/>
              <w:bottom w:val="single" w:sz="2" w:space="0" w:color="auto"/>
              <w:right w:val="nil"/>
            </w:tcBorders>
            <w:shd w:val="clear" w:color="auto" w:fill="FFFFFF"/>
            <w:vAlign w:val="bottom"/>
          </w:tcPr>
          <w:p w14:paraId="11D6823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6D4F461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(408)</w:t>
            </w:r>
          </w:p>
        </w:tc>
      </w:tr>
      <w:tr w:rsidR="002E375F" w14:paraId="3E912BF8" w14:textId="77777777" w:rsidTr="00746A7C">
        <w:tc>
          <w:tcPr>
            <w:tcW w:w="6159" w:type="dxa"/>
            <w:tcBorders>
              <w:top w:val="nil"/>
              <w:left w:val="nil"/>
              <w:bottom w:val="nil"/>
              <w:right w:val="nil"/>
            </w:tcBorders>
            <w:shd w:val="clear" w:color="auto" w:fill="FFFFFF"/>
            <w:vAlign w:val="bottom"/>
          </w:tcPr>
          <w:p w14:paraId="6915487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Carrying amount at 30 June 2020</w:t>
            </w:r>
          </w:p>
        </w:tc>
        <w:tc>
          <w:tcPr>
            <w:tcW w:w="965" w:type="dxa"/>
            <w:tcBorders>
              <w:top w:val="nil"/>
              <w:left w:val="nil"/>
              <w:bottom w:val="single" w:sz="2" w:space="0" w:color="auto"/>
              <w:right w:val="nil"/>
            </w:tcBorders>
            <w:shd w:val="clear" w:color="auto" w:fill="FFFFFF"/>
            <w:vAlign w:val="bottom"/>
          </w:tcPr>
          <w:p w14:paraId="7089F97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2,148</w:t>
            </w:r>
          </w:p>
        </w:tc>
        <w:tc>
          <w:tcPr>
            <w:tcW w:w="964" w:type="dxa"/>
            <w:tcBorders>
              <w:top w:val="nil"/>
              <w:left w:val="nil"/>
              <w:bottom w:val="single" w:sz="2" w:space="0" w:color="auto"/>
              <w:right w:val="nil"/>
            </w:tcBorders>
            <w:shd w:val="clear" w:color="auto" w:fill="FFFFFF"/>
            <w:vAlign w:val="bottom"/>
          </w:tcPr>
          <w:p w14:paraId="783403D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1,078</w:t>
            </w:r>
          </w:p>
        </w:tc>
        <w:tc>
          <w:tcPr>
            <w:tcW w:w="964" w:type="dxa"/>
            <w:tcBorders>
              <w:top w:val="nil"/>
              <w:left w:val="nil"/>
              <w:bottom w:val="single" w:sz="2" w:space="0" w:color="auto"/>
              <w:right w:val="nil"/>
            </w:tcBorders>
            <w:shd w:val="clear" w:color="auto" w:fill="FFFFFF"/>
            <w:vAlign w:val="bottom"/>
          </w:tcPr>
          <w:p w14:paraId="7E848FE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3,226</w:t>
            </w:r>
          </w:p>
        </w:tc>
      </w:tr>
    </w:tbl>
    <w:p w14:paraId="62509299" w14:textId="77777777" w:rsidR="002E375F" w:rsidRDefault="00746A7C" w:rsidP="00862FE1">
      <w:pPr>
        <w:pStyle w:val="Heading3"/>
        <w:spacing w:before="240"/>
        <w:rPr>
          <w:rFonts w:ascii="Times New Roman" w:hAnsi="Times New Roman" w:cs="Times New Roman"/>
        </w:rPr>
      </w:pPr>
      <w:r>
        <w:t>C5-2 Recognition and Measurement</w:t>
      </w:r>
    </w:p>
    <w:p w14:paraId="4814D8B0" w14:textId="77777777" w:rsidR="002E375F" w:rsidRPr="00E116EC" w:rsidRDefault="00EB2569" w:rsidP="00E116EC">
      <w:pPr>
        <w:pStyle w:val="Heading3"/>
        <w:rPr>
          <w:sz w:val="18"/>
          <w:szCs w:val="18"/>
        </w:rPr>
      </w:pPr>
      <w:r w:rsidRPr="00E116EC">
        <w:rPr>
          <w:sz w:val="18"/>
          <w:szCs w:val="18"/>
        </w:rPr>
        <w:t>Accounting Policy</w:t>
      </w:r>
    </w:p>
    <w:p w14:paraId="62C9C15C"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Intangible assets of the department comprise internally developed software and software works in progress. Intangible assets with a historical cost or other value equal to or greater than $100,000 are recognised in the financial statements. Items with a lesser value are expensed. Any training costs are expensed as incurred.</w:t>
      </w:r>
    </w:p>
    <w:p w14:paraId="710BD610"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There is no active market for any of the department's intangible assets. As such, the assets are recognised and carried at historical cost less accumulated amortisation and accumulated impairment losses.</w:t>
      </w:r>
    </w:p>
    <w:p w14:paraId="6E201660" w14:textId="77777777" w:rsidR="002E375F" w:rsidRDefault="002E375F" w:rsidP="00D16D72">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600756BC"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14975FDD"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0E45548A"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14C8EEE7"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7B81D34E" w14:textId="77777777" w:rsidR="00746A7C" w:rsidRDefault="00746A7C" w:rsidP="00746A7C">
      <w:pPr>
        <w:pStyle w:val="Heading3"/>
      </w:pPr>
      <w:r>
        <w:t>C5 Intangibles (continued)</w:t>
      </w:r>
    </w:p>
    <w:p w14:paraId="3E944ACD" w14:textId="77777777" w:rsidR="00746A7C" w:rsidRDefault="00746A7C" w:rsidP="00746A7C">
      <w:pPr>
        <w:pStyle w:val="Heading3"/>
        <w:rPr>
          <w:rFonts w:ascii="Times New Roman" w:hAnsi="Times New Roman" w:cs="Times New Roman"/>
        </w:rPr>
      </w:pPr>
      <w:r>
        <w:t>C5-3 Amortisation Expense</w:t>
      </w:r>
    </w:p>
    <w:p w14:paraId="5A0670DD"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All intangible assets of the department have finite useful lives and are amortised on a straight line basis over their estimated useful life to the department. Straight line amortisation is used reflecting the expected consumption of economic benefits on a progressive basis over the intangible’s useful life. The residual value of all the department's intangible assets is nil.</w:t>
      </w:r>
    </w:p>
    <w:p w14:paraId="4424B8AF"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For each class of intangible asset the following amortisation useful lives are used:</w:t>
      </w:r>
    </w:p>
    <w:tbl>
      <w:tblPr>
        <w:tblW w:w="8465" w:type="dxa"/>
        <w:tblLayout w:type="fixed"/>
        <w:tblCellMar>
          <w:left w:w="0" w:type="dxa"/>
          <w:right w:w="0" w:type="dxa"/>
        </w:tblCellMar>
        <w:tblLook w:val="0000" w:firstRow="0" w:lastRow="0" w:firstColumn="0" w:lastColumn="0" w:noHBand="0" w:noVBand="0"/>
      </w:tblPr>
      <w:tblGrid>
        <w:gridCol w:w="3047"/>
        <w:gridCol w:w="2709"/>
        <w:gridCol w:w="2709"/>
      </w:tblGrid>
      <w:tr w:rsidR="002E375F" w:rsidRPr="00E46D04" w14:paraId="4EC05D5F" w14:textId="77777777" w:rsidTr="00862FE1">
        <w:tc>
          <w:tcPr>
            <w:tcW w:w="2552" w:type="dxa"/>
            <w:tcBorders>
              <w:top w:val="nil"/>
              <w:left w:val="nil"/>
              <w:bottom w:val="nil"/>
              <w:right w:val="nil"/>
            </w:tcBorders>
            <w:shd w:val="clear" w:color="auto" w:fill="FFFFFF"/>
            <w:vAlign w:val="bottom"/>
          </w:tcPr>
          <w:p w14:paraId="4FCDE8B7" w14:textId="77777777" w:rsidR="002E375F" w:rsidRPr="00862FE1" w:rsidRDefault="00EB2569" w:rsidP="001C442D">
            <w:pPr>
              <w:pStyle w:val="Heading2"/>
              <w:rPr>
                <w:rFonts w:ascii="Arial" w:hAnsi="Arial" w:cs="Arial"/>
                <w:b/>
                <w:sz w:val="18"/>
                <w:szCs w:val="18"/>
              </w:rPr>
            </w:pPr>
            <w:r w:rsidRPr="00862FE1">
              <w:rPr>
                <w:rFonts w:ascii="Arial" w:hAnsi="Arial" w:cs="Arial"/>
                <w:b/>
                <w:sz w:val="18"/>
                <w:szCs w:val="18"/>
              </w:rPr>
              <w:t>Asset</w:t>
            </w:r>
          </w:p>
        </w:tc>
        <w:tc>
          <w:tcPr>
            <w:tcW w:w="2269" w:type="dxa"/>
            <w:tcBorders>
              <w:top w:val="nil"/>
              <w:left w:val="nil"/>
              <w:bottom w:val="nil"/>
              <w:right w:val="nil"/>
            </w:tcBorders>
            <w:shd w:val="clear" w:color="auto" w:fill="FFFFFF"/>
            <w:vAlign w:val="bottom"/>
          </w:tcPr>
          <w:p w14:paraId="296597D6" w14:textId="77777777" w:rsidR="002E375F" w:rsidRPr="00862FE1" w:rsidRDefault="00EB2569" w:rsidP="00862FE1">
            <w:pPr>
              <w:pStyle w:val="Heading2"/>
              <w:jc w:val="right"/>
              <w:rPr>
                <w:rFonts w:ascii="Arial" w:hAnsi="Arial" w:cs="Arial"/>
                <w:b/>
                <w:sz w:val="18"/>
                <w:szCs w:val="18"/>
              </w:rPr>
            </w:pPr>
            <w:r w:rsidRPr="00862FE1">
              <w:rPr>
                <w:rFonts w:ascii="Arial" w:hAnsi="Arial" w:cs="Arial"/>
                <w:b/>
                <w:sz w:val="18"/>
                <w:szCs w:val="18"/>
              </w:rPr>
              <w:t>Range of Useful Life</w:t>
            </w:r>
          </w:p>
        </w:tc>
        <w:tc>
          <w:tcPr>
            <w:tcW w:w="2269" w:type="dxa"/>
            <w:tcBorders>
              <w:top w:val="nil"/>
              <w:left w:val="nil"/>
              <w:bottom w:val="nil"/>
              <w:right w:val="nil"/>
            </w:tcBorders>
            <w:shd w:val="clear" w:color="auto" w:fill="FFFFFF"/>
            <w:vAlign w:val="bottom"/>
          </w:tcPr>
          <w:p w14:paraId="397EC10A" w14:textId="77777777" w:rsidR="002E375F" w:rsidRPr="00862FE1" w:rsidRDefault="00EB2569" w:rsidP="00862FE1">
            <w:pPr>
              <w:pStyle w:val="Heading2"/>
              <w:jc w:val="right"/>
              <w:rPr>
                <w:rFonts w:ascii="Arial" w:hAnsi="Arial" w:cs="Arial"/>
                <w:b/>
                <w:sz w:val="18"/>
                <w:szCs w:val="18"/>
              </w:rPr>
            </w:pPr>
            <w:r w:rsidRPr="00862FE1">
              <w:rPr>
                <w:rFonts w:ascii="Arial" w:hAnsi="Arial" w:cs="Arial"/>
                <w:b/>
                <w:sz w:val="18"/>
                <w:szCs w:val="18"/>
              </w:rPr>
              <w:t>Average Useful Life</w:t>
            </w:r>
          </w:p>
        </w:tc>
      </w:tr>
      <w:tr w:rsidR="002E375F" w14:paraId="1245E1DF" w14:textId="77777777" w:rsidTr="00862FE1">
        <w:tc>
          <w:tcPr>
            <w:tcW w:w="2552" w:type="dxa"/>
            <w:tcBorders>
              <w:top w:val="nil"/>
              <w:left w:val="nil"/>
              <w:bottom w:val="nil"/>
              <w:right w:val="nil"/>
            </w:tcBorders>
            <w:shd w:val="clear" w:color="auto" w:fill="FFFFFF"/>
            <w:vAlign w:val="bottom"/>
          </w:tcPr>
          <w:p w14:paraId="44CADCF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Software Internally Generated</w:t>
            </w:r>
          </w:p>
        </w:tc>
        <w:tc>
          <w:tcPr>
            <w:tcW w:w="2269" w:type="dxa"/>
            <w:tcBorders>
              <w:top w:val="nil"/>
              <w:left w:val="nil"/>
              <w:bottom w:val="nil"/>
              <w:right w:val="nil"/>
            </w:tcBorders>
            <w:shd w:val="clear" w:color="auto" w:fill="FFFFFF"/>
            <w:vAlign w:val="bottom"/>
          </w:tcPr>
          <w:p w14:paraId="358B5582" w14:textId="77777777" w:rsidR="002E375F" w:rsidRDefault="00EB2569" w:rsidP="00862FE1">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3 - 12 years</w:t>
            </w:r>
          </w:p>
        </w:tc>
        <w:tc>
          <w:tcPr>
            <w:tcW w:w="2269" w:type="dxa"/>
            <w:tcBorders>
              <w:top w:val="nil"/>
              <w:left w:val="nil"/>
              <w:bottom w:val="nil"/>
              <w:right w:val="nil"/>
            </w:tcBorders>
            <w:shd w:val="clear" w:color="auto" w:fill="FFFFFF"/>
            <w:vAlign w:val="bottom"/>
          </w:tcPr>
          <w:p w14:paraId="3D5C200A" w14:textId="77777777" w:rsidR="002E375F" w:rsidRDefault="00EB2569" w:rsidP="00862FE1">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8.70 years</w:t>
            </w:r>
          </w:p>
        </w:tc>
      </w:tr>
    </w:tbl>
    <w:p w14:paraId="1DF6F15E"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25967652" w14:textId="77777777" w:rsidR="0040568F" w:rsidRDefault="0040568F" w:rsidP="0040568F">
      <w:pPr>
        <w:pStyle w:val="Heading3"/>
        <w:rPr>
          <w:rFonts w:ascii="Times New Roman" w:hAnsi="Times New Roman" w:cs="Times New Roman"/>
        </w:rPr>
      </w:pPr>
      <w:r>
        <w:t>C5-4 Impairment</w:t>
      </w:r>
    </w:p>
    <w:p w14:paraId="1845F318" w14:textId="77777777" w:rsidR="002E375F" w:rsidRPr="00E116EC" w:rsidRDefault="00EB2569" w:rsidP="00E116EC">
      <w:pPr>
        <w:pStyle w:val="Heading3"/>
        <w:rPr>
          <w:sz w:val="18"/>
          <w:szCs w:val="18"/>
        </w:rPr>
      </w:pPr>
      <w:r w:rsidRPr="00E116EC">
        <w:rPr>
          <w:sz w:val="18"/>
          <w:szCs w:val="18"/>
        </w:rPr>
        <w:t>Accounting Policy - Intangibles</w:t>
      </w:r>
    </w:p>
    <w:p w14:paraId="4E8BA840"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All intangible assets are assessed for indicators of impairment on an annual basis. If an indicator of possible impairment exists, the department determines the asset's recoverable amount. Any amount by which the asset's carrying amount exceeds the recoverable amount is recorded as an impairment loss.</w:t>
      </w:r>
    </w:p>
    <w:p w14:paraId="5EC2727E" w14:textId="77777777" w:rsidR="002E375F" w:rsidRDefault="00EB2569" w:rsidP="00D16D72">
      <w:pPr>
        <w:autoSpaceDE w:val="0"/>
        <w:autoSpaceDN w:val="0"/>
        <w:adjustRightInd w:val="0"/>
        <w:spacing w:after="141" w:line="240" w:lineRule="auto"/>
        <w:rPr>
          <w:rFonts w:ascii="Arial" w:hAnsi="Arial" w:cs="Arial"/>
          <w:sz w:val="18"/>
          <w:szCs w:val="18"/>
        </w:rPr>
      </w:pPr>
      <w:r>
        <w:rPr>
          <w:rFonts w:ascii="Arial" w:hAnsi="Arial" w:cs="Arial"/>
          <w:sz w:val="18"/>
          <w:szCs w:val="18"/>
        </w:rPr>
        <w:t>Intangible assets are principally assessed for impairment by reference to the actual and expected continuing use of the asset by the department, including discontinuing the use of the software or patent. Recoverable amount is determined as the higher of the asset's fair value less costs to sell and its value-in-use.</w:t>
      </w:r>
    </w:p>
    <w:p w14:paraId="64AF4468" w14:textId="77777777" w:rsidR="0040568F" w:rsidRDefault="0040568F" w:rsidP="0040568F">
      <w:pPr>
        <w:pStyle w:val="Heading3"/>
        <w:rPr>
          <w:rFonts w:ascii="Times New Roman" w:hAnsi="Times New Roman" w:cs="Times New Roman"/>
        </w:rPr>
      </w:pPr>
      <w:r>
        <w:t>C6 Payables</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29CDF388" w14:textId="77777777" w:rsidTr="0040568F">
        <w:tc>
          <w:tcPr>
            <w:tcW w:w="7124" w:type="dxa"/>
            <w:tcBorders>
              <w:top w:val="nil"/>
              <w:left w:val="nil"/>
              <w:bottom w:val="nil"/>
              <w:right w:val="nil"/>
            </w:tcBorders>
            <w:shd w:val="clear" w:color="auto" w:fill="FFFFFF"/>
            <w:vAlign w:val="bottom"/>
          </w:tcPr>
          <w:p w14:paraId="32E0348E"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5E4CFF34" w14:textId="77777777" w:rsidR="002E375F" w:rsidRPr="00862FE1" w:rsidRDefault="00EB2569" w:rsidP="00862FE1">
            <w:pPr>
              <w:pStyle w:val="Heading2"/>
              <w:jc w:val="right"/>
              <w:rPr>
                <w:b/>
              </w:rPr>
            </w:pPr>
            <w:r w:rsidRPr="00E46D04">
              <w:rPr>
                <w:rFonts w:ascii="Arial" w:hAnsi="Arial" w:cs="Arial"/>
                <w:b/>
                <w:bCs/>
                <w:sz w:val="18"/>
                <w:szCs w:val="18"/>
              </w:rPr>
              <w:t>2020</w:t>
            </w:r>
            <w:r w:rsidRPr="00E46D04">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4AE76301"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3BA7D312" w14:textId="77777777" w:rsidTr="0040568F">
        <w:tc>
          <w:tcPr>
            <w:tcW w:w="7124" w:type="dxa"/>
            <w:tcBorders>
              <w:top w:val="nil"/>
              <w:left w:val="nil"/>
              <w:bottom w:val="nil"/>
              <w:right w:val="nil"/>
            </w:tcBorders>
            <w:shd w:val="clear" w:color="auto" w:fill="FFFFFF"/>
            <w:vAlign w:val="bottom"/>
          </w:tcPr>
          <w:p w14:paraId="5D047DE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Current</w:t>
            </w:r>
          </w:p>
        </w:tc>
        <w:tc>
          <w:tcPr>
            <w:tcW w:w="964" w:type="dxa"/>
            <w:tcBorders>
              <w:top w:val="nil"/>
              <w:left w:val="nil"/>
              <w:bottom w:val="nil"/>
              <w:right w:val="nil"/>
            </w:tcBorders>
            <w:shd w:val="clear" w:color="auto" w:fill="FFFFFF"/>
            <w:vAlign w:val="bottom"/>
          </w:tcPr>
          <w:p w14:paraId="105EC41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E9455A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14732009" w14:textId="77777777" w:rsidTr="0040568F">
        <w:tc>
          <w:tcPr>
            <w:tcW w:w="7124" w:type="dxa"/>
            <w:tcBorders>
              <w:top w:val="nil"/>
              <w:left w:val="nil"/>
              <w:bottom w:val="nil"/>
              <w:right w:val="nil"/>
            </w:tcBorders>
            <w:shd w:val="clear" w:color="auto" w:fill="FFFFFF"/>
            <w:vAlign w:val="bottom"/>
          </w:tcPr>
          <w:p w14:paraId="305931B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Trade creditors and accruals</w:t>
            </w:r>
          </w:p>
        </w:tc>
        <w:tc>
          <w:tcPr>
            <w:tcW w:w="964" w:type="dxa"/>
            <w:tcBorders>
              <w:top w:val="nil"/>
              <w:left w:val="nil"/>
              <w:bottom w:val="nil"/>
              <w:right w:val="nil"/>
            </w:tcBorders>
            <w:shd w:val="clear" w:color="auto" w:fill="FFFFFF"/>
            <w:vAlign w:val="bottom"/>
          </w:tcPr>
          <w:p w14:paraId="68D5A4C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5,107</w:t>
            </w:r>
          </w:p>
        </w:tc>
        <w:tc>
          <w:tcPr>
            <w:tcW w:w="964" w:type="dxa"/>
            <w:tcBorders>
              <w:top w:val="nil"/>
              <w:left w:val="nil"/>
              <w:bottom w:val="nil"/>
              <w:right w:val="nil"/>
            </w:tcBorders>
            <w:shd w:val="clear" w:color="auto" w:fill="FFFFFF"/>
            <w:vAlign w:val="bottom"/>
          </w:tcPr>
          <w:p w14:paraId="671E677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11,093</w:t>
            </w:r>
          </w:p>
        </w:tc>
      </w:tr>
      <w:tr w:rsidR="002E375F" w14:paraId="1E437722" w14:textId="77777777" w:rsidTr="0040568F">
        <w:tc>
          <w:tcPr>
            <w:tcW w:w="7124" w:type="dxa"/>
            <w:tcBorders>
              <w:top w:val="nil"/>
              <w:left w:val="nil"/>
              <w:bottom w:val="nil"/>
              <w:right w:val="nil"/>
            </w:tcBorders>
            <w:shd w:val="clear" w:color="auto" w:fill="FFFFFF"/>
            <w:vAlign w:val="bottom"/>
          </w:tcPr>
          <w:p w14:paraId="1FA0C5C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Grants and subsidies payable</w:t>
            </w:r>
          </w:p>
        </w:tc>
        <w:tc>
          <w:tcPr>
            <w:tcW w:w="964" w:type="dxa"/>
            <w:tcBorders>
              <w:top w:val="nil"/>
              <w:left w:val="nil"/>
              <w:bottom w:val="nil"/>
              <w:right w:val="nil"/>
            </w:tcBorders>
            <w:shd w:val="clear" w:color="auto" w:fill="FFFFFF"/>
            <w:vAlign w:val="bottom"/>
          </w:tcPr>
          <w:p w14:paraId="75D001D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5,501</w:t>
            </w:r>
          </w:p>
        </w:tc>
        <w:tc>
          <w:tcPr>
            <w:tcW w:w="964" w:type="dxa"/>
            <w:tcBorders>
              <w:top w:val="nil"/>
              <w:left w:val="nil"/>
              <w:bottom w:val="nil"/>
              <w:right w:val="nil"/>
            </w:tcBorders>
            <w:shd w:val="clear" w:color="auto" w:fill="FFFFFF"/>
            <w:vAlign w:val="bottom"/>
          </w:tcPr>
          <w:p w14:paraId="47E4595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2,412</w:t>
            </w:r>
          </w:p>
        </w:tc>
      </w:tr>
      <w:tr w:rsidR="002E375F" w14:paraId="7301BDC2" w14:textId="77777777" w:rsidTr="0040568F">
        <w:tc>
          <w:tcPr>
            <w:tcW w:w="7124" w:type="dxa"/>
            <w:tcBorders>
              <w:top w:val="nil"/>
              <w:left w:val="nil"/>
              <w:bottom w:val="nil"/>
              <w:right w:val="nil"/>
            </w:tcBorders>
            <w:shd w:val="clear" w:color="auto" w:fill="FFFFFF"/>
            <w:vAlign w:val="bottom"/>
          </w:tcPr>
          <w:p w14:paraId="1D3E0CC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 xml:space="preserve">Deferred appropriation payable to Consolidated Fund </w:t>
            </w:r>
          </w:p>
        </w:tc>
        <w:tc>
          <w:tcPr>
            <w:tcW w:w="964" w:type="dxa"/>
            <w:tcBorders>
              <w:top w:val="nil"/>
              <w:left w:val="nil"/>
              <w:bottom w:val="nil"/>
              <w:right w:val="nil"/>
            </w:tcBorders>
            <w:shd w:val="clear" w:color="auto" w:fill="FFFFFF"/>
            <w:vAlign w:val="bottom"/>
          </w:tcPr>
          <w:p w14:paraId="707BDA7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21,652</w:t>
            </w:r>
          </w:p>
        </w:tc>
        <w:tc>
          <w:tcPr>
            <w:tcW w:w="964" w:type="dxa"/>
            <w:tcBorders>
              <w:top w:val="nil"/>
              <w:left w:val="nil"/>
              <w:bottom w:val="nil"/>
              <w:right w:val="nil"/>
            </w:tcBorders>
            <w:shd w:val="clear" w:color="auto" w:fill="FFFFFF"/>
            <w:vAlign w:val="bottom"/>
          </w:tcPr>
          <w:p w14:paraId="5A791AB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17,049</w:t>
            </w:r>
          </w:p>
        </w:tc>
      </w:tr>
      <w:tr w:rsidR="002E375F" w14:paraId="48855981" w14:textId="77777777" w:rsidTr="0040568F">
        <w:tc>
          <w:tcPr>
            <w:tcW w:w="7124" w:type="dxa"/>
            <w:tcBorders>
              <w:top w:val="nil"/>
              <w:left w:val="nil"/>
              <w:bottom w:val="nil"/>
              <w:right w:val="nil"/>
            </w:tcBorders>
            <w:shd w:val="clear" w:color="auto" w:fill="FFFFFF"/>
            <w:vAlign w:val="bottom"/>
          </w:tcPr>
          <w:p w14:paraId="24D9A3E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w:t>
            </w:r>
          </w:p>
        </w:tc>
        <w:tc>
          <w:tcPr>
            <w:tcW w:w="964" w:type="dxa"/>
            <w:tcBorders>
              <w:top w:val="nil"/>
              <w:left w:val="nil"/>
              <w:bottom w:val="single" w:sz="2" w:space="0" w:color="auto"/>
              <w:right w:val="nil"/>
            </w:tcBorders>
            <w:shd w:val="clear" w:color="auto" w:fill="FFFFFF"/>
            <w:vAlign w:val="bottom"/>
          </w:tcPr>
          <w:p w14:paraId="4C729D0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339</w:t>
            </w:r>
          </w:p>
        </w:tc>
        <w:tc>
          <w:tcPr>
            <w:tcW w:w="964" w:type="dxa"/>
            <w:tcBorders>
              <w:top w:val="nil"/>
              <w:left w:val="nil"/>
              <w:bottom w:val="single" w:sz="2" w:space="0" w:color="auto"/>
              <w:right w:val="nil"/>
            </w:tcBorders>
            <w:shd w:val="clear" w:color="auto" w:fill="FFFFFF"/>
            <w:vAlign w:val="bottom"/>
          </w:tcPr>
          <w:p w14:paraId="63FEFEE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(406)</w:t>
            </w:r>
          </w:p>
        </w:tc>
      </w:tr>
      <w:tr w:rsidR="002E375F" w14:paraId="4977A45D" w14:textId="77777777" w:rsidTr="0040568F">
        <w:tc>
          <w:tcPr>
            <w:tcW w:w="7124" w:type="dxa"/>
            <w:tcBorders>
              <w:top w:val="nil"/>
              <w:left w:val="nil"/>
              <w:bottom w:val="nil"/>
              <w:right w:val="nil"/>
            </w:tcBorders>
            <w:shd w:val="clear" w:color="auto" w:fill="FFFFFF"/>
            <w:vAlign w:val="bottom"/>
          </w:tcPr>
          <w:p w14:paraId="3EC77A3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05A7527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32,599</w:t>
            </w:r>
          </w:p>
        </w:tc>
        <w:tc>
          <w:tcPr>
            <w:tcW w:w="964" w:type="dxa"/>
            <w:tcBorders>
              <w:top w:val="nil"/>
              <w:left w:val="nil"/>
              <w:bottom w:val="single" w:sz="2" w:space="0" w:color="auto"/>
              <w:right w:val="nil"/>
            </w:tcBorders>
            <w:shd w:val="clear" w:color="auto" w:fill="FFFFFF"/>
            <w:vAlign w:val="bottom"/>
          </w:tcPr>
          <w:p w14:paraId="7F14511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30,148</w:t>
            </w:r>
          </w:p>
        </w:tc>
      </w:tr>
      <w:tr w:rsidR="002E375F" w14:paraId="06780E25" w14:textId="77777777" w:rsidTr="0040568F">
        <w:tc>
          <w:tcPr>
            <w:tcW w:w="7124" w:type="dxa"/>
            <w:tcBorders>
              <w:top w:val="nil"/>
              <w:left w:val="nil"/>
              <w:bottom w:val="nil"/>
              <w:right w:val="nil"/>
            </w:tcBorders>
            <w:shd w:val="clear" w:color="auto" w:fill="FFFFFF"/>
            <w:vAlign w:val="bottom"/>
          </w:tcPr>
          <w:p w14:paraId="0DE968DE"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4E68C166" w14:textId="77777777" w:rsidR="002E375F" w:rsidRPr="00862FE1" w:rsidRDefault="00EB2569" w:rsidP="00862FE1">
            <w:pPr>
              <w:pStyle w:val="Heading2"/>
              <w:jc w:val="right"/>
              <w:rPr>
                <w:b/>
              </w:rPr>
            </w:pPr>
            <w:r w:rsidRPr="00E46D04">
              <w:rPr>
                <w:rFonts w:ascii="Arial" w:hAnsi="Arial" w:cs="Arial"/>
                <w:b/>
                <w:bCs/>
                <w:sz w:val="18"/>
                <w:szCs w:val="18"/>
              </w:rPr>
              <w:t>2020</w:t>
            </w:r>
            <w:r w:rsidRPr="00E46D04">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23D03B1A"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6D288DFE" w14:textId="77777777" w:rsidTr="0040568F">
        <w:tc>
          <w:tcPr>
            <w:tcW w:w="7124" w:type="dxa"/>
            <w:tcBorders>
              <w:top w:val="nil"/>
              <w:left w:val="nil"/>
              <w:bottom w:val="nil"/>
              <w:right w:val="nil"/>
            </w:tcBorders>
            <w:shd w:val="clear" w:color="auto" w:fill="FFFFFF"/>
            <w:vAlign w:val="bottom"/>
          </w:tcPr>
          <w:p w14:paraId="46C34FA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Non-Current</w:t>
            </w:r>
          </w:p>
        </w:tc>
        <w:tc>
          <w:tcPr>
            <w:tcW w:w="964" w:type="dxa"/>
            <w:tcBorders>
              <w:top w:val="nil"/>
              <w:left w:val="nil"/>
              <w:bottom w:val="nil"/>
              <w:right w:val="nil"/>
            </w:tcBorders>
            <w:shd w:val="clear" w:color="auto" w:fill="FFFFFF"/>
            <w:vAlign w:val="bottom"/>
          </w:tcPr>
          <w:p w14:paraId="4DD4561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5F7C40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6FA7CAF4" w14:textId="77777777" w:rsidTr="0040568F">
        <w:tc>
          <w:tcPr>
            <w:tcW w:w="7124" w:type="dxa"/>
            <w:tcBorders>
              <w:top w:val="nil"/>
              <w:left w:val="nil"/>
              <w:bottom w:val="nil"/>
              <w:right w:val="nil"/>
            </w:tcBorders>
            <w:shd w:val="clear" w:color="auto" w:fill="FFFFFF"/>
            <w:vAlign w:val="bottom"/>
          </w:tcPr>
          <w:p w14:paraId="47DC4BB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Deferred operating lease rent *</w:t>
            </w:r>
          </w:p>
        </w:tc>
        <w:tc>
          <w:tcPr>
            <w:tcW w:w="964" w:type="dxa"/>
            <w:tcBorders>
              <w:top w:val="nil"/>
              <w:left w:val="nil"/>
              <w:bottom w:val="single" w:sz="2" w:space="0" w:color="auto"/>
              <w:right w:val="nil"/>
            </w:tcBorders>
            <w:shd w:val="clear" w:color="auto" w:fill="FFFFFF"/>
            <w:vAlign w:val="bottom"/>
          </w:tcPr>
          <w:p w14:paraId="6951DB2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0452984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4,202</w:t>
            </w:r>
          </w:p>
        </w:tc>
      </w:tr>
      <w:tr w:rsidR="002E375F" w14:paraId="2426B20B" w14:textId="77777777" w:rsidTr="0040568F">
        <w:tc>
          <w:tcPr>
            <w:tcW w:w="7124" w:type="dxa"/>
            <w:tcBorders>
              <w:top w:val="nil"/>
              <w:left w:val="nil"/>
              <w:bottom w:val="nil"/>
              <w:right w:val="nil"/>
            </w:tcBorders>
            <w:shd w:val="clear" w:color="auto" w:fill="FFFFFF"/>
            <w:vAlign w:val="bottom"/>
          </w:tcPr>
          <w:p w14:paraId="1321EE9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17CA41A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4545DC7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4,202</w:t>
            </w:r>
          </w:p>
        </w:tc>
      </w:tr>
    </w:tbl>
    <w:p w14:paraId="7B892569" w14:textId="77777777" w:rsidR="002E375F" w:rsidRPr="00E116EC" w:rsidRDefault="00EB2569" w:rsidP="00862FE1">
      <w:pPr>
        <w:pStyle w:val="Heading3"/>
        <w:spacing w:before="240"/>
        <w:rPr>
          <w:sz w:val="18"/>
          <w:szCs w:val="18"/>
        </w:rPr>
      </w:pPr>
      <w:r w:rsidRPr="00E116EC">
        <w:rPr>
          <w:sz w:val="18"/>
          <w:szCs w:val="18"/>
        </w:rPr>
        <w:t>Accounting Policy - Payables</w:t>
      </w:r>
    </w:p>
    <w:p w14:paraId="576D300B" w14:textId="77777777" w:rsidR="002E375F" w:rsidRDefault="00EB2569" w:rsidP="00D16D72">
      <w:pPr>
        <w:autoSpaceDE w:val="0"/>
        <w:autoSpaceDN w:val="0"/>
        <w:adjustRightInd w:val="0"/>
        <w:spacing w:after="141" w:line="240" w:lineRule="auto"/>
        <w:rPr>
          <w:rFonts w:ascii="Arial" w:hAnsi="Arial" w:cs="Arial"/>
          <w:sz w:val="18"/>
          <w:szCs w:val="18"/>
        </w:rPr>
      </w:pPr>
      <w:r>
        <w:rPr>
          <w:rFonts w:ascii="Arial" w:hAnsi="Arial" w:cs="Arial"/>
          <w:sz w:val="18"/>
          <w:szCs w:val="18"/>
        </w:rPr>
        <w:t>Trade creditors are recognised upon receipt of the goods or services ordered and are measured at the agreed purchase or contract price, gross of applicable trade and other discounts. Amounts owing are unsecured.</w:t>
      </w:r>
    </w:p>
    <w:p w14:paraId="12D8FC6D" w14:textId="77777777" w:rsidR="0040568F" w:rsidRDefault="0040568F"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There was a change in Australian Accounting Standards for leasing expenses with the previous non-current liability under AASB 117, along with a corresponding appropriation revenue receivable held with Queensland Treasury being eliminated at the start of the 2019-20 financial year through an opening balance adjustment. Refer to Note D4-1 (iii) for further information</w:t>
      </w:r>
      <w:r w:rsidR="00E46D04">
        <w:rPr>
          <w:rFonts w:ascii="Arial" w:hAnsi="Arial" w:cs="Arial"/>
          <w:sz w:val="18"/>
          <w:szCs w:val="18"/>
        </w:rPr>
        <w:t>.</w:t>
      </w:r>
    </w:p>
    <w:p w14:paraId="2958A0B0" w14:textId="77777777" w:rsidR="002E375F" w:rsidRDefault="002E375F" w:rsidP="00D16D72">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48195787"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0F3FBCD9"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1B3C8C67"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7CE30E67"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2DAC6E18" w14:textId="77777777" w:rsidR="0040568F" w:rsidRPr="00255F08" w:rsidRDefault="0040568F" w:rsidP="00255F08">
      <w:pPr>
        <w:pStyle w:val="Heading3"/>
      </w:pPr>
      <w:r w:rsidRPr="00255F08">
        <w:t>C6 Payables (continued)</w:t>
      </w:r>
    </w:p>
    <w:p w14:paraId="4B085F1E" w14:textId="77777777" w:rsidR="002E375F" w:rsidRPr="00E116EC" w:rsidRDefault="00EB2569" w:rsidP="00E116EC">
      <w:pPr>
        <w:pStyle w:val="Heading3"/>
        <w:rPr>
          <w:sz w:val="18"/>
          <w:szCs w:val="18"/>
        </w:rPr>
      </w:pPr>
      <w:r w:rsidRPr="00E116EC">
        <w:rPr>
          <w:sz w:val="18"/>
          <w:szCs w:val="18"/>
        </w:rPr>
        <w:t>Disclosure - COVID-19 pandemic impact</w:t>
      </w:r>
    </w:p>
    <w:p w14:paraId="1B35D7EB"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In response to COVID-19 the State Government announced a new payment policy to assist suppliers with the financial impact of the pandemic. The department now pays suppliers as soon as possible after the goods or services are received and following receipt of a tax invoice. There is no cash risk to the department. The department continues to monitor the financial viability of major non-government suppliers annually to identify risks to provision of government services.</w:t>
      </w:r>
    </w:p>
    <w:p w14:paraId="7BA919ED" w14:textId="77777777" w:rsidR="002E375F" w:rsidRDefault="0040568F" w:rsidP="00746A7C">
      <w:pPr>
        <w:pStyle w:val="Heading3"/>
        <w:rPr>
          <w:rFonts w:ascii="Times New Roman" w:hAnsi="Times New Roman" w:cs="Times New Roman"/>
        </w:rPr>
      </w:pPr>
      <w:r>
        <w:t>C7 Accrued Employee Benefits</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633AAE87" w14:textId="77777777" w:rsidTr="0040568F">
        <w:tc>
          <w:tcPr>
            <w:tcW w:w="7124" w:type="dxa"/>
            <w:tcBorders>
              <w:top w:val="nil"/>
              <w:left w:val="nil"/>
              <w:bottom w:val="nil"/>
              <w:right w:val="nil"/>
            </w:tcBorders>
            <w:shd w:val="clear" w:color="auto" w:fill="FFFFFF"/>
            <w:vAlign w:val="bottom"/>
          </w:tcPr>
          <w:p w14:paraId="215484D9"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4279341A" w14:textId="77777777" w:rsidR="002E375F" w:rsidRPr="00862FE1" w:rsidRDefault="00EB2569" w:rsidP="00862FE1">
            <w:pPr>
              <w:pStyle w:val="Heading2"/>
              <w:jc w:val="right"/>
              <w:rPr>
                <w:b/>
              </w:rPr>
            </w:pPr>
            <w:r w:rsidRPr="00E46D04">
              <w:rPr>
                <w:rFonts w:ascii="Arial" w:hAnsi="Arial" w:cs="Arial"/>
                <w:b/>
                <w:bCs/>
                <w:sz w:val="18"/>
                <w:szCs w:val="18"/>
              </w:rPr>
              <w:t>2020</w:t>
            </w:r>
            <w:r w:rsidRPr="00E46D04">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3ED096EC"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17219C2D" w14:textId="77777777" w:rsidTr="0040568F">
        <w:tc>
          <w:tcPr>
            <w:tcW w:w="7124" w:type="dxa"/>
            <w:tcBorders>
              <w:top w:val="nil"/>
              <w:left w:val="nil"/>
              <w:bottom w:val="nil"/>
              <w:right w:val="nil"/>
            </w:tcBorders>
            <w:shd w:val="clear" w:color="auto" w:fill="FFFFFF"/>
            <w:vAlign w:val="bottom"/>
          </w:tcPr>
          <w:p w14:paraId="5D46663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Salaries and wages payable</w:t>
            </w:r>
          </w:p>
        </w:tc>
        <w:tc>
          <w:tcPr>
            <w:tcW w:w="964" w:type="dxa"/>
            <w:tcBorders>
              <w:top w:val="nil"/>
              <w:left w:val="nil"/>
              <w:bottom w:val="nil"/>
              <w:right w:val="nil"/>
            </w:tcBorders>
            <w:shd w:val="clear" w:color="auto" w:fill="FFFFFF"/>
            <w:vAlign w:val="bottom"/>
          </w:tcPr>
          <w:p w14:paraId="70CCC29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2,649</w:t>
            </w:r>
          </w:p>
        </w:tc>
        <w:tc>
          <w:tcPr>
            <w:tcW w:w="964" w:type="dxa"/>
            <w:tcBorders>
              <w:top w:val="nil"/>
              <w:left w:val="nil"/>
              <w:bottom w:val="nil"/>
              <w:right w:val="nil"/>
            </w:tcBorders>
            <w:shd w:val="clear" w:color="auto" w:fill="FFFFFF"/>
            <w:vAlign w:val="bottom"/>
          </w:tcPr>
          <w:p w14:paraId="7A512C6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18,518</w:t>
            </w:r>
          </w:p>
        </w:tc>
      </w:tr>
      <w:tr w:rsidR="002E375F" w14:paraId="6ABD5B8F" w14:textId="77777777" w:rsidTr="0040568F">
        <w:tc>
          <w:tcPr>
            <w:tcW w:w="7124" w:type="dxa"/>
            <w:tcBorders>
              <w:top w:val="nil"/>
              <w:left w:val="nil"/>
              <w:bottom w:val="nil"/>
              <w:right w:val="nil"/>
            </w:tcBorders>
            <w:shd w:val="clear" w:color="auto" w:fill="FFFFFF"/>
            <w:vAlign w:val="bottom"/>
          </w:tcPr>
          <w:p w14:paraId="7F7130B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Annual leave levy payable</w:t>
            </w:r>
          </w:p>
        </w:tc>
        <w:tc>
          <w:tcPr>
            <w:tcW w:w="964" w:type="dxa"/>
            <w:tcBorders>
              <w:top w:val="nil"/>
              <w:left w:val="nil"/>
              <w:bottom w:val="nil"/>
              <w:right w:val="nil"/>
            </w:tcBorders>
            <w:shd w:val="clear" w:color="auto" w:fill="FFFFFF"/>
            <w:vAlign w:val="bottom"/>
          </w:tcPr>
          <w:p w14:paraId="346658B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4,003</w:t>
            </w:r>
          </w:p>
        </w:tc>
        <w:tc>
          <w:tcPr>
            <w:tcW w:w="964" w:type="dxa"/>
            <w:tcBorders>
              <w:top w:val="nil"/>
              <w:left w:val="nil"/>
              <w:bottom w:val="nil"/>
              <w:right w:val="nil"/>
            </w:tcBorders>
            <w:shd w:val="clear" w:color="auto" w:fill="FFFFFF"/>
            <w:vAlign w:val="bottom"/>
          </w:tcPr>
          <w:p w14:paraId="5566FB2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4,193</w:t>
            </w:r>
          </w:p>
        </w:tc>
      </w:tr>
      <w:tr w:rsidR="002E375F" w14:paraId="5F267B26" w14:textId="77777777" w:rsidTr="0040568F">
        <w:tc>
          <w:tcPr>
            <w:tcW w:w="7124" w:type="dxa"/>
            <w:tcBorders>
              <w:top w:val="nil"/>
              <w:left w:val="nil"/>
              <w:bottom w:val="nil"/>
              <w:right w:val="nil"/>
            </w:tcBorders>
            <w:shd w:val="clear" w:color="auto" w:fill="FFFFFF"/>
            <w:vAlign w:val="bottom"/>
          </w:tcPr>
          <w:p w14:paraId="7D6E61B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Long service leave levy payable</w:t>
            </w:r>
          </w:p>
        </w:tc>
        <w:tc>
          <w:tcPr>
            <w:tcW w:w="964" w:type="dxa"/>
            <w:tcBorders>
              <w:top w:val="nil"/>
              <w:left w:val="nil"/>
              <w:bottom w:val="single" w:sz="2" w:space="0" w:color="auto"/>
              <w:right w:val="nil"/>
            </w:tcBorders>
            <w:shd w:val="clear" w:color="auto" w:fill="FFFFFF"/>
            <w:vAlign w:val="bottom"/>
          </w:tcPr>
          <w:p w14:paraId="0EA8022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967</w:t>
            </w:r>
          </w:p>
        </w:tc>
        <w:tc>
          <w:tcPr>
            <w:tcW w:w="964" w:type="dxa"/>
            <w:tcBorders>
              <w:top w:val="nil"/>
              <w:left w:val="nil"/>
              <w:bottom w:val="single" w:sz="2" w:space="0" w:color="auto"/>
              <w:right w:val="nil"/>
            </w:tcBorders>
            <w:shd w:val="clear" w:color="auto" w:fill="FFFFFF"/>
            <w:vAlign w:val="bottom"/>
          </w:tcPr>
          <w:p w14:paraId="5E68378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986</w:t>
            </w:r>
          </w:p>
        </w:tc>
      </w:tr>
      <w:tr w:rsidR="002E375F" w14:paraId="3EB640C0" w14:textId="77777777" w:rsidTr="0040568F">
        <w:tc>
          <w:tcPr>
            <w:tcW w:w="7124" w:type="dxa"/>
            <w:tcBorders>
              <w:top w:val="nil"/>
              <w:left w:val="nil"/>
              <w:bottom w:val="nil"/>
              <w:right w:val="nil"/>
            </w:tcBorders>
            <w:shd w:val="clear" w:color="auto" w:fill="FFFFFF"/>
            <w:vAlign w:val="bottom"/>
          </w:tcPr>
          <w:p w14:paraId="624F437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15DCCE5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7,619</w:t>
            </w:r>
          </w:p>
        </w:tc>
        <w:tc>
          <w:tcPr>
            <w:tcW w:w="964" w:type="dxa"/>
            <w:tcBorders>
              <w:top w:val="nil"/>
              <w:left w:val="nil"/>
              <w:bottom w:val="single" w:sz="2" w:space="0" w:color="auto"/>
              <w:right w:val="nil"/>
            </w:tcBorders>
            <w:shd w:val="clear" w:color="auto" w:fill="FFFFFF"/>
            <w:vAlign w:val="bottom"/>
          </w:tcPr>
          <w:p w14:paraId="52E5388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23,697</w:t>
            </w:r>
          </w:p>
        </w:tc>
      </w:tr>
    </w:tbl>
    <w:p w14:paraId="70DED7F2" w14:textId="77777777" w:rsidR="002E375F" w:rsidRPr="00E116EC" w:rsidRDefault="00EB2569" w:rsidP="00862FE1">
      <w:pPr>
        <w:pStyle w:val="Heading3"/>
        <w:spacing w:before="240"/>
        <w:rPr>
          <w:sz w:val="18"/>
          <w:szCs w:val="18"/>
        </w:rPr>
      </w:pPr>
      <w:r w:rsidRPr="00E116EC">
        <w:rPr>
          <w:sz w:val="18"/>
          <w:szCs w:val="18"/>
        </w:rPr>
        <w:t>Accounting Policy - Accrued Employee Benefits</w:t>
      </w:r>
    </w:p>
    <w:p w14:paraId="300F42B8"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No provision for annual leave or long service leave is recognised in the department’s financial statements as the liability is held on a Whole-of-Government basis and reported in those financial statements pursuant to AASB 1049 </w:t>
      </w:r>
      <w:r>
        <w:rPr>
          <w:rFonts w:ascii="Arial" w:hAnsi="Arial" w:cs="Arial"/>
          <w:i/>
          <w:iCs/>
          <w:sz w:val="18"/>
          <w:szCs w:val="18"/>
        </w:rPr>
        <w:t>Whole of Government and General Government Sector Financial Reporting</w:t>
      </w:r>
      <w:r>
        <w:rPr>
          <w:rFonts w:ascii="Arial" w:hAnsi="Arial" w:cs="Arial"/>
          <w:sz w:val="18"/>
          <w:szCs w:val="18"/>
        </w:rPr>
        <w:t>.</w:t>
      </w:r>
    </w:p>
    <w:p w14:paraId="547F6495" w14:textId="77777777" w:rsidR="002E375F" w:rsidRDefault="00746A7C" w:rsidP="00746A7C">
      <w:pPr>
        <w:pStyle w:val="Heading3"/>
        <w:rPr>
          <w:rFonts w:ascii="Times New Roman" w:hAnsi="Times New Roman" w:cs="Times New Roman"/>
        </w:rPr>
      </w:pPr>
      <w:r>
        <w:t>C8 Other Current Liabilities</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3A6FFE3D" w14:textId="77777777" w:rsidTr="00746A7C">
        <w:tc>
          <w:tcPr>
            <w:tcW w:w="7124" w:type="dxa"/>
            <w:tcBorders>
              <w:top w:val="nil"/>
              <w:left w:val="nil"/>
              <w:bottom w:val="nil"/>
              <w:right w:val="nil"/>
            </w:tcBorders>
            <w:shd w:val="clear" w:color="auto" w:fill="FFFFFF"/>
            <w:vAlign w:val="bottom"/>
          </w:tcPr>
          <w:p w14:paraId="36429CDE" w14:textId="77777777" w:rsidR="002E375F" w:rsidRDefault="002E375F" w:rsidP="001C442D">
            <w:pPr>
              <w:pStyle w:val="Heading2"/>
            </w:pPr>
          </w:p>
        </w:tc>
        <w:tc>
          <w:tcPr>
            <w:tcW w:w="964" w:type="dxa"/>
            <w:tcBorders>
              <w:top w:val="nil"/>
              <w:left w:val="nil"/>
              <w:bottom w:val="nil"/>
              <w:right w:val="nil"/>
            </w:tcBorders>
            <w:shd w:val="clear" w:color="auto" w:fill="FFFFFF"/>
            <w:vAlign w:val="bottom"/>
          </w:tcPr>
          <w:p w14:paraId="3488CA57" w14:textId="77777777" w:rsidR="002E375F" w:rsidRPr="00862FE1" w:rsidRDefault="00EB2569" w:rsidP="00862FE1">
            <w:pPr>
              <w:pStyle w:val="Heading2"/>
              <w:jc w:val="right"/>
              <w:rPr>
                <w:b/>
              </w:rPr>
            </w:pPr>
            <w:r w:rsidRPr="00E46D04">
              <w:rPr>
                <w:rFonts w:ascii="Arial" w:hAnsi="Arial" w:cs="Arial"/>
                <w:b/>
                <w:bCs/>
                <w:sz w:val="18"/>
                <w:szCs w:val="18"/>
              </w:rPr>
              <w:t>2020</w:t>
            </w:r>
            <w:r w:rsidRPr="00E46D04">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7EC72F56" w14:textId="77777777" w:rsidR="002E375F" w:rsidRPr="007726EE" w:rsidRDefault="00EB2569" w:rsidP="00862FE1">
            <w:pPr>
              <w:pStyle w:val="Heading2"/>
              <w:jc w:val="right"/>
            </w:pPr>
            <w:r w:rsidRPr="007726EE">
              <w:rPr>
                <w:rFonts w:ascii="Arial" w:hAnsi="Arial" w:cs="Arial"/>
                <w:sz w:val="18"/>
                <w:szCs w:val="18"/>
              </w:rPr>
              <w:t>2019</w:t>
            </w:r>
            <w:r w:rsidRPr="007726EE">
              <w:rPr>
                <w:rFonts w:ascii="Arial" w:hAnsi="Arial" w:cs="Arial"/>
                <w:sz w:val="18"/>
                <w:szCs w:val="18"/>
              </w:rPr>
              <w:br/>
              <w:t>$'000</w:t>
            </w:r>
          </w:p>
        </w:tc>
      </w:tr>
      <w:tr w:rsidR="002E375F" w14:paraId="4DCDEE16" w14:textId="77777777" w:rsidTr="00746A7C">
        <w:tc>
          <w:tcPr>
            <w:tcW w:w="7124" w:type="dxa"/>
            <w:tcBorders>
              <w:top w:val="nil"/>
              <w:left w:val="nil"/>
              <w:bottom w:val="nil"/>
              <w:right w:val="nil"/>
            </w:tcBorders>
            <w:shd w:val="clear" w:color="auto" w:fill="FFFFFF"/>
            <w:vAlign w:val="bottom"/>
          </w:tcPr>
          <w:p w14:paraId="757937B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Current</w:t>
            </w:r>
          </w:p>
        </w:tc>
        <w:tc>
          <w:tcPr>
            <w:tcW w:w="964" w:type="dxa"/>
            <w:tcBorders>
              <w:top w:val="nil"/>
              <w:left w:val="nil"/>
              <w:bottom w:val="nil"/>
              <w:right w:val="nil"/>
            </w:tcBorders>
            <w:shd w:val="clear" w:color="auto" w:fill="FFFFFF"/>
            <w:vAlign w:val="bottom"/>
          </w:tcPr>
          <w:p w14:paraId="465B1AE2"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0231AF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63A07FD4" w14:textId="77777777" w:rsidTr="00746A7C">
        <w:tc>
          <w:tcPr>
            <w:tcW w:w="7124" w:type="dxa"/>
            <w:tcBorders>
              <w:top w:val="nil"/>
              <w:left w:val="nil"/>
              <w:bottom w:val="nil"/>
              <w:right w:val="nil"/>
            </w:tcBorders>
            <w:shd w:val="clear" w:color="auto" w:fill="FFFFFF"/>
            <w:vAlign w:val="bottom"/>
          </w:tcPr>
          <w:p w14:paraId="7033ADF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Contract liabilities</w:t>
            </w:r>
          </w:p>
        </w:tc>
        <w:tc>
          <w:tcPr>
            <w:tcW w:w="964" w:type="dxa"/>
            <w:tcBorders>
              <w:top w:val="nil"/>
              <w:left w:val="nil"/>
              <w:bottom w:val="single" w:sz="2" w:space="0" w:color="auto"/>
              <w:right w:val="nil"/>
            </w:tcBorders>
            <w:shd w:val="clear" w:color="auto" w:fill="FFFFFF"/>
            <w:vAlign w:val="bottom"/>
          </w:tcPr>
          <w:p w14:paraId="09A5ACC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33E141A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13,009</w:t>
            </w:r>
          </w:p>
        </w:tc>
      </w:tr>
    </w:tbl>
    <w:p w14:paraId="1F54D1E4" w14:textId="77777777" w:rsidR="002E375F" w:rsidRPr="00E116EC" w:rsidRDefault="00EB2569" w:rsidP="00862FE1">
      <w:pPr>
        <w:pStyle w:val="Heading3"/>
        <w:spacing w:before="240"/>
        <w:rPr>
          <w:sz w:val="18"/>
          <w:szCs w:val="18"/>
        </w:rPr>
      </w:pPr>
      <w:r w:rsidRPr="00E116EC">
        <w:rPr>
          <w:sz w:val="18"/>
          <w:szCs w:val="18"/>
        </w:rPr>
        <w:t>Disclosure - Contract liabilities</w:t>
      </w:r>
    </w:p>
    <w:p w14:paraId="1404E48F"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Contract liabilities </w:t>
      </w:r>
      <w:proofErr w:type="spellStart"/>
      <w:r>
        <w:rPr>
          <w:rFonts w:ascii="Arial" w:hAnsi="Arial" w:cs="Arial"/>
          <w:sz w:val="18"/>
          <w:szCs w:val="18"/>
        </w:rPr>
        <w:t>arised</w:t>
      </w:r>
      <w:proofErr w:type="spellEnd"/>
      <w:r>
        <w:rPr>
          <w:rFonts w:ascii="Arial" w:hAnsi="Arial" w:cs="Arial"/>
          <w:sz w:val="18"/>
          <w:szCs w:val="18"/>
        </w:rPr>
        <w:t xml:space="preserve"> from contracts with customers. Of the amount included in the contract liability balance at 1 July 2019, $12.780M has been recognised as revenue in 2019-20. The residual balance of unspent funds was returned to the Commonwealth. Refer to Note B1-2 for further information about the agreement that gave rise to both the contract liability and applicable revenue.</w:t>
      </w:r>
    </w:p>
    <w:p w14:paraId="1AC0F56D" w14:textId="77777777" w:rsidR="002E375F" w:rsidRDefault="00EB2569" w:rsidP="00D16D72">
      <w:pPr>
        <w:autoSpaceDE w:val="0"/>
        <w:autoSpaceDN w:val="0"/>
        <w:adjustRightInd w:val="0"/>
        <w:spacing w:after="141" w:line="240" w:lineRule="auto"/>
        <w:rPr>
          <w:rFonts w:ascii="Arial" w:hAnsi="Arial" w:cs="Arial"/>
          <w:sz w:val="18"/>
          <w:szCs w:val="18"/>
        </w:rPr>
      </w:pPr>
      <w:r>
        <w:rPr>
          <w:rFonts w:ascii="Arial" w:hAnsi="Arial" w:cs="Arial"/>
          <w:sz w:val="18"/>
          <w:szCs w:val="18"/>
        </w:rPr>
        <w:t>Significant changes in contract liabilities during the year:</w:t>
      </w:r>
    </w:p>
    <w:p w14:paraId="77942844" w14:textId="77777777" w:rsidR="0040568F" w:rsidRPr="006F0FBE" w:rsidRDefault="0040568F" w:rsidP="006F0FBE">
      <w:pPr>
        <w:pStyle w:val="ListParagraph"/>
        <w:numPr>
          <w:ilvl w:val="0"/>
          <w:numId w:val="25"/>
        </w:numPr>
        <w:autoSpaceDE w:val="0"/>
        <w:autoSpaceDN w:val="0"/>
        <w:adjustRightInd w:val="0"/>
        <w:spacing w:after="141" w:line="240" w:lineRule="auto"/>
        <w:rPr>
          <w:rFonts w:ascii="Times New Roman" w:hAnsi="Times New Roman" w:cs="Times New Roman"/>
          <w:sz w:val="24"/>
          <w:szCs w:val="24"/>
        </w:rPr>
      </w:pPr>
      <w:r w:rsidRPr="006F0FBE">
        <w:rPr>
          <w:rFonts w:ascii="Arial" w:hAnsi="Arial" w:cs="Arial"/>
          <w:sz w:val="18"/>
          <w:szCs w:val="18"/>
        </w:rPr>
        <w:t xml:space="preserve">The decrease in contract liabilities is largely attributable to services performed under the </w:t>
      </w:r>
      <w:proofErr w:type="spellStart"/>
      <w:r w:rsidRPr="006F0FBE">
        <w:rPr>
          <w:rFonts w:ascii="Arial" w:hAnsi="Arial" w:cs="Arial"/>
          <w:sz w:val="18"/>
          <w:szCs w:val="18"/>
        </w:rPr>
        <w:t>CoS</w:t>
      </w:r>
      <w:proofErr w:type="spellEnd"/>
      <w:r w:rsidRPr="006F0FBE">
        <w:rPr>
          <w:rFonts w:ascii="Arial" w:hAnsi="Arial" w:cs="Arial"/>
          <w:sz w:val="18"/>
          <w:szCs w:val="18"/>
        </w:rPr>
        <w:t xml:space="preserve"> program. Refer to Note B1-2 for further information.</w:t>
      </w:r>
    </w:p>
    <w:p w14:paraId="09D9B876"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00862ECF"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36BE678F"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4197A0CF"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7100EB8E"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4B5995EE"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46D9A24E" w14:textId="77777777" w:rsidR="00746A7C" w:rsidRDefault="00746A7C" w:rsidP="00746A7C">
      <w:pPr>
        <w:pStyle w:val="Heading3"/>
      </w:pPr>
      <w:r>
        <w:t>C9 Equity</w:t>
      </w:r>
    </w:p>
    <w:p w14:paraId="263451D2" w14:textId="77777777" w:rsidR="00746A7C" w:rsidRDefault="00746A7C" w:rsidP="00746A7C">
      <w:pPr>
        <w:pStyle w:val="Heading3"/>
        <w:rPr>
          <w:rFonts w:ascii="Times New Roman" w:hAnsi="Times New Roman" w:cs="Times New Roman"/>
        </w:rPr>
      </w:pPr>
      <w:r>
        <w:t>C9-1 Contributed Equity</w:t>
      </w:r>
    </w:p>
    <w:p w14:paraId="4033A3B4" w14:textId="77777777" w:rsidR="002E375F" w:rsidRPr="00E116EC" w:rsidRDefault="00EB2569" w:rsidP="00E116EC">
      <w:pPr>
        <w:pStyle w:val="Heading3"/>
        <w:rPr>
          <w:sz w:val="18"/>
          <w:szCs w:val="18"/>
        </w:rPr>
      </w:pPr>
      <w:r w:rsidRPr="00E116EC">
        <w:rPr>
          <w:sz w:val="18"/>
          <w:szCs w:val="18"/>
        </w:rPr>
        <w:t>Accounting Interpretation</w:t>
      </w:r>
    </w:p>
    <w:p w14:paraId="181C15FF" w14:textId="77777777" w:rsidR="002E375F" w:rsidRDefault="00EB2569" w:rsidP="00D16D72">
      <w:pPr>
        <w:autoSpaceDE w:val="0"/>
        <w:autoSpaceDN w:val="0"/>
        <w:adjustRightInd w:val="0"/>
        <w:spacing w:after="141" w:line="240" w:lineRule="auto"/>
        <w:rPr>
          <w:rFonts w:ascii="Arial" w:hAnsi="Arial" w:cs="Arial"/>
          <w:sz w:val="18"/>
          <w:szCs w:val="18"/>
        </w:rPr>
      </w:pPr>
      <w:r>
        <w:rPr>
          <w:rFonts w:ascii="Arial" w:hAnsi="Arial" w:cs="Arial"/>
          <w:sz w:val="18"/>
          <w:szCs w:val="18"/>
        </w:rPr>
        <w:t xml:space="preserve">Interpretation 1038 </w:t>
      </w:r>
      <w:r>
        <w:rPr>
          <w:rFonts w:ascii="Arial" w:hAnsi="Arial" w:cs="Arial"/>
          <w:i/>
          <w:iCs/>
          <w:sz w:val="18"/>
          <w:szCs w:val="18"/>
        </w:rPr>
        <w:t>Contributions by Owners Made to Wholly-Owned Public Sector Entities</w:t>
      </w:r>
      <w:r>
        <w:rPr>
          <w:rFonts w:ascii="Arial" w:hAnsi="Arial" w:cs="Arial"/>
          <w:sz w:val="18"/>
          <w:szCs w:val="18"/>
        </w:rPr>
        <w:t xml:space="preserve"> specifies the principles for recognising contributed equity by the department. The following items are recognised as contributed equity by the department during the reporting and comparative years:</w:t>
      </w:r>
    </w:p>
    <w:p w14:paraId="088496CE" w14:textId="77777777" w:rsidR="0040568F" w:rsidRPr="0040568F" w:rsidRDefault="0040568F" w:rsidP="00D16D72">
      <w:pPr>
        <w:pStyle w:val="ListParagraph"/>
        <w:numPr>
          <w:ilvl w:val="0"/>
          <w:numId w:val="9"/>
        </w:numPr>
        <w:autoSpaceDE w:val="0"/>
        <w:autoSpaceDN w:val="0"/>
        <w:adjustRightInd w:val="0"/>
        <w:spacing w:after="141" w:line="240" w:lineRule="auto"/>
        <w:rPr>
          <w:rFonts w:ascii="Arial" w:hAnsi="Arial" w:cs="Arial"/>
          <w:sz w:val="18"/>
          <w:szCs w:val="18"/>
        </w:rPr>
      </w:pPr>
      <w:r w:rsidRPr="0040568F">
        <w:rPr>
          <w:rFonts w:ascii="Arial" w:hAnsi="Arial" w:cs="Arial"/>
          <w:sz w:val="18"/>
          <w:szCs w:val="18"/>
        </w:rPr>
        <w:t>Non-reciprocal transfers of assets and liabilities between wholly-owned Queensland State Public Sector entities as a result of Machinery-of-Government changes; and</w:t>
      </w:r>
    </w:p>
    <w:p w14:paraId="619A1508" w14:textId="77777777" w:rsidR="0040568F" w:rsidRPr="0040568F" w:rsidRDefault="0040568F" w:rsidP="00D16D72">
      <w:pPr>
        <w:pStyle w:val="ListParagraph"/>
        <w:numPr>
          <w:ilvl w:val="0"/>
          <w:numId w:val="9"/>
        </w:numPr>
        <w:autoSpaceDE w:val="0"/>
        <w:autoSpaceDN w:val="0"/>
        <w:adjustRightInd w:val="0"/>
        <w:spacing w:after="141" w:line="240" w:lineRule="auto"/>
        <w:rPr>
          <w:rFonts w:ascii="Arial" w:hAnsi="Arial" w:cs="Arial"/>
          <w:sz w:val="18"/>
          <w:szCs w:val="18"/>
        </w:rPr>
      </w:pPr>
      <w:r w:rsidRPr="0040568F">
        <w:rPr>
          <w:rFonts w:ascii="Arial" w:hAnsi="Arial" w:cs="Arial"/>
          <w:sz w:val="18"/>
          <w:szCs w:val="18"/>
        </w:rPr>
        <w:t>Appropriations for equity adjustments (refer to Note C9-2 Appropriations Recognised in Equity).</w:t>
      </w:r>
    </w:p>
    <w:p w14:paraId="6F25B696" w14:textId="77777777" w:rsidR="002E375F" w:rsidRDefault="00EB2569" w:rsidP="00E66E25">
      <w:pPr>
        <w:pStyle w:val="Heading3"/>
        <w:rPr>
          <w:rFonts w:ascii="Times New Roman" w:hAnsi="Times New Roman" w:cs="Times New Roman"/>
        </w:rPr>
      </w:pPr>
      <w:r>
        <w:t>2020 Movement in Contributed Equity</w:t>
      </w:r>
    </w:p>
    <w:tbl>
      <w:tblPr>
        <w:tblW w:w="0" w:type="auto"/>
        <w:tblLayout w:type="fixed"/>
        <w:tblCellMar>
          <w:left w:w="0" w:type="dxa"/>
          <w:right w:w="0" w:type="dxa"/>
        </w:tblCellMar>
        <w:tblLook w:val="0000" w:firstRow="0" w:lastRow="0" w:firstColumn="0" w:lastColumn="0" w:noHBand="0" w:noVBand="0"/>
      </w:tblPr>
      <w:tblGrid>
        <w:gridCol w:w="1418"/>
        <w:gridCol w:w="3687"/>
        <w:gridCol w:w="1248"/>
        <w:gridCol w:w="1702"/>
        <w:gridCol w:w="851"/>
      </w:tblGrid>
      <w:tr w:rsidR="002E375F" w:rsidRPr="00E46D04" w14:paraId="5777C21F" w14:textId="77777777" w:rsidTr="00862FE1">
        <w:tc>
          <w:tcPr>
            <w:tcW w:w="1418" w:type="dxa"/>
            <w:tcBorders>
              <w:top w:val="nil"/>
              <w:left w:val="nil"/>
              <w:bottom w:val="nil"/>
              <w:right w:val="nil"/>
            </w:tcBorders>
            <w:shd w:val="clear" w:color="auto" w:fill="FFFFFF"/>
            <w:vAlign w:val="bottom"/>
          </w:tcPr>
          <w:p w14:paraId="14DA7ACD" w14:textId="77777777" w:rsidR="002E375F" w:rsidRPr="00862FE1" w:rsidRDefault="00EB2569" w:rsidP="00E46D04">
            <w:pPr>
              <w:pStyle w:val="Heading3"/>
              <w:rPr>
                <w:rFonts w:ascii="Arial" w:hAnsi="Arial" w:cs="Arial"/>
                <w:b/>
                <w:sz w:val="18"/>
                <w:szCs w:val="18"/>
              </w:rPr>
            </w:pPr>
            <w:r w:rsidRPr="00862FE1">
              <w:rPr>
                <w:rFonts w:ascii="Arial" w:hAnsi="Arial" w:cs="Arial"/>
                <w:b/>
                <w:sz w:val="18"/>
                <w:szCs w:val="18"/>
              </w:rPr>
              <w:t>Asset Class Description</w:t>
            </w:r>
          </w:p>
        </w:tc>
        <w:tc>
          <w:tcPr>
            <w:tcW w:w="3687" w:type="dxa"/>
            <w:tcBorders>
              <w:top w:val="nil"/>
              <w:left w:val="nil"/>
              <w:bottom w:val="nil"/>
              <w:right w:val="nil"/>
            </w:tcBorders>
            <w:shd w:val="clear" w:color="auto" w:fill="FFFFFF"/>
            <w:vAlign w:val="bottom"/>
          </w:tcPr>
          <w:p w14:paraId="1CA5C9F0" w14:textId="77777777" w:rsidR="002E375F" w:rsidRPr="00862FE1" w:rsidRDefault="00EB2569" w:rsidP="00E46D04">
            <w:pPr>
              <w:pStyle w:val="Heading3"/>
              <w:rPr>
                <w:rFonts w:ascii="Arial" w:hAnsi="Arial" w:cs="Arial"/>
                <w:b/>
                <w:sz w:val="18"/>
                <w:szCs w:val="18"/>
              </w:rPr>
            </w:pPr>
            <w:r w:rsidRPr="00862FE1">
              <w:rPr>
                <w:rFonts w:ascii="Arial" w:hAnsi="Arial" w:cs="Arial"/>
                <w:b/>
                <w:sz w:val="18"/>
                <w:szCs w:val="18"/>
              </w:rPr>
              <w:t>Asset Description</w:t>
            </w:r>
          </w:p>
        </w:tc>
        <w:tc>
          <w:tcPr>
            <w:tcW w:w="1248" w:type="dxa"/>
            <w:tcBorders>
              <w:top w:val="nil"/>
              <w:left w:val="nil"/>
              <w:bottom w:val="nil"/>
              <w:right w:val="nil"/>
            </w:tcBorders>
            <w:shd w:val="clear" w:color="auto" w:fill="FFFFFF"/>
            <w:vAlign w:val="bottom"/>
          </w:tcPr>
          <w:p w14:paraId="1F40D042"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$'000</w:t>
            </w:r>
          </w:p>
        </w:tc>
        <w:tc>
          <w:tcPr>
            <w:tcW w:w="1702" w:type="dxa"/>
            <w:tcBorders>
              <w:top w:val="nil"/>
              <w:left w:val="nil"/>
              <w:bottom w:val="nil"/>
              <w:right w:val="nil"/>
            </w:tcBorders>
            <w:shd w:val="clear" w:color="auto" w:fill="FFFFFF"/>
            <w:vAlign w:val="bottom"/>
          </w:tcPr>
          <w:p w14:paraId="1482462D" w14:textId="77777777" w:rsidR="002E375F" w:rsidRPr="00862FE1" w:rsidRDefault="00EB2569" w:rsidP="00E46D04">
            <w:pPr>
              <w:pStyle w:val="Heading3"/>
              <w:rPr>
                <w:rFonts w:ascii="Arial" w:hAnsi="Arial" w:cs="Arial"/>
                <w:b/>
                <w:sz w:val="18"/>
                <w:szCs w:val="18"/>
              </w:rPr>
            </w:pPr>
            <w:r w:rsidRPr="00862FE1">
              <w:rPr>
                <w:rFonts w:ascii="Arial" w:hAnsi="Arial" w:cs="Arial"/>
                <w:b/>
                <w:sz w:val="18"/>
                <w:szCs w:val="18"/>
              </w:rPr>
              <w:t>Receiving Department</w:t>
            </w:r>
          </w:p>
        </w:tc>
        <w:tc>
          <w:tcPr>
            <w:tcW w:w="851" w:type="dxa"/>
            <w:tcBorders>
              <w:top w:val="nil"/>
              <w:left w:val="nil"/>
              <w:bottom w:val="nil"/>
              <w:right w:val="nil"/>
            </w:tcBorders>
            <w:shd w:val="clear" w:color="auto" w:fill="FFFFFF"/>
            <w:vAlign w:val="bottom"/>
          </w:tcPr>
          <w:p w14:paraId="64CAE9C9" w14:textId="77777777" w:rsidR="002E375F" w:rsidRPr="00862FE1" w:rsidRDefault="00EB2569" w:rsidP="007726EE">
            <w:pPr>
              <w:pStyle w:val="Heading3"/>
              <w:rPr>
                <w:rFonts w:ascii="Arial" w:hAnsi="Arial" w:cs="Arial"/>
                <w:b/>
                <w:sz w:val="18"/>
                <w:szCs w:val="18"/>
              </w:rPr>
            </w:pPr>
            <w:r w:rsidRPr="00862FE1">
              <w:rPr>
                <w:rFonts w:ascii="Arial" w:hAnsi="Arial" w:cs="Arial"/>
                <w:b/>
                <w:sz w:val="18"/>
                <w:szCs w:val="18"/>
              </w:rPr>
              <w:t>Transfer In/Out</w:t>
            </w:r>
          </w:p>
        </w:tc>
      </w:tr>
      <w:tr w:rsidR="002E375F" w14:paraId="6D4B7DA2" w14:textId="77777777" w:rsidTr="00862FE1">
        <w:tc>
          <w:tcPr>
            <w:tcW w:w="1418" w:type="dxa"/>
            <w:tcBorders>
              <w:top w:val="nil"/>
              <w:left w:val="nil"/>
              <w:bottom w:val="nil"/>
              <w:right w:val="nil"/>
            </w:tcBorders>
            <w:shd w:val="clear" w:color="auto" w:fill="FFFFFF"/>
          </w:tcPr>
          <w:p w14:paraId="285F140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Land</w:t>
            </w:r>
          </w:p>
        </w:tc>
        <w:tc>
          <w:tcPr>
            <w:tcW w:w="3687" w:type="dxa"/>
            <w:tcBorders>
              <w:top w:val="nil"/>
              <w:left w:val="nil"/>
              <w:bottom w:val="nil"/>
              <w:right w:val="nil"/>
            </w:tcBorders>
            <w:shd w:val="clear" w:color="auto" w:fill="FFFFFF"/>
            <w:vAlign w:val="bottom"/>
          </w:tcPr>
          <w:p w14:paraId="628F1DB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44 School Lane, Emerald. Service delivery for the organisation leasing this property is aligned with DCSYW.</w:t>
            </w:r>
          </w:p>
        </w:tc>
        <w:tc>
          <w:tcPr>
            <w:tcW w:w="1248" w:type="dxa"/>
            <w:tcBorders>
              <w:top w:val="nil"/>
              <w:left w:val="nil"/>
              <w:bottom w:val="nil"/>
              <w:right w:val="nil"/>
            </w:tcBorders>
            <w:shd w:val="clear" w:color="auto" w:fill="FFFFFF"/>
            <w:vAlign w:val="bottom"/>
          </w:tcPr>
          <w:p w14:paraId="2772D30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(147)</w:t>
            </w:r>
          </w:p>
        </w:tc>
        <w:tc>
          <w:tcPr>
            <w:tcW w:w="1702" w:type="dxa"/>
            <w:tcBorders>
              <w:top w:val="nil"/>
              <w:left w:val="nil"/>
              <w:bottom w:val="nil"/>
              <w:right w:val="nil"/>
            </w:tcBorders>
            <w:shd w:val="clear" w:color="auto" w:fill="FFFFFF"/>
            <w:vAlign w:val="bottom"/>
          </w:tcPr>
          <w:p w14:paraId="7B16E1E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Department of Child Safety, Youth and Women</w:t>
            </w:r>
          </w:p>
        </w:tc>
        <w:tc>
          <w:tcPr>
            <w:tcW w:w="851" w:type="dxa"/>
            <w:tcBorders>
              <w:top w:val="nil"/>
              <w:left w:val="nil"/>
              <w:bottom w:val="nil"/>
              <w:right w:val="nil"/>
            </w:tcBorders>
            <w:shd w:val="clear" w:color="auto" w:fill="FFFFFF"/>
            <w:vAlign w:val="bottom"/>
          </w:tcPr>
          <w:p w14:paraId="37E52865"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Out</w:t>
            </w:r>
          </w:p>
        </w:tc>
      </w:tr>
      <w:tr w:rsidR="002E375F" w14:paraId="40561A0E" w14:textId="77777777" w:rsidTr="00862FE1">
        <w:tc>
          <w:tcPr>
            <w:tcW w:w="1418" w:type="dxa"/>
            <w:tcBorders>
              <w:top w:val="nil"/>
              <w:left w:val="nil"/>
              <w:bottom w:val="nil"/>
              <w:right w:val="nil"/>
            </w:tcBorders>
            <w:shd w:val="clear" w:color="auto" w:fill="FFFFFF"/>
          </w:tcPr>
          <w:p w14:paraId="041FB2F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Buildings</w:t>
            </w:r>
          </w:p>
        </w:tc>
        <w:tc>
          <w:tcPr>
            <w:tcW w:w="3687" w:type="dxa"/>
            <w:tcBorders>
              <w:top w:val="nil"/>
              <w:left w:val="nil"/>
              <w:bottom w:val="nil"/>
              <w:right w:val="nil"/>
            </w:tcBorders>
            <w:shd w:val="clear" w:color="auto" w:fill="FFFFFF"/>
            <w:vAlign w:val="bottom"/>
          </w:tcPr>
          <w:p w14:paraId="4F21F5D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44 School Lane, Emerald. Service delivery for the organisation leasing this property is aligned with DCSYW.</w:t>
            </w:r>
          </w:p>
        </w:tc>
        <w:tc>
          <w:tcPr>
            <w:tcW w:w="1248" w:type="dxa"/>
            <w:tcBorders>
              <w:top w:val="nil"/>
              <w:left w:val="nil"/>
              <w:bottom w:val="nil"/>
              <w:right w:val="nil"/>
            </w:tcBorders>
            <w:shd w:val="clear" w:color="auto" w:fill="FFFFFF"/>
            <w:vAlign w:val="bottom"/>
          </w:tcPr>
          <w:p w14:paraId="64E1FF5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(588)</w:t>
            </w:r>
          </w:p>
        </w:tc>
        <w:tc>
          <w:tcPr>
            <w:tcW w:w="1702" w:type="dxa"/>
            <w:tcBorders>
              <w:top w:val="nil"/>
              <w:left w:val="nil"/>
              <w:bottom w:val="nil"/>
              <w:right w:val="nil"/>
            </w:tcBorders>
            <w:shd w:val="clear" w:color="auto" w:fill="FFFFFF"/>
            <w:vAlign w:val="bottom"/>
          </w:tcPr>
          <w:p w14:paraId="4D0DA79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Department of Child Safety, Youth and Women</w:t>
            </w:r>
          </w:p>
        </w:tc>
        <w:tc>
          <w:tcPr>
            <w:tcW w:w="851" w:type="dxa"/>
            <w:tcBorders>
              <w:top w:val="nil"/>
              <w:left w:val="nil"/>
              <w:bottom w:val="nil"/>
              <w:right w:val="nil"/>
            </w:tcBorders>
            <w:shd w:val="clear" w:color="auto" w:fill="FFFFFF"/>
            <w:vAlign w:val="bottom"/>
          </w:tcPr>
          <w:p w14:paraId="1FE21BED"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Out</w:t>
            </w:r>
          </w:p>
        </w:tc>
      </w:tr>
      <w:tr w:rsidR="002E375F" w14:paraId="690624A1" w14:textId="77777777" w:rsidTr="00862FE1">
        <w:tc>
          <w:tcPr>
            <w:tcW w:w="1418" w:type="dxa"/>
            <w:tcBorders>
              <w:top w:val="nil"/>
              <w:left w:val="nil"/>
              <w:bottom w:val="nil"/>
              <w:right w:val="nil"/>
            </w:tcBorders>
            <w:shd w:val="clear" w:color="auto" w:fill="FFFFFF"/>
          </w:tcPr>
          <w:p w14:paraId="42326573" w14:textId="77777777" w:rsidR="002E375F" w:rsidRDefault="00EB2569">
            <w:pPr>
              <w:autoSpaceDE w:val="0"/>
              <w:autoSpaceDN w:val="0"/>
              <w:adjustRightInd w:val="0"/>
              <w:spacing w:before="28" w:after="0" w:line="240" w:lineRule="auto"/>
              <w:rPr>
                <w:rFonts w:ascii="Times New Roman" w:hAnsi="Times New Roman" w:cs="Times New Roman"/>
                <w:sz w:val="24"/>
                <w:szCs w:val="24"/>
              </w:rPr>
            </w:pPr>
            <w:r>
              <w:rPr>
                <w:rFonts w:ascii="Arial" w:hAnsi="Arial" w:cs="Arial"/>
                <w:sz w:val="18"/>
                <w:szCs w:val="18"/>
              </w:rPr>
              <w:t>Land</w:t>
            </w:r>
          </w:p>
        </w:tc>
        <w:tc>
          <w:tcPr>
            <w:tcW w:w="3687" w:type="dxa"/>
            <w:tcBorders>
              <w:top w:val="nil"/>
              <w:left w:val="nil"/>
              <w:bottom w:val="nil"/>
              <w:right w:val="nil"/>
            </w:tcBorders>
            <w:shd w:val="clear" w:color="auto" w:fill="FFFFFF"/>
            <w:vAlign w:val="bottom"/>
          </w:tcPr>
          <w:p w14:paraId="226AC8DE"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2 Thomson Road, Healy. Service delivery for the organisation leasing this property is aligned with DCSYW.</w:t>
            </w:r>
          </w:p>
        </w:tc>
        <w:tc>
          <w:tcPr>
            <w:tcW w:w="1248" w:type="dxa"/>
            <w:tcBorders>
              <w:top w:val="nil"/>
              <w:left w:val="nil"/>
              <w:bottom w:val="nil"/>
              <w:right w:val="nil"/>
            </w:tcBorders>
            <w:shd w:val="clear" w:color="auto" w:fill="FFFFFF"/>
            <w:vAlign w:val="bottom"/>
          </w:tcPr>
          <w:p w14:paraId="75A8A930" w14:textId="77777777" w:rsidR="002E375F" w:rsidRDefault="00EB2569">
            <w:pPr>
              <w:autoSpaceDE w:val="0"/>
              <w:autoSpaceDN w:val="0"/>
              <w:adjustRightInd w:val="0"/>
              <w:spacing w:before="14" w:after="0" w:line="240" w:lineRule="auto"/>
              <w:jc w:val="right"/>
              <w:rPr>
                <w:rFonts w:ascii="Times New Roman" w:hAnsi="Times New Roman" w:cs="Times New Roman"/>
                <w:sz w:val="24"/>
                <w:szCs w:val="24"/>
              </w:rPr>
            </w:pPr>
            <w:r>
              <w:rPr>
                <w:rFonts w:ascii="Arial" w:hAnsi="Arial" w:cs="Arial"/>
                <w:sz w:val="18"/>
                <w:szCs w:val="18"/>
              </w:rPr>
              <w:t>(351)</w:t>
            </w:r>
          </w:p>
        </w:tc>
        <w:tc>
          <w:tcPr>
            <w:tcW w:w="1702" w:type="dxa"/>
            <w:tcBorders>
              <w:top w:val="nil"/>
              <w:left w:val="nil"/>
              <w:right w:val="nil"/>
            </w:tcBorders>
            <w:shd w:val="clear" w:color="auto" w:fill="FFFFFF"/>
            <w:vAlign w:val="bottom"/>
          </w:tcPr>
          <w:p w14:paraId="626F8DA6"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Department of Child Safety, Youth and Women</w:t>
            </w:r>
          </w:p>
        </w:tc>
        <w:tc>
          <w:tcPr>
            <w:tcW w:w="851" w:type="dxa"/>
            <w:tcBorders>
              <w:top w:val="nil"/>
              <w:left w:val="nil"/>
              <w:right w:val="nil"/>
            </w:tcBorders>
            <w:shd w:val="clear" w:color="auto" w:fill="FFFFFF"/>
            <w:vAlign w:val="bottom"/>
          </w:tcPr>
          <w:p w14:paraId="6C99F2D7" w14:textId="77777777" w:rsidR="002E375F" w:rsidRDefault="00EB2569">
            <w:pPr>
              <w:autoSpaceDE w:val="0"/>
              <w:autoSpaceDN w:val="0"/>
              <w:adjustRightInd w:val="0"/>
              <w:spacing w:before="14" w:after="0" w:line="240" w:lineRule="auto"/>
              <w:jc w:val="center"/>
              <w:rPr>
                <w:rFonts w:ascii="Times New Roman" w:hAnsi="Times New Roman" w:cs="Times New Roman"/>
                <w:sz w:val="24"/>
                <w:szCs w:val="24"/>
              </w:rPr>
            </w:pPr>
            <w:r>
              <w:rPr>
                <w:rFonts w:ascii="Arial" w:hAnsi="Arial" w:cs="Arial"/>
                <w:sz w:val="18"/>
                <w:szCs w:val="18"/>
              </w:rPr>
              <w:t>Out</w:t>
            </w:r>
          </w:p>
        </w:tc>
      </w:tr>
      <w:tr w:rsidR="002E375F" w14:paraId="28A75C90" w14:textId="77777777" w:rsidTr="00862FE1">
        <w:tc>
          <w:tcPr>
            <w:tcW w:w="1418" w:type="dxa"/>
            <w:tcBorders>
              <w:top w:val="nil"/>
              <w:left w:val="nil"/>
              <w:bottom w:val="nil"/>
              <w:right w:val="nil"/>
            </w:tcBorders>
            <w:shd w:val="clear" w:color="auto" w:fill="FFFFFF"/>
          </w:tcPr>
          <w:p w14:paraId="2BB81E83" w14:textId="77777777" w:rsidR="002E375F" w:rsidRDefault="00EB2569">
            <w:pPr>
              <w:autoSpaceDE w:val="0"/>
              <w:autoSpaceDN w:val="0"/>
              <w:adjustRightInd w:val="0"/>
              <w:spacing w:before="28" w:after="0" w:line="240" w:lineRule="auto"/>
              <w:rPr>
                <w:rFonts w:ascii="Times New Roman" w:hAnsi="Times New Roman" w:cs="Times New Roman"/>
                <w:sz w:val="24"/>
                <w:szCs w:val="24"/>
              </w:rPr>
            </w:pPr>
            <w:r>
              <w:rPr>
                <w:rFonts w:ascii="Arial" w:hAnsi="Arial" w:cs="Arial"/>
                <w:sz w:val="18"/>
                <w:szCs w:val="18"/>
              </w:rPr>
              <w:t>Buildings</w:t>
            </w:r>
          </w:p>
        </w:tc>
        <w:tc>
          <w:tcPr>
            <w:tcW w:w="3687" w:type="dxa"/>
            <w:tcBorders>
              <w:top w:val="nil"/>
              <w:left w:val="nil"/>
              <w:bottom w:val="nil"/>
              <w:right w:val="nil"/>
            </w:tcBorders>
            <w:shd w:val="clear" w:color="auto" w:fill="FFFFFF"/>
            <w:vAlign w:val="bottom"/>
          </w:tcPr>
          <w:p w14:paraId="51776241"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2 Thomson Road, Healy. Service delivery for the organisation leasing this property is aligned with DCSYW.</w:t>
            </w:r>
          </w:p>
        </w:tc>
        <w:tc>
          <w:tcPr>
            <w:tcW w:w="1248" w:type="dxa"/>
            <w:tcBorders>
              <w:top w:val="nil"/>
              <w:left w:val="nil"/>
              <w:bottom w:val="nil"/>
              <w:right w:val="nil"/>
            </w:tcBorders>
            <w:shd w:val="clear" w:color="auto" w:fill="FFFFFF"/>
            <w:vAlign w:val="bottom"/>
          </w:tcPr>
          <w:p w14:paraId="6C012935" w14:textId="77777777" w:rsidR="002E375F" w:rsidRDefault="00EB2569">
            <w:pPr>
              <w:autoSpaceDE w:val="0"/>
              <w:autoSpaceDN w:val="0"/>
              <w:adjustRightInd w:val="0"/>
              <w:spacing w:before="14" w:after="0" w:line="240" w:lineRule="auto"/>
              <w:jc w:val="right"/>
              <w:rPr>
                <w:rFonts w:ascii="Times New Roman" w:hAnsi="Times New Roman" w:cs="Times New Roman"/>
                <w:sz w:val="24"/>
                <w:szCs w:val="24"/>
              </w:rPr>
            </w:pPr>
            <w:r>
              <w:rPr>
                <w:rFonts w:ascii="Arial" w:hAnsi="Arial" w:cs="Arial"/>
                <w:sz w:val="18"/>
                <w:szCs w:val="18"/>
              </w:rPr>
              <w:t>(494)</w:t>
            </w:r>
          </w:p>
        </w:tc>
        <w:tc>
          <w:tcPr>
            <w:tcW w:w="1702" w:type="dxa"/>
            <w:tcBorders>
              <w:top w:val="nil"/>
              <w:left w:val="nil"/>
              <w:right w:val="nil"/>
            </w:tcBorders>
            <w:shd w:val="clear" w:color="auto" w:fill="FFFFFF"/>
            <w:vAlign w:val="bottom"/>
          </w:tcPr>
          <w:p w14:paraId="0396CF0B"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Department of Child Safety, Youth and Women</w:t>
            </w:r>
          </w:p>
        </w:tc>
        <w:tc>
          <w:tcPr>
            <w:tcW w:w="851" w:type="dxa"/>
            <w:tcBorders>
              <w:top w:val="nil"/>
              <w:left w:val="nil"/>
              <w:right w:val="nil"/>
            </w:tcBorders>
            <w:shd w:val="clear" w:color="auto" w:fill="FFFFFF"/>
            <w:vAlign w:val="bottom"/>
          </w:tcPr>
          <w:p w14:paraId="4B9184FB" w14:textId="77777777" w:rsidR="002E375F" w:rsidRDefault="00EB2569">
            <w:pPr>
              <w:autoSpaceDE w:val="0"/>
              <w:autoSpaceDN w:val="0"/>
              <w:adjustRightInd w:val="0"/>
              <w:spacing w:before="14" w:after="0" w:line="240" w:lineRule="auto"/>
              <w:jc w:val="center"/>
              <w:rPr>
                <w:rFonts w:ascii="Times New Roman" w:hAnsi="Times New Roman" w:cs="Times New Roman"/>
                <w:sz w:val="24"/>
                <w:szCs w:val="24"/>
              </w:rPr>
            </w:pPr>
            <w:r>
              <w:rPr>
                <w:rFonts w:ascii="Arial" w:hAnsi="Arial" w:cs="Arial"/>
                <w:sz w:val="18"/>
                <w:szCs w:val="18"/>
              </w:rPr>
              <w:t>Out</w:t>
            </w:r>
          </w:p>
        </w:tc>
      </w:tr>
      <w:tr w:rsidR="002E375F" w14:paraId="42A03DC3" w14:textId="77777777" w:rsidTr="00862FE1">
        <w:tc>
          <w:tcPr>
            <w:tcW w:w="1418" w:type="dxa"/>
            <w:tcBorders>
              <w:top w:val="nil"/>
              <w:left w:val="nil"/>
              <w:bottom w:val="nil"/>
              <w:right w:val="nil"/>
            </w:tcBorders>
            <w:shd w:val="clear" w:color="auto" w:fill="FFFFFF"/>
          </w:tcPr>
          <w:p w14:paraId="3796CFD0" w14:textId="77777777" w:rsidR="002E375F" w:rsidRDefault="00EB2569">
            <w:pPr>
              <w:autoSpaceDE w:val="0"/>
              <w:autoSpaceDN w:val="0"/>
              <w:adjustRightInd w:val="0"/>
              <w:spacing w:before="28" w:after="0" w:line="240" w:lineRule="auto"/>
              <w:rPr>
                <w:rFonts w:ascii="Times New Roman" w:hAnsi="Times New Roman" w:cs="Times New Roman"/>
                <w:sz w:val="24"/>
                <w:szCs w:val="24"/>
              </w:rPr>
            </w:pPr>
            <w:r>
              <w:rPr>
                <w:rFonts w:ascii="Arial" w:hAnsi="Arial" w:cs="Arial"/>
                <w:sz w:val="18"/>
                <w:szCs w:val="18"/>
              </w:rPr>
              <w:t>Land</w:t>
            </w:r>
          </w:p>
        </w:tc>
        <w:tc>
          <w:tcPr>
            <w:tcW w:w="3687" w:type="dxa"/>
            <w:tcBorders>
              <w:top w:val="nil"/>
              <w:left w:val="nil"/>
              <w:bottom w:val="nil"/>
              <w:right w:val="nil"/>
            </w:tcBorders>
            <w:shd w:val="clear" w:color="auto" w:fill="FFFFFF"/>
            <w:vAlign w:val="bottom"/>
          </w:tcPr>
          <w:p w14:paraId="2FAF2DB0"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119 Stafford Road, Kedron. Service delivery for the organisation leasing this property is aligned with DCSYW.</w:t>
            </w:r>
          </w:p>
        </w:tc>
        <w:tc>
          <w:tcPr>
            <w:tcW w:w="1248" w:type="dxa"/>
            <w:tcBorders>
              <w:top w:val="nil"/>
              <w:left w:val="nil"/>
              <w:bottom w:val="nil"/>
              <w:right w:val="nil"/>
            </w:tcBorders>
            <w:shd w:val="clear" w:color="auto" w:fill="FFFFFF"/>
            <w:vAlign w:val="bottom"/>
          </w:tcPr>
          <w:p w14:paraId="6E788B95" w14:textId="77777777" w:rsidR="002E375F" w:rsidRDefault="00EB2569">
            <w:pPr>
              <w:autoSpaceDE w:val="0"/>
              <w:autoSpaceDN w:val="0"/>
              <w:adjustRightInd w:val="0"/>
              <w:spacing w:before="14" w:after="0" w:line="240" w:lineRule="auto"/>
              <w:jc w:val="right"/>
              <w:rPr>
                <w:rFonts w:ascii="Times New Roman" w:hAnsi="Times New Roman" w:cs="Times New Roman"/>
                <w:sz w:val="24"/>
                <w:szCs w:val="24"/>
              </w:rPr>
            </w:pPr>
            <w:r>
              <w:rPr>
                <w:rFonts w:ascii="Arial" w:hAnsi="Arial" w:cs="Arial"/>
                <w:sz w:val="18"/>
                <w:szCs w:val="18"/>
              </w:rPr>
              <w:t>(410)</w:t>
            </w:r>
          </w:p>
        </w:tc>
        <w:tc>
          <w:tcPr>
            <w:tcW w:w="1702" w:type="dxa"/>
            <w:tcBorders>
              <w:left w:val="nil"/>
              <w:bottom w:val="nil"/>
              <w:right w:val="nil"/>
            </w:tcBorders>
            <w:shd w:val="clear" w:color="auto" w:fill="FFFFFF"/>
            <w:vAlign w:val="bottom"/>
          </w:tcPr>
          <w:p w14:paraId="218FBA62"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Department of Child Safety, Youth and Women</w:t>
            </w:r>
          </w:p>
        </w:tc>
        <w:tc>
          <w:tcPr>
            <w:tcW w:w="851" w:type="dxa"/>
            <w:tcBorders>
              <w:left w:val="nil"/>
              <w:bottom w:val="nil"/>
              <w:right w:val="nil"/>
            </w:tcBorders>
            <w:shd w:val="clear" w:color="auto" w:fill="FFFFFF"/>
            <w:vAlign w:val="bottom"/>
          </w:tcPr>
          <w:p w14:paraId="21EE00C5" w14:textId="77777777" w:rsidR="002E375F" w:rsidRDefault="00EB2569">
            <w:pPr>
              <w:autoSpaceDE w:val="0"/>
              <w:autoSpaceDN w:val="0"/>
              <w:adjustRightInd w:val="0"/>
              <w:spacing w:before="14" w:after="0" w:line="240" w:lineRule="auto"/>
              <w:jc w:val="center"/>
              <w:rPr>
                <w:rFonts w:ascii="Times New Roman" w:hAnsi="Times New Roman" w:cs="Times New Roman"/>
                <w:sz w:val="24"/>
                <w:szCs w:val="24"/>
              </w:rPr>
            </w:pPr>
            <w:r>
              <w:rPr>
                <w:rFonts w:ascii="Arial" w:hAnsi="Arial" w:cs="Arial"/>
                <w:sz w:val="18"/>
                <w:szCs w:val="18"/>
              </w:rPr>
              <w:t>Out</w:t>
            </w:r>
          </w:p>
        </w:tc>
      </w:tr>
      <w:tr w:rsidR="002E375F" w14:paraId="0CA3D40E" w14:textId="77777777" w:rsidTr="00862FE1">
        <w:tc>
          <w:tcPr>
            <w:tcW w:w="1418" w:type="dxa"/>
            <w:tcBorders>
              <w:top w:val="nil"/>
              <w:left w:val="nil"/>
              <w:bottom w:val="nil"/>
              <w:right w:val="nil"/>
            </w:tcBorders>
            <w:shd w:val="clear" w:color="auto" w:fill="FFFFFF"/>
          </w:tcPr>
          <w:p w14:paraId="186E4486" w14:textId="77777777" w:rsidR="002E375F" w:rsidRDefault="00EB2569">
            <w:pPr>
              <w:autoSpaceDE w:val="0"/>
              <w:autoSpaceDN w:val="0"/>
              <w:adjustRightInd w:val="0"/>
              <w:spacing w:before="28" w:after="0" w:line="240" w:lineRule="auto"/>
              <w:rPr>
                <w:rFonts w:ascii="Times New Roman" w:hAnsi="Times New Roman" w:cs="Times New Roman"/>
                <w:sz w:val="24"/>
                <w:szCs w:val="24"/>
              </w:rPr>
            </w:pPr>
            <w:r>
              <w:rPr>
                <w:rFonts w:ascii="Arial" w:hAnsi="Arial" w:cs="Arial"/>
                <w:sz w:val="18"/>
                <w:szCs w:val="18"/>
              </w:rPr>
              <w:t>Buildings</w:t>
            </w:r>
          </w:p>
        </w:tc>
        <w:tc>
          <w:tcPr>
            <w:tcW w:w="3687" w:type="dxa"/>
            <w:tcBorders>
              <w:top w:val="nil"/>
              <w:left w:val="nil"/>
              <w:bottom w:val="nil"/>
              <w:right w:val="nil"/>
            </w:tcBorders>
            <w:shd w:val="clear" w:color="auto" w:fill="FFFFFF"/>
            <w:vAlign w:val="bottom"/>
          </w:tcPr>
          <w:p w14:paraId="5947849F"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119 Stafford Road, Kedron. Service delivery for the organisation leasing this property is aligned with DCSYW.</w:t>
            </w:r>
          </w:p>
        </w:tc>
        <w:tc>
          <w:tcPr>
            <w:tcW w:w="1248" w:type="dxa"/>
            <w:tcBorders>
              <w:top w:val="nil"/>
              <w:left w:val="nil"/>
              <w:bottom w:val="nil"/>
              <w:right w:val="nil"/>
            </w:tcBorders>
            <w:shd w:val="clear" w:color="auto" w:fill="FFFFFF"/>
            <w:vAlign w:val="bottom"/>
          </w:tcPr>
          <w:p w14:paraId="27B7AD97" w14:textId="77777777" w:rsidR="002E375F" w:rsidRDefault="00EB2569">
            <w:pPr>
              <w:autoSpaceDE w:val="0"/>
              <w:autoSpaceDN w:val="0"/>
              <w:adjustRightInd w:val="0"/>
              <w:spacing w:before="14" w:after="0" w:line="240" w:lineRule="auto"/>
              <w:jc w:val="right"/>
              <w:rPr>
                <w:rFonts w:ascii="Times New Roman" w:hAnsi="Times New Roman" w:cs="Times New Roman"/>
                <w:sz w:val="24"/>
                <w:szCs w:val="24"/>
              </w:rPr>
            </w:pPr>
            <w:r>
              <w:rPr>
                <w:rFonts w:ascii="Arial" w:hAnsi="Arial" w:cs="Arial"/>
                <w:sz w:val="18"/>
                <w:szCs w:val="18"/>
              </w:rPr>
              <w:t>(118)</w:t>
            </w:r>
          </w:p>
        </w:tc>
        <w:tc>
          <w:tcPr>
            <w:tcW w:w="1702" w:type="dxa"/>
            <w:tcBorders>
              <w:top w:val="nil"/>
              <w:left w:val="nil"/>
              <w:bottom w:val="nil"/>
              <w:right w:val="nil"/>
            </w:tcBorders>
            <w:shd w:val="clear" w:color="auto" w:fill="FFFFFF"/>
            <w:vAlign w:val="bottom"/>
          </w:tcPr>
          <w:p w14:paraId="4C8B4DED"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Department of Child Safety, Youth and Women</w:t>
            </w:r>
          </w:p>
        </w:tc>
        <w:tc>
          <w:tcPr>
            <w:tcW w:w="851" w:type="dxa"/>
            <w:tcBorders>
              <w:top w:val="nil"/>
              <w:left w:val="nil"/>
              <w:bottom w:val="nil"/>
              <w:right w:val="nil"/>
            </w:tcBorders>
            <w:shd w:val="clear" w:color="auto" w:fill="FFFFFF"/>
            <w:vAlign w:val="bottom"/>
          </w:tcPr>
          <w:p w14:paraId="17394F4C" w14:textId="77777777" w:rsidR="002E375F" w:rsidRDefault="00EB2569">
            <w:pPr>
              <w:autoSpaceDE w:val="0"/>
              <w:autoSpaceDN w:val="0"/>
              <w:adjustRightInd w:val="0"/>
              <w:spacing w:before="14" w:after="0" w:line="240" w:lineRule="auto"/>
              <w:jc w:val="center"/>
              <w:rPr>
                <w:rFonts w:ascii="Times New Roman" w:hAnsi="Times New Roman" w:cs="Times New Roman"/>
                <w:sz w:val="24"/>
                <w:szCs w:val="24"/>
              </w:rPr>
            </w:pPr>
            <w:r>
              <w:rPr>
                <w:rFonts w:ascii="Arial" w:hAnsi="Arial" w:cs="Arial"/>
                <w:sz w:val="18"/>
                <w:szCs w:val="18"/>
              </w:rPr>
              <w:t>Out</w:t>
            </w:r>
          </w:p>
        </w:tc>
      </w:tr>
      <w:tr w:rsidR="002E375F" w14:paraId="733978EF" w14:textId="77777777" w:rsidTr="00862FE1">
        <w:tc>
          <w:tcPr>
            <w:tcW w:w="1418" w:type="dxa"/>
            <w:tcBorders>
              <w:top w:val="nil"/>
              <w:left w:val="nil"/>
              <w:bottom w:val="nil"/>
              <w:right w:val="nil"/>
            </w:tcBorders>
            <w:shd w:val="clear" w:color="auto" w:fill="FFFFFF"/>
          </w:tcPr>
          <w:p w14:paraId="040ACE78" w14:textId="77777777" w:rsidR="002E375F" w:rsidRDefault="00EB2569">
            <w:pPr>
              <w:autoSpaceDE w:val="0"/>
              <w:autoSpaceDN w:val="0"/>
              <w:adjustRightInd w:val="0"/>
              <w:spacing w:before="28" w:after="0" w:line="240" w:lineRule="auto"/>
              <w:rPr>
                <w:rFonts w:ascii="Times New Roman" w:hAnsi="Times New Roman" w:cs="Times New Roman"/>
                <w:sz w:val="24"/>
                <w:szCs w:val="24"/>
              </w:rPr>
            </w:pPr>
            <w:r>
              <w:rPr>
                <w:rFonts w:ascii="Arial" w:hAnsi="Arial" w:cs="Arial"/>
                <w:sz w:val="18"/>
                <w:szCs w:val="18"/>
              </w:rPr>
              <w:t>Land</w:t>
            </w:r>
          </w:p>
        </w:tc>
        <w:tc>
          <w:tcPr>
            <w:tcW w:w="3687" w:type="dxa"/>
            <w:tcBorders>
              <w:top w:val="nil"/>
              <w:left w:val="nil"/>
              <w:bottom w:val="nil"/>
              <w:right w:val="nil"/>
            </w:tcBorders>
            <w:shd w:val="clear" w:color="auto" w:fill="FFFFFF"/>
            <w:vAlign w:val="bottom"/>
          </w:tcPr>
          <w:p w14:paraId="2D9F799B"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Lot 405 off Cromarty Dr, Wacol, QLD 4076. Transfer of land for use of high secure detention centre.</w:t>
            </w:r>
          </w:p>
        </w:tc>
        <w:tc>
          <w:tcPr>
            <w:tcW w:w="1248" w:type="dxa"/>
            <w:tcBorders>
              <w:top w:val="nil"/>
              <w:left w:val="nil"/>
              <w:bottom w:val="nil"/>
              <w:right w:val="nil"/>
            </w:tcBorders>
            <w:shd w:val="clear" w:color="auto" w:fill="FFFFFF"/>
            <w:vAlign w:val="bottom"/>
          </w:tcPr>
          <w:p w14:paraId="5A0908FF" w14:textId="77777777" w:rsidR="002E375F" w:rsidRDefault="00EB2569">
            <w:pPr>
              <w:autoSpaceDE w:val="0"/>
              <w:autoSpaceDN w:val="0"/>
              <w:adjustRightInd w:val="0"/>
              <w:spacing w:before="14" w:after="0" w:line="240" w:lineRule="auto"/>
              <w:jc w:val="right"/>
              <w:rPr>
                <w:rFonts w:ascii="Times New Roman" w:hAnsi="Times New Roman" w:cs="Times New Roman"/>
                <w:sz w:val="24"/>
                <w:szCs w:val="24"/>
              </w:rPr>
            </w:pPr>
            <w:r>
              <w:rPr>
                <w:rFonts w:ascii="Arial" w:hAnsi="Arial" w:cs="Arial"/>
                <w:sz w:val="18"/>
                <w:szCs w:val="18"/>
              </w:rPr>
              <w:t>(350)</w:t>
            </w:r>
          </w:p>
        </w:tc>
        <w:tc>
          <w:tcPr>
            <w:tcW w:w="1702" w:type="dxa"/>
            <w:tcBorders>
              <w:top w:val="nil"/>
              <w:left w:val="nil"/>
              <w:bottom w:val="nil"/>
              <w:right w:val="nil"/>
            </w:tcBorders>
            <w:shd w:val="clear" w:color="auto" w:fill="FFFFFF"/>
            <w:vAlign w:val="bottom"/>
          </w:tcPr>
          <w:p w14:paraId="27AB08BD"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Department of Youth Justice</w:t>
            </w:r>
          </w:p>
        </w:tc>
        <w:tc>
          <w:tcPr>
            <w:tcW w:w="851" w:type="dxa"/>
            <w:tcBorders>
              <w:top w:val="nil"/>
              <w:left w:val="nil"/>
              <w:bottom w:val="nil"/>
              <w:right w:val="nil"/>
            </w:tcBorders>
            <w:shd w:val="clear" w:color="auto" w:fill="FFFFFF"/>
            <w:vAlign w:val="bottom"/>
          </w:tcPr>
          <w:p w14:paraId="677AF5ED" w14:textId="77777777" w:rsidR="002E375F" w:rsidRDefault="00EB2569">
            <w:pPr>
              <w:autoSpaceDE w:val="0"/>
              <w:autoSpaceDN w:val="0"/>
              <w:adjustRightInd w:val="0"/>
              <w:spacing w:before="14" w:after="0" w:line="240" w:lineRule="auto"/>
              <w:jc w:val="center"/>
              <w:rPr>
                <w:rFonts w:ascii="Times New Roman" w:hAnsi="Times New Roman" w:cs="Times New Roman"/>
                <w:sz w:val="24"/>
                <w:szCs w:val="24"/>
              </w:rPr>
            </w:pPr>
            <w:r>
              <w:rPr>
                <w:rFonts w:ascii="Arial" w:hAnsi="Arial" w:cs="Arial"/>
                <w:sz w:val="18"/>
                <w:szCs w:val="18"/>
              </w:rPr>
              <w:t>Out</w:t>
            </w:r>
          </w:p>
        </w:tc>
      </w:tr>
      <w:tr w:rsidR="002E375F" w14:paraId="7B4DEAD9" w14:textId="77777777">
        <w:tc>
          <w:tcPr>
            <w:tcW w:w="1418" w:type="dxa"/>
            <w:tcBorders>
              <w:top w:val="nil"/>
              <w:left w:val="nil"/>
              <w:bottom w:val="nil"/>
              <w:right w:val="nil"/>
            </w:tcBorders>
            <w:shd w:val="clear" w:color="auto" w:fill="FFFFFF"/>
            <w:vAlign w:val="bottom"/>
          </w:tcPr>
          <w:p w14:paraId="7EE161FB"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3687" w:type="dxa"/>
            <w:tcBorders>
              <w:top w:val="nil"/>
              <w:left w:val="nil"/>
              <w:bottom w:val="nil"/>
              <w:right w:val="nil"/>
            </w:tcBorders>
            <w:shd w:val="clear" w:color="auto" w:fill="FFFFFF"/>
            <w:vAlign w:val="bottom"/>
          </w:tcPr>
          <w:p w14:paraId="2778CF7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Total Movement in Contributed Equity</w:t>
            </w:r>
          </w:p>
        </w:tc>
        <w:tc>
          <w:tcPr>
            <w:tcW w:w="1248" w:type="dxa"/>
            <w:tcBorders>
              <w:top w:val="nil"/>
              <w:left w:val="nil"/>
              <w:bottom w:val="double" w:sz="2" w:space="0" w:color="auto"/>
              <w:right w:val="nil"/>
            </w:tcBorders>
            <w:shd w:val="clear" w:color="auto" w:fill="FFFFFF"/>
            <w:vAlign w:val="bottom"/>
          </w:tcPr>
          <w:p w14:paraId="60BB2C9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(2,458)</w:t>
            </w:r>
          </w:p>
        </w:tc>
        <w:tc>
          <w:tcPr>
            <w:tcW w:w="1702" w:type="dxa"/>
            <w:tcBorders>
              <w:top w:val="nil"/>
              <w:left w:val="nil"/>
              <w:bottom w:val="nil"/>
              <w:right w:val="nil"/>
            </w:tcBorders>
            <w:shd w:val="clear" w:color="auto" w:fill="FFFFFF"/>
            <w:vAlign w:val="bottom"/>
          </w:tcPr>
          <w:p w14:paraId="07AA977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FFFFFF"/>
            <w:vAlign w:val="bottom"/>
          </w:tcPr>
          <w:p w14:paraId="368083D2"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bl>
    <w:p w14:paraId="773785AF"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28107859"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1AE5A5DB"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77188CE2"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03E1C180"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06C907AC" w14:textId="77777777" w:rsidR="00746A7C" w:rsidRPr="00746A7C" w:rsidRDefault="00746A7C" w:rsidP="00746A7C">
      <w:pPr>
        <w:pStyle w:val="Heading3"/>
      </w:pPr>
      <w:r w:rsidRPr="00746A7C">
        <w:t>C9 Equity (continued)</w:t>
      </w:r>
    </w:p>
    <w:p w14:paraId="6937FF7D" w14:textId="77777777" w:rsidR="00746A7C" w:rsidRPr="00746A7C" w:rsidRDefault="00746A7C" w:rsidP="00746A7C">
      <w:pPr>
        <w:pStyle w:val="Heading3"/>
      </w:pPr>
      <w:r w:rsidRPr="00746A7C">
        <w:t>C9-1 Contributed Equity (continued)</w:t>
      </w:r>
    </w:p>
    <w:p w14:paraId="24514C7B"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5DEFDE01" w14:textId="77777777" w:rsidR="002E375F" w:rsidRDefault="00EB2569" w:rsidP="001C442D">
      <w:pPr>
        <w:pStyle w:val="Heading2"/>
        <w:rPr>
          <w:rFonts w:ascii="Times New Roman" w:hAnsi="Times New Roman" w:cs="Times New Roman"/>
          <w:sz w:val="24"/>
          <w:szCs w:val="24"/>
        </w:rPr>
      </w:pPr>
      <w:r>
        <w:t>2019 Movement in Contributed Equity</w:t>
      </w:r>
    </w:p>
    <w:tbl>
      <w:tblPr>
        <w:tblW w:w="0" w:type="auto"/>
        <w:tblLayout w:type="fixed"/>
        <w:tblCellMar>
          <w:left w:w="0" w:type="dxa"/>
          <w:right w:w="0" w:type="dxa"/>
        </w:tblCellMar>
        <w:tblLook w:val="0000" w:firstRow="0" w:lastRow="0" w:firstColumn="0" w:lastColumn="0" w:noHBand="0" w:noVBand="0"/>
      </w:tblPr>
      <w:tblGrid>
        <w:gridCol w:w="1418"/>
        <w:gridCol w:w="3687"/>
        <w:gridCol w:w="1248"/>
        <w:gridCol w:w="57"/>
        <w:gridCol w:w="1645"/>
        <w:gridCol w:w="57"/>
        <w:gridCol w:w="794"/>
        <w:gridCol w:w="57"/>
      </w:tblGrid>
      <w:tr w:rsidR="002E375F" w:rsidRPr="00E46D04" w14:paraId="6F7DEBF7" w14:textId="77777777" w:rsidTr="00862FE1">
        <w:tc>
          <w:tcPr>
            <w:tcW w:w="1418" w:type="dxa"/>
            <w:tcBorders>
              <w:top w:val="nil"/>
              <w:left w:val="nil"/>
              <w:bottom w:val="nil"/>
              <w:right w:val="nil"/>
            </w:tcBorders>
            <w:shd w:val="clear" w:color="auto" w:fill="FFFFFF"/>
            <w:vAlign w:val="bottom"/>
          </w:tcPr>
          <w:p w14:paraId="5624A59A" w14:textId="77777777" w:rsidR="002E375F" w:rsidRPr="00862FE1" w:rsidRDefault="00EB2569" w:rsidP="001C442D">
            <w:pPr>
              <w:pStyle w:val="Heading3"/>
              <w:rPr>
                <w:rFonts w:ascii="Arial" w:hAnsi="Arial" w:cs="Arial"/>
                <w:b/>
                <w:sz w:val="18"/>
                <w:szCs w:val="18"/>
              </w:rPr>
            </w:pPr>
            <w:r w:rsidRPr="00862FE1">
              <w:rPr>
                <w:rFonts w:ascii="Arial" w:hAnsi="Arial" w:cs="Arial"/>
                <w:b/>
                <w:sz w:val="18"/>
                <w:szCs w:val="18"/>
              </w:rPr>
              <w:t>Asset Class Description</w:t>
            </w:r>
          </w:p>
        </w:tc>
        <w:tc>
          <w:tcPr>
            <w:tcW w:w="3687" w:type="dxa"/>
            <w:tcBorders>
              <w:top w:val="nil"/>
              <w:left w:val="nil"/>
              <w:bottom w:val="nil"/>
              <w:right w:val="nil"/>
            </w:tcBorders>
            <w:shd w:val="clear" w:color="auto" w:fill="FFFFFF"/>
            <w:vAlign w:val="bottom"/>
          </w:tcPr>
          <w:p w14:paraId="56F1EB99" w14:textId="77777777" w:rsidR="002E375F" w:rsidRPr="00862FE1" w:rsidRDefault="00EB2569" w:rsidP="001C442D">
            <w:pPr>
              <w:pStyle w:val="Heading3"/>
              <w:rPr>
                <w:rFonts w:ascii="Arial" w:hAnsi="Arial" w:cs="Arial"/>
                <w:b/>
                <w:sz w:val="18"/>
                <w:szCs w:val="18"/>
              </w:rPr>
            </w:pPr>
            <w:r w:rsidRPr="00862FE1">
              <w:rPr>
                <w:rFonts w:ascii="Arial" w:hAnsi="Arial" w:cs="Arial"/>
                <w:b/>
                <w:sz w:val="18"/>
                <w:szCs w:val="18"/>
              </w:rPr>
              <w:t>Asset Description</w:t>
            </w:r>
          </w:p>
        </w:tc>
        <w:tc>
          <w:tcPr>
            <w:tcW w:w="1305" w:type="dxa"/>
            <w:gridSpan w:val="2"/>
            <w:tcBorders>
              <w:top w:val="nil"/>
              <w:left w:val="nil"/>
              <w:bottom w:val="nil"/>
              <w:right w:val="nil"/>
            </w:tcBorders>
            <w:shd w:val="clear" w:color="auto" w:fill="FFFFFF"/>
            <w:vAlign w:val="bottom"/>
          </w:tcPr>
          <w:p w14:paraId="19E82094"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$'000</w:t>
            </w:r>
          </w:p>
        </w:tc>
        <w:tc>
          <w:tcPr>
            <w:tcW w:w="1702" w:type="dxa"/>
            <w:gridSpan w:val="2"/>
            <w:tcBorders>
              <w:top w:val="nil"/>
              <w:left w:val="nil"/>
              <w:bottom w:val="nil"/>
              <w:right w:val="nil"/>
            </w:tcBorders>
            <w:shd w:val="clear" w:color="auto" w:fill="FFFFFF"/>
            <w:vAlign w:val="bottom"/>
          </w:tcPr>
          <w:p w14:paraId="793698FE" w14:textId="77777777" w:rsidR="002E375F" w:rsidRPr="00862FE1" w:rsidRDefault="00EB2569" w:rsidP="001C442D">
            <w:pPr>
              <w:pStyle w:val="Heading3"/>
              <w:rPr>
                <w:rFonts w:ascii="Arial" w:hAnsi="Arial" w:cs="Arial"/>
                <w:b/>
                <w:sz w:val="18"/>
                <w:szCs w:val="18"/>
              </w:rPr>
            </w:pPr>
            <w:r w:rsidRPr="00862FE1">
              <w:rPr>
                <w:rFonts w:ascii="Arial" w:hAnsi="Arial" w:cs="Arial"/>
                <w:b/>
                <w:sz w:val="18"/>
                <w:szCs w:val="18"/>
              </w:rPr>
              <w:t>Transferring Department</w:t>
            </w:r>
          </w:p>
        </w:tc>
        <w:tc>
          <w:tcPr>
            <w:tcW w:w="851" w:type="dxa"/>
            <w:gridSpan w:val="2"/>
            <w:tcBorders>
              <w:top w:val="nil"/>
              <w:left w:val="nil"/>
              <w:bottom w:val="nil"/>
              <w:right w:val="nil"/>
            </w:tcBorders>
            <w:shd w:val="clear" w:color="auto" w:fill="FFFFFF"/>
            <w:vAlign w:val="bottom"/>
          </w:tcPr>
          <w:p w14:paraId="3E983033" w14:textId="77777777" w:rsidR="002E375F" w:rsidRPr="00862FE1" w:rsidRDefault="00EB2569" w:rsidP="001C442D">
            <w:pPr>
              <w:pStyle w:val="Heading3"/>
              <w:rPr>
                <w:rFonts w:ascii="Arial" w:hAnsi="Arial" w:cs="Arial"/>
                <w:b/>
                <w:sz w:val="18"/>
                <w:szCs w:val="18"/>
              </w:rPr>
            </w:pPr>
            <w:r w:rsidRPr="00862FE1">
              <w:rPr>
                <w:rFonts w:ascii="Arial" w:hAnsi="Arial" w:cs="Arial"/>
                <w:b/>
                <w:sz w:val="18"/>
                <w:szCs w:val="18"/>
              </w:rPr>
              <w:t>Transfer In/Out</w:t>
            </w:r>
          </w:p>
        </w:tc>
      </w:tr>
      <w:tr w:rsidR="002E375F" w14:paraId="4A4B5938" w14:textId="77777777" w:rsidTr="00862FE1">
        <w:tc>
          <w:tcPr>
            <w:tcW w:w="1418" w:type="dxa"/>
            <w:tcBorders>
              <w:top w:val="nil"/>
              <w:left w:val="nil"/>
              <w:bottom w:val="nil"/>
              <w:right w:val="nil"/>
            </w:tcBorders>
            <w:shd w:val="clear" w:color="auto" w:fill="FFFFFF"/>
          </w:tcPr>
          <w:p w14:paraId="4CD261F5" w14:textId="77777777" w:rsidR="002E375F" w:rsidRDefault="00EB2569">
            <w:pPr>
              <w:autoSpaceDE w:val="0"/>
              <w:autoSpaceDN w:val="0"/>
              <w:adjustRightInd w:val="0"/>
              <w:spacing w:before="28" w:after="0" w:line="240" w:lineRule="auto"/>
              <w:rPr>
                <w:rFonts w:ascii="Times New Roman" w:hAnsi="Times New Roman" w:cs="Times New Roman"/>
                <w:sz w:val="24"/>
                <w:szCs w:val="24"/>
              </w:rPr>
            </w:pPr>
            <w:r>
              <w:rPr>
                <w:rFonts w:ascii="Arial" w:hAnsi="Arial" w:cs="Arial"/>
                <w:sz w:val="18"/>
                <w:szCs w:val="18"/>
              </w:rPr>
              <w:t>Land</w:t>
            </w:r>
          </w:p>
        </w:tc>
        <w:tc>
          <w:tcPr>
            <w:tcW w:w="3687" w:type="dxa"/>
            <w:tcBorders>
              <w:top w:val="nil"/>
              <w:left w:val="nil"/>
              <w:bottom w:val="nil"/>
              <w:right w:val="nil"/>
            </w:tcBorders>
            <w:shd w:val="clear" w:color="auto" w:fill="FFFFFF"/>
            <w:vAlign w:val="bottom"/>
          </w:tcPr>
          <w:p w14:paraId="3E04DE54"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The Oasis, Land - Oonoonba. Transfer is for the proposed Townsville Community Centre for veterans.</w:t>
            </w:r>
          </w:p>
        </w:tc>
        <w:tc>
          <w:tcPr>
            <w:tcW w:w="1305" w:type="dxa"/>
            <w:gridSpan w:val="2"/>
            <w:tcBorders>
              <w:top w:val="nil"/>
              <w:left w:val="nil"/>
              <w:bottom w:val="nil"/>
              <w:right w:val="nil"/>
            </w:tcBorders>
            <w:shd w:val="clear" w:color="auto" w:fill="FFFFFF"/>
            <w:vAlign w:val="bottom"/>
          </w:tcPr>
          <w:p w14:paraId="5BD20CB0" w14:textId="77777777" w:rsidR="002E375F" w:rsidRDefault="00EB2569">
            <w:pPr>
              <w:autoSpaceDE w:val="0"/>
              <w:autoSpaceDN w:val="0"/>
              <w:adjustRightInd w:val="0"/>
              <w:spacing w:before="14" w:after="0" w:line="240" w:lineRule="auto"/>
              <w:jc w:val="right"/>
              <w:rPr>
                <w:rFonts w:ascii="Times New Roman" w:hAnsi="Times New Roman" w:cs="Times New Roman"/>
                <w:sz w:val="24"/>
                <w:szCs w:val="24"/>
              </w:rPr>
            </w:pPr>
            <w:r>
              <w:rPr>
                <w:rFonts w:ascii="Arial" w:hAnsi="Arial" w:cs="Arial"/>
                <w:sz w:val="18"/>
                <w:szCs w:val="18"/>
              </w:rPr>
              <w:t>1,050</w:t>
            </w:r>
          </w:p>
        </w:tc>
        <w:tc>
          <w:tcPr>
            <w:tcW w:w="1702" w:type="dxa"/>
            <w:gridSpan w:val="2"/>
            <w:tcBorders>
              <w:top w:val="nil"/>
              <w:left w:val="nil"/>
              <w:bottom w:val="nil"/>
              <w:right w:val="nil"/>
            </w:tcBorders>
            <w:shd w:val="clear" w:color="auto" w:fill="FFFFFF"/>
            <w:vAlign w:val="bottom"/>
          </w:tcPr>
          <w:p w14:paraId="243DA36A"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Economic Development Queensland</w:t>
            </w:r>
          </w:p>
        </w:tc>
        <w:tc>
          <w:tcPr>
            <w:tcW w:w="851" w:type="dxa"/>
            <w:gridSpan w:val="2"/>
            <w:tcBorders>
              <w:top w:val="nil"/>
              <w:left w:val="nil"/>
              <w:bottom w:val="nil"/>
              <w:right w:val="nil"/>
            </w:tcBorders>
            <w:shd w:val="clear" w:color="auto" w:fill="FFFFFF"/>
            <w:vAlign w:val="bottom"/>
          </w:tcPr>
          <w:p w14:paraId="6BB2ED6D" w14:textId="77777777" w:rsidR="002E375F" w:rsidRDefault="00EB2569">
            <w:pPr>
              <w:autoSpaceDE w:val="0"/>
              <w:autoSpaceDN w:val="0"/>
              <w:adjustRightInd w:val="0"/>
              <w:spacing w:before="14" w:after="0" w:line="240" w:lineRule="auto"/>
              <w:jc w:val="center"/>
              <w:rPr>
                <w:rFonts w:ascii="Times New Roman" w:hAnsi="Times New Roman" w:cs="Times New Roman"/>
                <w:sz w:val="24"/>
                <w:szCs w:val="24"/>
              </w:rPr>
            </w:pPr>
            <w:r>
              <w:rPr>
                <w:rFonts w:ascii="Arial" w:hAnsi="Arial" w:cs="Arial"/>
                <w:sz w:val="18"/>
                <w:szCs w:val="18"/>
              </w:rPr>
              <w:t>In</w:t>
            </w:r>
          </w:p>
        </w:tc>
      </w:tr>
      <w:tr w:rsidR="002E375F" w14:paraId="630CEA94" w14:textId="77777777" w:rsidTr="00862FE1">
        <w:tc>
          <w:tcPr>
            <w:tcW w:w="1418" w:type="dxa"/>
            <w:tcBorders>
              <w:top w:val="nil"/>
              <w:left w:val="nil"/>
              <w:bottom w:val="nil"/>
              <w:right w:val="nil"/>
            </w:tcBorders>
            <w:shd w:val="clear" w:color="auto" w:fill="FFFFFF"/>
          </w:tcPr>
          <w:p w14:paraId="47AAA577" w14:textId="77777777" w:rsidR="002E375F" w:rsidRDefault="00EB2569">
            <w:pPr>
              <w:autoSpaceDE w:val="0"/>
              <w:autoSpaceDN w:val="0"/>
              <w:adjustRightInd w:val="0"/>
              <w:spacing w:before="28" w:after="0" w:line="240" w:lineRule="auto"/>
              <w:rPr>
                <w:rFonts w:ascii="Times New Roman" w:hAnsi="Times New Roman" w:cs="Times New Roman"/>
                <w:sz w:val="24"/>
                <w:szCs w:val="24"/>
              </w:rPr>
            </w:pPr>
            <w:r>
              <w:rPr>
                <w:rFonts w:ascii="Arial" w:hAnsi="Arial" w:cs="Arial"/>
                <w:sz w:val="18"/>
                <w:szCs w:val="18"/>
              </w:rPr>
              <w:t>Buildings</w:t>
            </w:r>
          </w:p>
        </w:tc>
        <w:tc>
          <w:tcPr>
            <w:tcW w:w="3687" w:type="dxa"/>
            <w:tcBorders>
              <w:top w:val="nil"/>
              <w:left w:val="nil"/>
              <w:bottom w:val="nil"/>
              <w:right w:val="nil"/>
            </w:tcBorders>
            <w:shd w:val="clear" w:color="auto" w:fill="FFFFFF"/>
            <w:vAlign w:val="bottom"/>
          </w:tcPr>
          <w:p w14:paraId="789AA430"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The Oasis, Buildings - Oonoonba. Transfer is for the proposed Townsville Community Centre for veterans.</w:t>
            </w:r>
          </w:p>
        </w:tc>
        <w:tc>
          <w:tcPr>
            <w:tcW w:w="1305" w:type="dxa"/>
            <w:gridSpan w:val="2"/>
            <w:tcBorders>
              <w:top w:val="nil"/>
              <w:left w:val="nil"/>
              <w:bottom w:val="nil"/>
              <w:right w:val="nil"/>
            </w:tcBorders>
            <w:shd w:val="clear" w:color="auto" w:fill="FFFFFF"/>
            <w:vAlign w:val="bottom"/>
          </w:tcPr>
          <w:p w14:paraId="5F99BD19" w14:textId="77777777" w:rsidR="002E375F" w:rsidRDefault="00EB2569">
            <w:pPr>
              <w:autoSpaceDE w:val="0"/>
              <w:autoSpaceDN w:val="0"/>
              <w:adjustRightInd w:val="0"/>
              <w:spacing w:before="14" w:after="0" w:line="240" w:lineRule="auto"/>
              <w:jc w:val="right"/>
              <w:rPr>
                <w:rFonts w:ascii="Times New Roman" w:hAnsi="Times New Roman" w:cs="Times New Roman"/>
                <w:sz w:val="24"/>
                <w:szCs w:val="24"/>
              </w:rPr>
            </w:pPr>
            <w:r>
              <w:rPr>
                <w:rFonts w:ascii="Arial" w:hAnsi="Arial" w:cs="Arial"/>
                <w:sz w:val="18"/>
                <w:szCs w:val="18"/>
              </w:rPr>
              <w:t>600</w:t>
            </w:r>
          </w:p>
        </w:tc>
        <w:tc>
          <w:tcPr>
            <w:tcW w:w="1702" w:type="dxa"/>
            <w:gridSpan w:val="2"/>
            <w:tcBorders>
              <w:top w:val="nil"/>
              <w:left w:val="nil"/>
              <w:bottom w:val="nil"/>
              <w:right w:val="nil"/>
            </w:tcBorders>
            <w:shd w:val="clear" w:color="auto" w:fill="FFFFFF"/>
            <w:vAlign w:val="bottom"/>
          </w:tcPr>
          <w:p w14:paraId="27F84512"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Economic Development Queensland</w:t>
            </w:r>
          </w:p>
        </w:tc>
        <w:tc>
          <w:tcPr>
            <w:tcW w:w="851" w:type="dxa"/>
            <w:gridSpan w:val="2"/>
            <w:tcBorders>
              <w:top w:val="nil"/>
              <w:left w:val="nil"/>
              <w:bottom w:val="nil"/>
              <w:right w:val="nil"/>
            </w:tcBorders>
            <w:shd w:val="clear" w:color="auto" w:fill="FFFFFF"/>
            <w:vAlign w:val="bottom"/>
          </w:tcPr>
          <w:p w14:paraId="7A7E86F9" w14:textId="77777777" w:rsidR="002E375F" w:rsidRDefault="00EB2569">
            <w:pPr>
              <w:autoSpaceDE w:val="0"/>
              <w:autoSpaceDN w:val="0"/>
              <w:adjustRightInd w:val="0"/>
              <w:spacing w:before="14" w:after="0" w:line="240" w:lineRule="auto"/>
              <w:jc w:val="center"/>
              <w:rPr>
                <w:rFonts w:ascii="Times New Roman" w:hAnsi="Times New Roman" w:cs="Times New Roman"/>
                <w:sz w:val="24"/>
                <w:szCs w:val="24"/>
              </w:rPr>
            </w:pPr>
            <w:r>
              <w:rPr>
                <w:rFonts w:ascii="Arial" w:hAnsi="Arial" w:cs="Arial"/>
                <w:sz w:val="18"/>
                <w:szCs w:val="18"/>
              </w:rPr>
              <w:t>In</w:t>
            </w:r>
          </w:p>
        </w:tc>
      </w:tr>
      <w:tr w:rsidR="002E375F" w14:paraId="6EB25E8A" w14:textId="77777777" w:rsidTr="00862FE1">
        <w:tc>
          <w:tcPr>
            <w:tcW w:w="1418" w:type="dxa"/>
            <w:tcBorders>
              <w:top w:val="nil"/>
              <w:left w:val="nil"/>
              <w:bottom w:val="nil"/>
              <w:right w:val="nil"/>
            </w:tcBorders>
            <w:shd w:val="clear" w:color="auto" w:fill="FFFFFF"/>
          </w:tcPr>
          <w:p w14:paraId="01900DCE" w14:textId="77777777" w:rsidR="002E375F" w:rsidRDefault="00EB2569">
            <w:pPr>
              <w:autoSpaceDE w:val="0"/>
              <w:autoSpaceDN w:val="0"/>
              <w:adjustRightInd w:val="0"/>
              <w:spacing w:before="28" w:after="0" w:line="240" w:lineRule="auto"/>
              <w:rPr>
                <w:rFonts w:ascii="Times New Roman" w:hAnsi="Times New Roman" w:cs="Times New Roman"/>
                <w:sz w:val="24"/>
                <w:szCs w:val="24"/>
              </w:rPr>
            </w:pPr>
            <w:r>
              <w:rPr>
                <w:rFonts w:ascii="Arial" w:hAnsi="Arial" w:cs="Arial"/>
                <w:sz w:val="18"/>
                <w:szCs w:val="18"/>
              </w:rPr>
              <w:t>Land</w:t>
            </w:r>
          </w:p>
        </w:tc>
        <w:tc>
          <w:tcPr>
            <w:tcW w:w="3687" w:type="dxa"/>
            <w:tcBorders>
              <w:top w:val="nil"/>
              <w:left w:val="nil"/>
              <w:bottom w:val="nil"/>
              <w:right w:val="nil"/>
            </w:tcBorders>
            <w:shd w:val="clear" w:color="auto" w:fill="FFFFFF"/>
            <w:vAlign w:val="bottom"/>
          </w:tcPr>
          <w:p w14:paraId="0E6E49BE"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Moranbah Neighbourhood Centre - Moranbah. Transfer is for the proposed Moranbah Youth and Community Centre.</w:t>
            </w:r>
          </w:p>
        </w:tc>
        <w:tc>
          <w:tcPr>
            <w:tcW w:w="1305" w:type="dxa"/>
            <w:gridSpan w:val="2"/>
            <w:tcBorders>
              <w:top w:val="nil"/>
              <w:left w:val="nil"/>
              <w:right w:val="nil"/>
            </w:tcBorders>
            <w:shd w:val="clear" w:color="auto" w:fill="FFFFFF"/>
            <w:vAlign w:val="bottom"/>
          </w:tcPr>
          <w:p w14:paraId="380FB074" w14:textId="77777777" w:rsidR="002E375F" w:rsidRDefault="00EB2569">
            <w:pPr>
              <w:autoSpaceDE w:val="0"/>
              <w:autoSpaceDN w:val="0"/>
              <w:adjustRightInd w:val="0"/>
              <w:spacing w:before="14" w:after="0" w:line="240" w:lineRule="auto"/>
              <w:jc w:val="right"/>
              <w:rPr>
                <w:rFonts w:ascii="Times New Roman" w:hAnsi="Times New Roman" w:cs="Times New Roman"/>
                <w:sz w:val="24"/>
                <w:szCs w:val="24"/>
              </w:rPr>
            </w:pPr>
            <w:r>
              <w:rPr>
                <w:rFonts w:ascii="Arial" w:hAnsi="Arial" w:cs="Arial"/>
                <w:sz w:val="18"/>
                <w:szCs w:val="18"/>
              </w:rPr>
              <w:t>80</w:t>
            </w:r>
          </w:p>
        </w:tc>
        <w:tc>
          <w:tcPr>
            <w:tcW w:w="1702" w:type="dxa"/>
            <w:gridSpan w:val="2"/>
            <w:tcBorders>
              <w:top w:val="nil"/>
              <w:left w:val="nil"/>
              <w:right w:val="nil"/>
            </w:tcBorders>
            <w:shd w:val="clear" w:color="auto" w:fill="FFFFFF"/>
            <w:vAlign w:val="bottom"/>
          </w:tcPr>
          <w:p w14:paraId="4CF11A7C"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Economic Development Queensland</w:t>
            </w:r>
          </w:p>
        </w:tc>
        <w:tc>
          <w:tcPr>
            <w:tcW w:w="851" w:type="dxa"/>
            <w:gridSpan w:val="2"/>
            <w:tcBorders>
              <w:top w:val="nil"/>
              <w:left w:val="nil"/>
              <w:bottom w:val="nil"/>
              <w:right w:val="nil"/>
            </w:tcBorders>
            <w:shd w:val="clear" w:color="auto" w:fill="FFFFFF"/>
            <w:vAlign w:val="bottom"/>
          </w:tcPr>
          <w:p w14:paraId="5891DC04" w14:textId="77777777" w:rsidR="002E375F" w:rsidRDefault="00EB2569">
            <w:pPr>
              <w:autoSpaceDE w:val="0"/>
              <w:autoSpaceDN w:val="0"/>
              <w:adjustRightInd w:val="0"/>
              <w:spacing w:before="14" w:after="0" w:line="240" w:lineRule="auto"/>
              <w:jc w:val="center"/>
              <w:rPr>
                <w:rFonts w:ascii="Times New Roman" w:hAnsi="Times New Roman" w:cs="Times New Roman"/>
                <w:sz w:val="24"/>
                <w:szCs w:val="24"/>
              </w:rPr>
            </w:pPr>
            <w:r>
              <w:rPr>
                <w:rFonts w:ascii="Arial" w:hAnsi="Arial" w:cs="Arial"/>
                <w:sz w:val="18"/>
                <w:szCs w:val="18"/>
              </w:rPr>
              <w:t>In</w:t>
            </w:r>
          </w:p>
        </w:tc>
      </w:tr>
      <w:tr w:rsidR="002E375F" w14:paraId="5FD2C506" w14:textId="77777777" w:rsidTr="00D16D72">
        <w:tc>
          <w:tcPr>
            <w:tcW w:w="1418" w:type="dxa"/>
            <w:tcBorders>
              <w:top w:val="nil"/>
              <w:left w:val="nil"/>
              <w:bottom w:val="nil"/>
              <w:right w:val="nil"/>
            </w:tcBorders>
            <w:shd w:val="clear" w:color="auto" w:fill="FFFFFF"/>
            <w:vAlign w:val="bottom"/>
          </w:tcPr>
          <w:p w14:paraId="4BE1D33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3687" w:type="dxa"/>
            <w:tcBorders>
              <w:top w:val="nil"/>
              <w:left w:val="nil"/>
              <w:bottom w:val="nil"/>
              <w:right w:val="nil"/>
            </w:tcBorders>
            <w:shd w:val="clear" w:color="auto" w:fill="FFFFFF"/>
            <w:vAlign w:val="bottom"/>
          </w:tcPr>
          <w:p w14:paraId="31709AD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1305" w:type="dxa"/>
            <w:gridSpan w:val="2"/>
            <w:tcBorders>
              <w:top w:val="nil"/>
              <w:left w:val="nil"/>
              <w:right w:val="nil"/>
            </w:tcBorders>
            <w:shd w:val="clear" w:color="auto" w:fill="FFFFFF"/>
            <w:vAlign w:val="bottom"/>
          </w:tcPr>
          <w:p w14:paraId="47F18E0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1,730</w:t>
            </w:r>
          </w:p>
        </w:tc>
        <w:tc>
          <w:tcPr>
            <w:tcW w:w="1702" w:type="dxa"/>
            <w:gridSpan w:val="2"/>
            <w:tcBorders>
              <w:top w:val="nil"/>
              <w:left w:val="nil"/>
              <w:right w:val="nil"/>
            </w:tcBorders>
            <w:shd w:val="clear" w:color="auto" w:fill="FFFFFF"/>
            <w:vAlign w:val="bottom"/>
          </w:tcPr>
          <w:p w14:paraId="18E2DE3E"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851" w:type="dxa"/>
            <w:gridSpan w:val="2"/>
            <w:tcBorders>
              <w:top w:val="nil"/>
              <w:left w:val="nil"/>
              <w:bottom w:val="nil"/>
              <w:right w:val="nil"/>
            </w:tcBorders>
            <w:shd w:val="clear" w:color="auto" w:fill="FFFFFF"/>
            <w:vAlign w:val="bottom"/>
          </w:tcPr>
          <w:p w14:paraId="5274A45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136C0D7D" w14:textId="77777777" w:rsidTr="00862FE1">
        <w:trPr>
          <w:gridAfter w:val="1"/>
          <w:wAfter w:w="57" w:type="dxa"/>
        </w:trPr>
        <w:tc>
          <w:tcPr>
            <w:tcW w:w="1418" w:type="dxa"/>
            <w:tcBorders>
              <w:top w:val="nil"/>
              <w:left w:val="nil"/>
              <w:bottom w:val="nil"/>
              <w:right w:val="nil"/>
            </w:tcBorders>
            <w:shd w:val="clear" w:color="auto" w:fill="FFFFFF"/>
            <w:vAlign w:val="bottom"/>
          </w:tcPr>
          <w:p w14:paraId="33DD6254" w14:textId="77777777" w:rsidR="002E375F" w:rsidRDefault="00EB2569" w:rsidP="00862FE1">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Asset Class Description</w:t>
            </w:r>
          </w:p>
        </w:tc>
        <w:tc>
          <w:tcPr>
            <w:tcW w:w="3687" w:type="dxa"/>
            <w:tcBorders>
              <w:top w:val="nil"/>
              <w:left w:val="nil"/>
              <w:bottom w:val="nil"/>
              <w:right w:val="nil"/>
            </w:tcBorders>
            <w:shd w:val="clear" w:color="auto" w:fill="FFFFFF"/>
            <w:vAlign w:val="bottom"/>
          </w:tcPr>
          <w:p w14:paraId="4F12009D" w14:textId="77777777" w:rsidR="002E375F" w:rsidRDefault="00EB2569" w:rsidP="00862FE1">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Asset Description</w:t>
            </w:r>
          </w:p>
        </w:tc>
        <w:tc>
          <w:tcPr>
            <w:tcW w:w="1248" w:type="dxa"/>
            <w:tcBorders>
              <w:top w:val="nil"/>
              <w:left w:val="nil"/>
              <w:bottom w:val="nil"/>
              <w:right w:val="nil"/>
            </w:tcBorders>
            <w:shd w:val="clear" w:color="auto" w:fill="FFFFFF"/>
            <w:vAlign w:val="bottom"/>
          </w:tcPr>
          <w:p w14:paraId="00AE678C" w14:textId="77777777" w:rsidR="002E375F" w:rsidRDefault="00EB2569" w:rsidP="00862FE1">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$'000</w:t>
            </w:r>
          </w:p>
        </w:tc>
        <w:tc>
          <w:tcPr>
            <w:tcW w:w="1702" w:type="dxa"/>
            <w:gridSpan w:val="2"/>
            <w:tcBorders>
              <w:top w:val="nil"/>
              <w:left w:val="nil"/>
              <w:right w:val="nil"/>
            </w:tcBorders>
            <w:shd w:val="clear" w:color="auto" w:fill="FFFFFF"/>
            <w:vAlign w:val="bottom"/>
          </w:tcPr>
          <w:p w14:paraId="3DC7178A" w14:textId="77777777" w:rsidR="002E375F" w:rsidRDefault="00EB2569" w:rsidP="00862FE1">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Receiving Department</w:t>
            </w:r>
          </w:p>
        </w:tc>
        <w:tc>
          <w:tcPr>
            <w:tcW w:w="851" w:type="dxa"/>
            <w:gridSpan w:val="2"/>
            <w:tcBorders>
              <w:top w:val="nil"/>
              <w:left w:val="nil"/>
              <w:right w:val="nil"/>
            </w:tcBorders>
            <w:shd w:val="clear" w:color="auto" w:fill="FFFFFF"/>
            <w:vAlign w:val="bottom"/>
          </w:tcPr>
          <w:p w14:paraId="19DECD06" w14:textId="77777777" w:rsidR="002E375F" w:rsidRDefault="00EB2569" w:rsidP="00862FE1">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Transfer In/Out</w:t>
            </w:r>
          </w:p>
        </w:tc>
      </w:tr>
      <w:tr w:rsidR="002E375F" w14:paraId="4539A6FF" w14:textId="77777777" w:rsidTr="00862FE1">
        <w:trPr>
          <w:gridAfter w:val="1"/>
          <w:wAfter w:w="57" w:type="dxa"/>
        </w:trPr>
        <w:tc>
          <w:tcPr>
            <w:tcW w:w="1418" w:type="dxa"/>
            <w:tcBorders>
              <w:top w:val="nil"/>
              <w:left w:val="nil"/>
              <w:bottom w:val="nil"/>
              <w:right w:val="nil"/>
            </w:tcBorders>
            <w:shd w:val="clear" w:color="auto" w:fill="FFFFFF"/>
          </w:tcPr>
          <w:p w14:paraId="334E31A1" w14:textId="77777777" w:rsidR="002E375F" w:rsidRDefault="00EB2569">
            <w:pPr>
              <w:autoSpaceDE w:val="0"/>
              <w:autoSpaceDN w:val="0"/>
              <w:adjustRightInd w:val="0"/>
              <w:spacing w:before="28" w:after="0" w:line="240" w:lineRule="auto"/>
              <w:rPr>
                <w:rFonts w:ascii="Times New Roman" w:hAnsi="Times New Roman" w:cs="Times New Roman"/>
                <w:sz w:val="24"/>
                <w:szCs w:val="24"/>
              </w:rPr>
            </w:pPr>
            <w:r>
              <w:rPr>
                <w:rFonts w:ascii="Arial" w:hAnsi="Arial" w:cs="Arial"/>
                <w:sz w:val="18"/>
                <w:szCs w:val="18"/>
              </w:rPr>
              <w:t>Buildings</w:t>
            </w:r>
          </w:p>
        </w:tc>
        <w:tc>
          <w:tcPr>
            <w:tcW w:w="3687" w:type="dxa"/>
            <w:tcBorders>
              <w:top w:val="nil"/>
              <w:left w:val="nil"/>
              <w:bottom w:val="nil"/>
              <w:right w:val="nil"/>
            </w:tcBorders>
            <w:shd w:val="clear" w:color="auto" w:fill="FFFFFF"/>
            <w:vAlign w:val="bottom"/>
          </w:tcPr>
          <w:p w14:paraId="59D2B053"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West Mackay Community Centre - Mackay. Transfer is in relation to the suitability of ownership as a result of Machinery-of-Government changes and service delivery funding.</w:t>
            </w:r>
          </w:p>
        </w:tc>
        <w:tc>
          <w:tcPr>
            <w:tcW w:w="1248" w:type="dxa"/>
            <w:tcBorders>
              <w:top w:val="nil"/>
              <w:left w:val="nil"/>
              <w:bottom w:val="nil"/>
              <w:right w:val="nil"/>
            </w:tcBorders>
            <w:shd w:val="clear" w:color="auto" w:fill="FFFFFF"/>
            <w:vAlign w:val="bottom"/>
          </w:tcPr>
          <w:p w14:paraId="02C33AE5" w14:textId="77777777" w:rsidR="002E375F" w:rsidRDefault="00EB2569">
            <w:pPr>
              <w:autoSpaceDE w:val="0"/>
              <w:autoSpaceDN w:val="0"/>
              <w:adjustRightInd w:val="0"/>
              <w:spacing w:before="14" w:after="0" w:line="240" w:lineRule="auto"/>
              <w:jc w:val="right"/>
              <w:rPr>
                <w:rFonts w:ascii="Times New Roman" w:hAnsi="Times New Roman" w:cs="Times New Roman"/>
                <w:sz w:val="24"/>
                <w:szCs w:val="24"/>
              </w:rPr>
            </w:pPr>
            <w:r>
              <w:rPr>
                <w:rFonts w:ascii="Arial" w:hAnsi="Arial" w:cs="Arial"/>
                <w:sz w:val="18"/>
                <w:szCs w:val="18"/>
              </w:rPr>
              <w:t>(2,546)</w:t>
            </w:r>
          </w:p>
        </w:tc>
        <w:tc>
          <w:tcPr>
            <w:tcW w:w="1702" w:type="dxa"/>
            <w:gridSpan w:val="2"/>
            <w:tcBorders>
              <w:top w:val="nil"/>
              <w:left w:val="nil"/>
              <w:right w:val="nil"/>
            </w:tcBorders>
            <w:shd w:val="clear" w:color="auto" w:fill="FFFFFF"/>
            <w:vAlign w:val="bottom"/>
          </w:tcPr>
          <w:p w14:paraId="16B71565"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Department of Child Safety, Youth and Women</w:t>
            </w:r>
          </w:p>
        </w:tc>
        <w:tc>
          <w:tcPr>
            <w:tcW w:w="851" w:type="dxa"/>
            <w:gridSpan w:val="2"/>
            <w:tcBorders>
              <w:top w:val="nil"/>
              <w:left w:val="nil"/>
              <w:right w:val="nil"/>
            </w:tcBorders>
            <w:shd w:val="clear" w:color="auto" w:fill="FFFFFF"/>
            <w:vAlign w:val="bottom"/>
          </w:tcPr>
          <w:p w14:paraId="08BC91FF" w14:textId="77777777" w:rsidR="002E375F" w:rsidRDefault="00EB2569">
            <w:pPr>
              <w:autoSpaceDE w:val="0"/>
              <w:autoSpaceDN w:val="0"/>
              <w:adjustRightInd w:val="0"/>
              <w:spacing w:before="14" w:after="0" w:line="240" w:lineRule="auto"/>
              <w:jc w:val="center"/>
              <w:rPr>
                <w:rFonts w:ascii="Times New Roman" w:hAnsi="Times New Roman" w:cs="Times New Roman"/>
                <w:sz w:val="24"/>
                <w:szCs w:val="24"/>
              </w:rPr>
            </w:pPr>
            <w:r>
              <w:rPr>
                <w:rFonts w:ascii="Arial" w:hAnsi="Arial" w:cs="Arial"/>
                <w:sz w:val="18"/>
                <w:szCs w:val="18"/>
              </w:rPr>
              <w:t>Out</w:t>
            </w:r>
          </w:p>
        </w:tc>
      </w:tr>
      <w:tr w:rsidR="002E375F" w14:paraId="447A7AF9" w14:textId="77777777" w:rsidTr="00862FE1">
        <w:trPr>
          <w:gridAfter w:val="1"/>
          <w:wAfter w:w="57" w:type="dxa"/>
        </w:trPr>
        <w:tc>
          <w:tcPr>
            <w:tcW w:w="1418" w:type="dxa"/>
            <w:tcBorders>
              <w:top w:val="nil"/>
              <w:left w:val="nil"/>
              <w:bottom w:val="nil"/>
              <w:right w:val="nil"/>
            </w:tcBorders>
            <w:shd w:val="clear" w:color="auto" w:fill="FFFFFF"/>
          </w:tcPr>
          <w:p w14:paraId="4FC869C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Buildings</w:t>
            </w:r>
          </w:p>
        </w:tc>
        <w:tc>
          <w:tcPr>
            <w:tcW w:w="3687" w:type="dxa"/>
            <w:tcBorders>
              <w:top w:val="nil"/>
              <w:left w:val="nil"/>
              <w:bottom w:val="nil"/>
              <w:right w:val="nil"/>
            </w:tcBorders>
            <w:shd w:val="clear" w:color="auto" w:fill="FFFFFF"/>
            <w:vAlign w:val="bottom"/>
          </w:tcPr>
          <w:p w14:paraId="568F4C7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Lockhart River Neighbourhood Centre. Transfer is part of the implementation of the State Government's commitments in relation to stores in remote Aboriginal communities.</w:t>
            </w:r>
          </w:p>
        </w:tc>
        <w:tc>
          <w:tcPr>
            <w:tcW w:w="1248" w:type="dxa"/>
            <w:tcBorders>
              <w:top w:val="nil"/>
              <w:left w:val="nil"/>
              <w:bottom w:val="nil"/>
              <w:right w:val="nil"/>
            </w:tcBorders>
            <w:shd w:val="clear" w:color="auto" w:fill="FFFFFF"/>
            <w:vAlign w:val="bottom"/>
          </w:tcPr>
          <w:p w14:paraId="5275422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(2,136)</w:t>
            </w:r>
          </w:p>
        </w:tc>
        <w:tc>
          <w:tcPr>
            <w:tcW w:w="1702" w:type="dxa"/>
            <w:gridSpan w:val="2"/>
            <w:tcBorders>
              <w:left w:val="nil"/>
              <w:bottom w:val="nil"/>
              <w:right w:val="nil"/>
            </w:tcBorders>
            <w:shd w:val="clear" w:color="auto" w:fill="FFFFFF"/>
            <w:vAlign w:val="bottom"/>
          </w:tcPr>
          <w:p w14:paraId="7777B29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Department of Aboriginal and Torres Strait Islander Partnerships</w:t>
            </w:r>
          </w:p>
        </w:tc>
        <w:tc>
          <w:tcPr>
            <w:tcW w:w="851" w:type="dxa"/>
            <w:gridSpan w:val="2"/>
            <w:tcBorders>
              <w:left w:val="nil"/>
              <w:bottom w:val="nil"/>
              <w:right w:val="nil"/>
            </w:tcBorders>
            <w:shd w:val="clear" w:color="auto" w:fill="FFFFFF"/>
            <w:vAlign w:val="bottom"/>
          </w:tcPr>
          <w:p w14:paraId="460B8F05"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Out</w:t>
            </w:r>
          </w:p>
        </w:tc>
      </w:tr>
      <w:tr w:rsidR="002E375F" w14:paraId="6A3A2033" w14:textId="77777777" w:rsidTr="00862FE1">
        <w:trPr>
          <w:gridAfter w:val="1"/>
          <w:wAfter w:w="57" w:type="dxa"/>
        </w:trPr>
        <w:tc>
          <w:tcPr>
            <w:tcW w:w="1418" w:type="dxa"/>
            <w:tcBorders>
              <w:top w:val="nil"/>
              <w:left w:val="nil"/>
              <w:bottom w:val="nil"/>
              <w:right w:val="nil"/>
            </w:tcBorders>
            <w:shd w:val="clear" w:color="auto" w:fill="FFFFFF"/>
          </w:tcPr>
          <w:p w14:paraId="29CC793A" w14:textId="77777777" w:rsidR="002E375F" w:rsidRDefault="00EB2569">
            <w:pPr>
              <w:autoSpaceDE w:val="0"/>
              <w:autoSpaceDN w:val="0"/>
              <w:adjustRightInd w:val="0"/>
              <w:spacing w:before="28" w:after="0" w:line="240" w:lineRule="auto"/>
              <w:rPr>
                <w:rFonts w:ascii="Times New Roman" w:hAnsi="Times New Roman" w:cs="Times New Roman"/>
                <w:sz w:val="24"/>
                <w:szCs w:val="24"/>
              </w:rPr>
            </w:pPr>
            <w:r>
              <w:rPr>
                <w:rFonts w:ascii="Arial" w:hAnsi="Arial" w:cs="Arial"/>
                <w:sz w:val="18"/>
                <w:szCs w:val="18"/>
              </w:rPr>
              <w:t>Plant &amp; equipment</w:t>
            </w:r>
          </w:p>
        </w:tc>
        <w:tc>
          <w:tcPr>
            <w:tcW w:w="3687" w:type="dxa"/>
            <w:tcBorders>
              <w:top w:val="nil"/>
              <w:left w:val="nil"/>
              <w:bottom w:val="nil"/>
              <w:right w:val="nil"/>
            </w:tcBorders>
            <w:shd w:val="clear" w:color="auto" w:fill="FFFFFF"/>
            <w:vAlign w:val="bottom"/>
          </w:tcPr>
          <w:p w14:paraId="24536696"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Transfer is for the Schoolies office accommodation fitout at Surfers Paradise to align with transfer of the responsibility to the Department of Child Safety, Youth and Women.</w:t>
            </w:r>
          </w:p>
        </w:tc>
        <w:tc>
          <w:tcPr>
            <w:tcW w:w="1248" w:type="dxa"/>
            <w:tcBorders>
              <w:top w:val="nil"/>
              <w:left w:val="nil"/>
              <w:bottom w:val="nil"/>
              <w:right w:val="nil"/>
            </w:tcBorders>
            <w:shd w:val="clear" w:color="auto" w:fill="FFFFFF"/>
            <w:vAlign w:val="bottom"/>
          </w:tcPr>
          <w:p w14:paraId="2E934B08" w14:textId="77777777" w:rsidR="002E375F" w:rsidRDefault="00EB2569">
            <w:pPr>
              <w:autoSpaceDE w:val="0"/>
              <w:autoSpaceDN w:val="0"/>
              <w:adjustRightInd w:val="0"/>
              <w:spacing w:before="14" w:after="0" w:line="240" w:lineRule="auto"/>
              <w:jc w:val="right"/>
              <w:rPr>
                <w:rFonts w:ascii="Times New Roman" w:hAnsi="Times New Roman" w:cs="Times New Roman"/>
                <w:sz w:val="24"/>
                <w:szCs w:val="24"/>
              </w:rPr>
            </w:pPr>
            <w:r>
              <w:rPr>
                <w:rFonts w:ascii="Arial" w:hAnsi="Arial" w:cs="Arial"/>
                <w:sz w:val="18"/>
                <w:szCs w:val="18"/>
              </w:rPr>
              <w:t>(46)</w:t>
            </w:r>
          </w:p>
        </w:tc>
        <w:tc>
          <w:tcPr>
            <w:tcW w:w="1702" w:type="dxa"/>
            <w:gridSpan w:val="2"/>
            <w:tcBorders>
              <w:top w:val="nil"/>
              <w:left w:val="nil"/>
              <w:bottom w:val="nil"/>
              <w:right w:val="nil"/>
            </w:tcBorders>
            <w:shd w:val="clear" w:color="auto" w:fill="FFFFFF"/>
            <w:vAlign w:val="bottom"/>
          </w:tcPr>
          <w:p w14:paraId="63B230C5" w14:textId="77777777" w:rsidR="002E375F" w:rsidRDefault="00EB2569">
            <w:pPr>
              <w:autoSpaceDE w:val="0"/>
              <w:autoSpaceDN w:val="0"/>
              <w:adjustRightInd w:val="0"/>
              <w:spacing w:before="14" w:after="0" w:line="240" w:lineRule="auto"/>
              <w:rPr>
                <w:rFonts w:ascii="Times New Roman" w:hAnsi="Times New Roman" w:cs="Times New Roman"/>
                <w:sz w:val="24"/>
                <w:szCs w:val="24"/>
              </w:rPr>
            </w:pPr>
            <w:r>
              <w:rPr>
                <w:rFonts w:ascii="Arial" w:hAnsi="Arial" w:cs="Arial"/>
                <w:sz w:val="18"/>
                <w:szCs w:val="18"/>
              </w:rPr>
              <w:t>Department of Child Safety, Youth and Women</w:t>
            </w:r>
          </w:p>
        </w:tc>
        <w:tc>
          <w:tcPr>
            <w:tcW w:w="851" w:type="dxa"/>
            <w:gridSpan w:val="2"/>
            <w:tcBorders>
              <w:top w:val="nil"/>
              <w:left w:val="nil"/>
              <w:bottom w:val="nil"/>
              <w:right w:val="nil"/>
            </w:tcBorders>
            <w:shd w:val="clear" w:color="auto" w:fill="FFFFFF"/>
            <w:vAlign w:val="bottom"/>
          </w:tcPr>
          <w:p w14:paraId="4605DE9E" w14:textId="77777777" w:rsidR="002E375F" w:rsidRDefault="00EB2569">
            <w:pPr>
              <w:autoSpaceDE w:val="0"/>
              <w:autoSpaceDN w:val="0"/>
              <w:adjustRightInd w:val="0"/>
              <w:spacing w:before="14" w:after="0" w:line="240" w:lineRule="auto"/>
              <w:jc w:val="center"/>
              <w:rPr>
                <w:rFonts w:ascii="Times New Roman" w:hAnsi="Times New Roman" w:cs="Times New Roman"/>
                <w:sz w:val="24"/>
                <w:szCs w:val="24"/>
              </w:rPr>
            </w:pPr>
            <w:r>
              <w:rPr>
                <w:rFonts w:ascii="Arial" w:hAnsi="Arial" w:cs="Arial"/>
                <w:sz w:val="18"/>
                <w:szCs w:val="18"/>
              </w:rPr>
              <w:t>Out</w:t>
            </w:r>
          </w:p>
        </w:tc>
      </w:tr>
      <w:tr w:rsidR="002E375F" w14:paraId="44D96854" w14:textId="77777777">
        <w:trPr>
          <w:gridAfter w:val="1"/>
          <w:wAfter w:w="57" w:type="dxa"/>
        </w:trPr>
        <w:tc>
          <w:tcPr>
            <w:tcW w:w="1418" w:type="dxa"/>
            <w:tcBorders>
              <w:top w:val="nil"/>
              <w:left w:val="nil"/>
              <w:bottom w:val="nil"/>
              <w:right w:val="nil"/>
            </w:tcBorders>
            <w:shd w:val="clear" w:color="auto" w:fill="FFFFFF"/>
            <w:vAlign w:val="bottom"/>
          </w:tcPr>
          <w:p w14:paraId="52F2255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3687" w:type="dxa"/>
            <w:tcBorders>
              <w:top w:val="nil"/>
              <w:left w:val="nil"/>
              <w:bottom w:val="nil"/>
              <w:right w:val="nil"/>
            </w:tcBorders>
            <w:shd w:val="clear" w:color="auto" w:fill="FFFFFF"/>
            <w:vAlign w:val="bottom"/>
          </w:tcPr>
          <w:p w14:paraId="2E8F21C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Total</w:t>
            </w:r>
          </w:p>
        </w:tc>
        <w:tc>
          <w:tcPr>
            <w:tcW w:w="1248" w:type="dxa"/>
            <w:tcBorders>
              <w:top w:val="single" w:sz="2" w:space="0" w:color="auto"/>
              <w:left w:val="nil"/>
              <w:bottom w:val="single" w:sz="2" w:space="0" w:color="auto"/>
              <w:right w:val="nil"/>
            </w:tcBorders>
            <w:shd w:val="clear" w:color="auto" w:fill="FFFFFF"/>
            <w:vAlign w:val="bottom"/>
          </w:tcPr>
          <w:p w14:paraId="44104283" w14:textId="77777777" w:rsidR="002E375F" w:rsidRDefault="00EB2569">
            <w:pPr>
              <w:autoSpaceDE w:val="0"/>
              <w:autoSpaceDN w:val="0"/>
              <w:adjustRightInd w:val="0"/>
              <w:spacing w:before="10" w:after="0" w:line="240" w:lineRule="auto"/>
              <w:jc w:val="right"/>
              <w:rPr>
                <w:rFonts w:ascii="Times New Roman" w:hAnsi="Times New Roman" w:cs="Times New Roman"/>
                <w:sz w:val="24"/>
                <w:szCs w:val="24"/>
              </w:rPr>
            </w:pPr>
            <w:r>
              <w:rPr>
                <w:rFonts w:ascii="Arial" w:hAnsi="Arial" w:cs="Arial"/>
                <w:b/>
                <w:bCs/>
                <w:sz w:val="18"/>
                <w:szCs w:val="18"/>
              </w:rPr>
              <w:t>(4,728)</w:t>
            </w:r>
          </w:p>
        </w:tc>
        <w:tc>
          <w:tcPr>
            <w:tcW w:w="1702" w:type="dxa"/>
            <w:gridSpan w:val="2"/>
            <w:tcBorders>
              <w:top w:val="nil"/>
              <w:left w:val="nil"/>
              <w:bottom w:val="nil"/>
              <w:right w:val="nil"/>
            </w:tcBorders>
            <w:shd w:val="clear" w:color="auto" w:fill="FFFFFF"/>
            <w:vAlign w:val="bottom"/>
          </w:tcPr>
          <w:p w14:paraId="3ED4664B"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851" w:type="dxa"/>
            <w:gridSpan w:val="2"/>
            <w:tcBorders>
              <w:top w:val="nil"/>
              <w:left w:val="nil"/>
              <w:bottom w:val="nil"/>
              <w:right w:val="nil"/>
            </w:tcBorders>
            <w:shd w:val="clear" w:color="auto" w:fill="FFFFFF"/>
            <w:vAlign w:val="bottom"/>
          </w:tcPr>
          <w:p w14:paraId="756528C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69145E6C" w14:textId="77777777">
        <w:trPr>
          <w:gridAfter w:val="1"/>
          <w:wAfter w:w="57" w:type="dxa"/>
        </w:trPr>
        <w:tc>
          <w:tcPr>
            <w:tcW w:w="1418" w:type="dxa"/>
            <w:tcBorders>
              <w:top w:val="nil"/>
              <w:left w:val="nil"/>
              <w:bottom w:val="nil"/>
              <w:right w:val="nil"/>
            </w:tcBorders>
            <w:shd w:val="clear" w:color="auto" w:fill="FFFFFF"/>
            <w:vAlign w:val="bottom"/>
          </w:tcPr>
          <w:p w14:paraId="63842DDD"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3687" w:type="dxa"/>
            <w:tcBorders>
              <w:top w:val="nil"/>
              <w:left w:val="nil"/>
              <w:bottom w:val="nil"/>
              <w:right w:val="nil"/>
            </w:tcBorders>
            <w:shd w:val="clear" w:color="auto" w:fill="FFFFFF"/>
            <w:vAlign w:val="bottom"/>
          </w:tcPr>
          <w:p w14:paraId="60E05ED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Total Movement in Contributed Equity</w:t>
            </w:r>
          </w:p>
        </w:tc>
        <w:tc>
          <w:tcPr>
            <w:tcW w:w="1248" w:type="dxa"/>
            <w:tcBorders>
              <w:top w:val="nil"/>
              <w:left w:val="nil"/>
              <w:bottom w:val="double" w:sz="2" w:space="0" w:color="auto"/>
              <w:right w:val="nil"/>
            </w:tcBorders>
            <w:shd w:val="clear" w:color="auto" w:fill="FFFFFF"/>
            <w:vAlign w:val="bottom"/>
          </w:tcPr>
          <w:p w14:paraId="1AA312A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(2,998)</w:t>
            </w:r>
          </w:p>
        </w:tc>
        <w:tc>
          <w:tcPr>
            <w:tcW w:w="1702" w:type="dxa"/>
            <w:gridSpan w:val="2"/>
            <w:tcBorders>
              <w:top w:val="nil"/>
              <w:left w:val="nil"/>
              <w:bottom w:val="nil"/>
              <w:right w:val="nil"/>
            </w:tcBorders>
            <w:shd w:val="clear" w:color="auto" w:fill="FFFFFF"/>
            <w:vAlign w:val="bottom"/>
          </w:tcPr>
          <w:p w14:paraId="7D0E90FD"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851" w:type="dxa"/>
            <w:gridSpan w:val="2"/>
            <w:tcBorders>
              <w:top w:val="nil"/>
              <w:left w:val="nil"/>
              <w:bottom w:val="nil"/>
              <w:right w:val="nil"/>
            </w:tcBorders>
            <w:shd w:val="clear" w:color="auto" w:fill="FFFFFF"/>
            <w:vAlign w:val="bottom"/>
          </w:tcPr>
          <w:p w14:paraId="32DD265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bl>
    <w:p w14:paraId="4D774361" w14:textId="77777777" w:rsidR="002E375F" w:rsidRDefault="002E375F" w:rsidP="008571E3">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7360BA86"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60E0A229"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24B9E5EC"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0AB65F36"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116F513E" w14:textId="77777777" w:rsidR="00746A7C" w:rsidRPr="00746A7C" w:rsidRDefault="00746A7C" w:rsidP="00746A7C">
      <w:pPr>
        <w:pStyle w:val="Heading3"/>
      </w:pPr>
      <w:r w:rsidRPr="00746A7C">
        <w:t>C9 Equity (continued)</w:t>
      </w:r>
    </w:p>
    <w:p w14:paraId="768C7AF5" w14:textId="77777777" w:rsidR="00746A7C" w:rsidRPr="00746A7C" w:rsidRDefault="00746A7C" w:rsidP="00746A7C">
      <w:pPr>
        <w:pStyle w:val="Heading3"/>
      </w:pPr>
      <w:r w:rsidRPr="00746A7C">
        <w:t>C9-1 Contributed Equity (continued)</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3A1E452F" w14:textId="77777777" w:rsidTr="007408B2">
        <w:tc>
          <w:tcPr>
            <w:tcW w:w="7124" w:type="dxa"/>
            <w:tcBorders>
              <w:top w:val="nil"/>
              <w:left w:val="nil"/>
              <w:bottom w:val="nil"/>
              <w:right w:val="nil"/>
            </w:tcBorders>
            <w:shd w:val="clear" w:color="auto" w:fill="FFFFFF"/>
            <w:vAlign w:val="bottom"/>
          </w:tcPr>
          <w:p w14:paraId="0655F521" w14:textId="77777777" w:rsidR="002E375F" w:rsidRDefault="002E375F" w:rsidP="00746A7C"/>
        </w:tc>
        <w:tc>
          <w:tcPr>
            <w:tcW w:w="964" w:type="dxa"/>
            <w:tcBorders>
              <w:top w:val="nil"/>
              <w:left w:val="nil"/>
              <w:bottom w:val="nil"/>
              <w:right w:val="nil"/>
            </w:tcBorders>
            <w:shd w:val="clear" w:color="auto" w:fill="FFFFFF"/>
            <w:vAlign w:val="bottom"/>
          </w:tcPr>
          <w:p w14:paraId="2AA9AAA9" w14:textId="77777777" w:rsidR="002E375F" w:rsidRPr="00862FE1" w:rsidRDefault="00EB2569" w:rsidP="00862FE1">
            <w:pPr>
              <w:pStyle w:val="Heading3"/>
              <w:jc w:val="right"/>
              <w:rPr>
                <w:b/>
              </w:rPr>
            </w:pPr>
            <w:r w:rsidRPr="007726EE">
              <w:rPr>
                <w:rFonts w:ascii="Arial" w:hAnsi="Arial" w:cs="Arial"/>
                <w:b/>
                <w:bCs/>
                <w:sz w:val="18"/>
                <w:szCs w:val="18"/>
              </w:rPr>
              <w:t>2020</w:t>
            </w:r>
            <w:r w:rsidRPr="007726EE">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4A04EDA9" w14:textId="77777777" w:rsidR="002E375F" w:rsidRPr="007726EE" w:rsidRDefault="00EB2569" w:rsidP="00862FE1">
            <w:pPr>
              <w:pStyle w:val="Heading3"/>
              <w:jc w:val="right"/>
            </w:pPr>
            <w:r w:rsidRPr="007726EE">
              <w:rPr>
                <w:rFonts w:ascii="Arial" w:hAnsi="Arial" w:cs="Arial"/>
                <w:sz w:val="18"/>
                <w:szCs w:val="18"/>
              </w:rPr>
              <w:t>2019</w:t>
            </w:r>
            <w:r w:rsidRPr="007726EE">
              <w:rPr>
                <w:rFonts w:ascii="Arial" w:hAnsi="Arial" w:cs="Arial"/>
                <w:sz w:val="18"/>
                <w:szCs w:val="18"/>
              </w:rPr>
              <w:br/>
              <w:t>$'000</w:t>
            </w:r>
          </w:p>
        </w:tc>
      </w:tr>
      <w:tr w:rsidR="002E375F" w14:paraId="6A020284" w14:textId="77777777" w:rsidTr="007408B2">
        <w:tc>
          <w:tcPr>
            <w:tcW w:w="7124" w:type="dxa"/>
            <w:tcBorders>
              <w:top w:val="nil"/>
              <w:left w:val="nil"/>
              <w:bottom w:val="nil"/>
              <w:right w:val="nil"/>
            </w:tcBorders>
            <w:shd w:val="clear" w:color="auto" w:fill="FFFFFF"/>
            <w:vAlign w:val="bottom"/>
          </w:tcPr>
          <w:p w14:paraId="3650FF4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Reconciliation of Payments from Consolidated Fund to Equity Adjustment</w:t>
            </w:r>
          </w:p>
        </w:tc>
        <w:tc>
          <w:tcPr>
            <w:tcW w:w="964" w:type="dxa"/>
            <w:tcBorders>
              <w:top w:val="nil"/>
              <w:left w:val="nil"/>
              <w:bottom w:val="nil"/>
              <w:right w:val="nil"/>
            </w:tcBorders>
            <w:shd w:val="clear" w:color="auto" w:fill="FFFFFF"/>
            <w:vAlign w:val="bottom"/>
          </w:tcPr>
          <w:p w14:paraId="5C5E3383"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4EB17E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601EFEFD" w14:textId="77777777" w:rsidTr="007408B2">
        <w:tc>
          <w:tcPr>
            <w:tcW w:w="7124" w:type="dxa"/>
            <w:tcBorders>
              <w:top w:val="nil"/>
              <w:left w:val="nil"/>
              <w:bottom w:val="nil"/>
              <w:right w:val="nil"/>
            </w:tcBorders>
            <w:shd w:val="clear" w:color="auto" w:fill="FFFFFF"/>
            <w:vAlign w:val="bottom"/>
          </w:tcPr>
          <w:p w14:paraId="6A2761D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Budgeted equity adjustment appropriation</w:t>
            </w:r>
          </w:p>
        </w:tc>
        <w:tc>
          <w:tcPr>
            <w:tcW w:w="964" w:type="dxa"/>
            <w:tcBorders>
              <w:top w:val="nil"/>
              <w:left w:val="nil"/>
              <w:bottom w:val="nil"/>
              <w:right w:val="nil"/>
            </w:tcBorders>
            <w:shd w:val="clear" w:color="auto" w:fill="FFFFFF"/>
            <w:vAlign w:val="bottom"/>
          </w:tcPr>
          <w:p w14:paraId="03E221F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3,259</w:t>
            </w:r>
          </w:p>
        </w:tc>
        <w:tc>
          <w:tcPr>
            <w:tcW w:w="964" w:type="dxa"/>
            <w:tcBorders>
              <w:top w:val="nil"/>
              <w:left w:val="nil"/>
              <w:bottom w:val="nil"/>
              <w:right w:val="nil"/>
            </w:tcBorders>
            <w:shd w:val="clear" w:color="auto" w:fill="FFFFFF"/>
            <w:vAlign w:val="bottom"/>
          </w:tcPr>
          <w:p w14:paraId="153CFF6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(7,150)</w:t>
            </w:r>
          </w:p>
        </w:tc>
      </w:tr>
      <w:tr w:rsidR="002E375F" w14:paraId="5CF410D4" w14:textId="77777777" w:rsidTr="007408B2">
        <w:tc>
          <w:tcPr>
            <w:tcW w:w="7124" w:type="dxa"/>
            <w:tcBorders>
              <w:top w:val="nil"/>
              <w:left w:val="nil"/>
              <w:bottom w:val="nil"/>
              <w:right w:val="nil"/>
            </w:tcBorders>
            <w:shd w:val="clear" w:color="auto" w:fill="FFFFFF"/>
            <w:vAlign w:val="bottom"/>
          </w:tcPr>
          <w:p w14:paraId="2029115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 xml:space="preserve">Transfers from/to other departments - Redistribution of public business </w:t>
            </w:r>
          </w:p>
        </w:tc>
        <w:tc>
          <w:tcPr>
            <w:tcW w:w="964" w:type="dxa"/>
            <w:tcBorders>
              <w:top w:val="nil"/>
              <w:left w:val="nil"/>
              <w:bottom w:val="nil"/>
              <w:right w:val="nil"/>
            </w:tcBorders>
            <w:shd w:val="clear" w:color="auto" w:fill="FFFFFF"/>
            <w:vAlign w:val="bottom"/>
          </w:tcPr>
          <w:p w14:paraId="628A2F5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6A47BB9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760</w:t>
            </w:r>
          </w:p>
        </w:tc>
      </w:tr>
      <w:tr w:rsidR="002E375F" w14:paraId="647F7363" w14:textId="77777777" w:rsidTr="007408B2">
        <w:tc>
          <w:tcPr>
            <w:tcW w:w="7124" w:type="dxa"/>
            <w:tcBorders>
              <w:top w:val="nil"/>
              <w:left w:val="nil"/>
              <w:bottom w:val="nil"/>
              <w:right w:val="nil"/>
            </w:tcBorders>
            <w:shd w:val="clear" w:color="auto" w:fill="FFFFFF"/>
            <w:vAlign w:val="bottom"/>
          </w:tcPr>
          <w:p w14:paraId="1A367CB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Additional appropriation revenue for unforeseen expenditure</w:t>
            </w:r>
          </w:p>
        </w:tc>
        <w:tc>
          <w:tcPr>
            <w:tcW w:w="964" w:type="dxa"/>
            <w:tcBorders>
              <w:top w:val="nil"/>
              <w:left w:val="nil"/>
              <w:bottom w:val="single" w:sz="2" w:space="0" w:color="auto"/>
              <w:right w:val="nil"/>
            </w:tcBorders>
            <w:shd w:val="clear" w:color="auto" w:fill="FFFFFF"/>
            <w:vAlign w:val="bottom"/>
          </w:tcPr>
          <w:p w14:paraId="375B614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2,306</w:t>
            </w:r>
          </w:p>
        </w:tc>
        <w:tc>
          <w:tcPr>
            <w:tcW w:w="964" w:type="dxa"/>
            <w:tcBorders>
              <w:top w:val="nil"/>
              <w:left w:val="nil"/>
              <w:bottom w:val="single" w:sz="2" w:space="0" w:color="auto"/>
              <w:right w:val="nil"/>
            </w:tcBorders>
            <w:shd w:val="clear" w:color="auto" w:fill="FFFFFF"/>
            <w:vAlign w:val="bottom"/>
          </w:tcPr>
          <w:p w14:paraId="47B0CB9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0B70D126" w14:textId="77777777" w:rsidTr="007408B2">
        <w:tc>
          <w:tcPr>
            <w:tcW w:w="7124" w:type="dxa"/>
            <w:tcBorders>
              <w:top w:val="nil"/>
              <w:left w:val="nil"/>
              <w:bottom w:val="nil"/>
              <w:right w:val="nil"/>
            </w:tcBorders>
            <w:shd w:val="clear" w:color="auto" w:fill="FFFFFF"/>
            <w:vAlign w:val="bottom"/>
          </w:tcPr>
          <w:p w14:paraId="087A8FC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Equity Adjustment Receipts (Payments)</w:t>
            </w:r>
          </w:p>
        </w:tc>
        <w:tc>
          <w:tcPr>
            <w:tcW w:w="964" w:type="dxa"/>
            <w:tcBorders>
              <w:top w:val="nil"/>
              <w:left w:val="nil"/>
              <w:bottom w:val="nil"/>
              <w:right w:val="nil"/>
            </w:tcBorders>
            <w:shd w:val="clear" w:color="auto" w:fill="FFFFFF"/>
            <w:vAlign w:val="bottom"/>
          </w:tcPr>
          <w:p w14:paraId="60E9C37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5,565</w:t>
            </w:r>
          </w:p>
        </w:tc>
        <w:tc>
          <w:tcPr>
            <w:tcW w:w="964" w:type="dxa"/>
            <w:tcBorders>
              <w:top w:val="nil"/>
              <w:left w:val="nil"/>
              <w:bottom w:val="nil"/>
              <w:right w:val="nil"/>
            </w:tcBorders>
            <w:shd w:val="clear" w:color="auto" w:fill="FFFFFF"/>
            <w:vAlign w:val="bottom"/>
          </w:tcPr>
          <w:p w14:paraId="02FBA83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(6,390)</w:t>
            </w:r>
          </w:p>
        </w:tc>
      </w:tr>
      <w:tr w:rsidR="002E375F" w14:paraId="0FB1B3E9" w14:textId="77777777" w:rsidTr="007408B2">
        <w:tc>
          <w:tcPr>
            <w:tcW w:w="7124" w:type="dxa"/>
            <w:tcBorders>
              <w:top w:val="nil"/>
              <w:left w:val="nil"/>
              <w:bottom w:val="nil"/>
              <w:right w:val="nil"/>
            </w:tcBorders>
            <w:shd w:val="clear" w:color="auto" w:fill="FFFFFF"/>
            <w:vAlign w:val="bottom"/>
          </w:tcPr>
          <w:p w14:paraId="021454C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 xml:space="preserve">Less: Opening balance of equity adjustment receivable </w:t>
            </w:r>
          </w:p>
        </w:tc>
        <w:tc>
          <w:tcPr>
            <w:tcW w:w="964" w:type="dxa"/>
            <w:tcBorders>
              <w:top w:val="nil"/>
              <w:left w:val="nil"/>
              <w:bottom w:val="nil"/>
              <w:right w:val="nil"/>
            </w:tcBorders>
            <w:shd w:val="clear" w:color="auto" w:fill="FFFFFF"/>
            <w:vAlign w:val="bottom"/>
          </w:tcPr>
          <w:p w14:paraId="6104588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(2,306)</w:t>
            </w:r>
          </w:p>
        </w:tc>
        <w:tc>
          <w:tcPr>
            <w:tcW w:w="964" w:type="dxa"/>
            <w:tcBorders>
              <w:top w:val="nil"/>
              <w:left w:val="nil"/>
              <w:bottom w:val="nil"/>
              <w:right w:val="nil"/>
            </w:tcBorders>
            <w:shd w:val="clear" w:color="auto" w:fill="FFFFFF"/>
            <w:vAlign w:val="bottom"/>
          </w:tcPr>
          <w:p w14:paraId="7EC6121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48D348C8" w14:textId="77777777" w:rsidTr="007408B2">
        <w:tc>
          <w:tcPr>
            <w:tcW w:w="7124" w:type="dxa"/>
            <w:tcBorders>
              <w:top w:val="nil"/>
              <w:left w:val="nil"/>
              <w:bottom w:val="nil"/>
              <w:right w:val="nil"/>
            </w:tcBorders>
            <w:shd w:val="clear" w:color="auto" w:fill="FFFFFF"/>
            <w:vAlign w:val="bottom"/>
          </w:tcPr>
          <w:p w14:paraId="2F4FAF5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Plus: Closing balance of equity adjustment receivable</w:t>
            </w:r>
          </w:p>
        </w:tc>
        <w:tc>
          <w:tcPr>
            <w:tcW w:w="964" w:type="dxa"/>
            <w:tcBorders>
              <w:top w:val="nil"/>
              <w:left w:val="nil"/>
              <w:bottom w:val="single" w:sz="2" w:space="0" w:color="auto"/>
              <w:right w:val="nil"/>
            </w:tcBorders>
            <w:shd w:val="clear" w:color="auto" w:fill="FFFFFF"/>
            <w:vAlign w:val="bottom"/>
          </w:tcPr>
          <w:p w14:paraId="1F05565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2ACE565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2,306</w:t>
            </w:r>
          </w:p>
        </w:tc>
      </w:tr>
      <w:tr w:rsidR="002E375F" w14:paraId="3646E73C" w14:textId="77777777" w:rsidTr="007408B2">
        <w:tc>
          <w:tcPr>
            <w:tcW w:w="7124" w:type="dxa"/>
            <w:tcBorders>
              <w:top w:val="nil"/>
              <w:left w:val="nil"/>
              <w:bottom w:val="nil"/>
              <w:right w:val="nil"/>
            </w:tcBorders>
            <w:shd w:val="clear" w:color="auto" w:fill="FFFFFF"/>
            <w:vAlign w:val="bottom"/>
          </w:tcPr>
          <w:p w14:paraId="6C9C003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Equity Adjustment Recognised in Contributed Equity</w:t>
            </w:r>
          </w:p>
        </w:tc>
        <w:tc>
          <w:tcPr>
            <w:tcW w:w="964" w:type="dxa"/>
            <w:tcBorders>
              <w:top w:val="nil"/>
              <w:left w:val="nil"/>
              <w:bottom w:val="single" w:sz="2" w:space="0" w:color="auto"/>
              <w:right w:val="nil"/>
            </w:tcBorders>
            <w:shd w:val="clear" w:color="auto" w:fill="FFFFFF"/>
            <w:vAlign w:val="bottom"/>
          </w:tcPr>
          <w:p w14:paraId="37C021F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3,259</w:t>
            </w:r>
          </w:p>
        </w:tc>
        <w:tc>
          <w:tcPr>
            <w:tcW w:w="964" w:type="dxa"/>
            <w:tcBorders>
              <w:top w:val="nil"/>
              <w:left w:val="nil"/>
              <w:bottom w:val="single" w:sz="2" w:space="0" w:color="auto"/>
              <w:right w:val="nil"/>
            </w:tcBorders>
            <w:shd w:val="clear" w:color="auto" w:fill="FFFFFF"/>
            <w:vAlign w:val="bottom"/>
          </w:tcPr>
          <w:p w14:paraId="60E46D6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(4,084)</w:t>
            </w:r>
          </w:p>
        </w:tc>
      </w:tr>
    </w:tbl>
    <w:p w14:paraId="5921AD35" w14:textId="77777777" w:rsidR="007408B2" w:rsidRDefault="007408B2" w:rsidP="00862FE1">
      <w:pPr>
        <w:pStyle w:val="Heading3"/>
        <w:spacing w:before="240"/>
        <w:rPr>
          <w:sz w:val="18"/>
          <w:szCs w:val="18"/>
        </w:rPr>
      </w:pPr>
      <w:r>
        <w:t>D1 Financial Risk Disclosures</w:t>
      </w:r>
    </w:p>
    <w:p w14:paraId="7BFE9DDF" w14:textId="77777777" w:rsidR="007408B2" w:rsidRDefault="007408B2" w:rsidP="007408B2">
      <w:pPr>
        <w:pStyle w:val="Heading3"/>
      </w:pPr>
      <w:r>
        <w:t>D1-1 Financial Instrument Categories</w:t>
      </w:r>
    </w:p>
    <w:p w14:paraId="71FB691F"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Financial assets and liabilities are recognised in the balance sheet when the department becomes party to the contractual provisions of the financial instrument.</w:t>
      </w:r>
    </w:p>
    <w:p w14:paraId="54FCC6DE"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 has the following categories of financial assets and financial liabilities:</w:t>
      </w:r>
    </w:p>
    <w:tbl>
      <w:tblPr>
        <w:tblW w:w="0" w:type="auto"/>
        <w:tblLayout w:type="fixed"/>
        <w:tblCellMar>
          <w:left w:w="0" w:type="dxa"/>
          <w:right w:w="0" w:type="dxa"/>
        </w:tblCellMar>
        <w:tblLook w:val="0000" w:firstRow="0" w:lastRow="0" w:firstColumn="0" w:lastColumn="0" w:noHBand="0" w:noVBand="0"/>
      </w:tblPr>
      <w:tblGrid>
        <w:gridCol w:w="6537"/>
        <w:gridCol w:w="567"/>
        <w:gridCol w:w="964"/>
        <w:gridCol w:w="965"/>
      </w:tblGrid>
      <w:tr w:rsidR="002E375F" w14:paraId="7990FC33" w14:textId="77777777">
        <w:tc>
          <w:tcPr>
            <w:tcW w:w="6537" w:type="dxa"/>
            <w:tcBorders>
              <w:top w:val="nil"/>
              <w:left w:val="nil"/>
              <w:bottom w:val="nil"/>
              <w:right w:val="nil"/>
            </w:tcBorders>
            <w:shd w:val="clear" w:color="auto" w:fill="FFFFFF"/>
            <w:vAlign w:val="bottom"/>
          </w:tcPr>
          <w:p w14:paraId="00660F30" w14:textId="77777777" w:rsidR="002E375F" w:rsidRDefault="002E375F" w:rsidP="001C442D">
            <w:pPr>
              <w:pStyle w:val="Heading3"/>
            </w:pPr>
          </w:p>
        </w:tc>
        <w:tc>
          <w:tcPr>
            <w:tcW w:w="567" w:type="dxa"/>
            <w:tcBorders>
              <w:top w:val="nil"/>
              <w:left w:val="nil"/>
              <w:bottom w:val="nil"/>
              <w:right w:val="nil"/>
            </w:tcBorders>
            <w:shd w:val="clear" w:color="auto" w:fill="FFFFFF"/>
            <w:vAlign w:val="bottom"/>
          </w:tcPr>
          <w:p w14:paraId="6661646D" w14:textId="77777777" w:rsidR="002E375F" w:rsidRPr="00862FE1" w:rsidRDefault="00EB2569" w:rsidP="001C442D">
            <w:pPr>
              <w:pStyle w:val="Heading3"/>
              <w:rPr>
                <w:b/>
              </w:rPr>
            </w:pPr>
            <w:r w:rsidRPr="007726EE">
              <w:rPr>
                <w:rFonts w:ascii="Arial" w:hAnsi="Arial" w:cs="Arial"/>
                <w:b/>
                <w:bCs/>
                <w:sz w:val="18"/>
                <w:szCs w:val="18"/>
              </w:rPr>
              <w:t>Note</w:t>
            </w:r>
          </w:p>
        </w:tc>
        <w:tc>
          <w:tcPr>
            <w:tcW w:w="964" w:type="dxa"/>
            <w:tcBorders>
              <w:top w:val="nil"/>
              <w:left w:val="nil"/>
              <w:bottom w:val="nil"/>
              <w:right w:val="nil"/>
            </w:tcBorders>
            <w:shd w:val="clear" w:color="auto" w:fill="FFFFFF"/>
            <w:vAlign w:val="bottom"/>
          </w:tcPr>
          <w:p w14:paraId="41568815" w14:textId="77777777" w:rsidR="002E375F" w:rsidRPr="00862FE1" w:rsidRDefault="00EB2569" w:rsidP="00862FE1">
            <w:pPr>
              <w:pStyle w:val="Heading3"/>
              <w:jc w:val="right"/>
              <w:rPr>
                <w:b/>
              </w:rPr>
            </w:pPr>
            <w:r w:rsidRPr="007726EE">
              <w:rPr>
                <w:rFonts w:ascii="Arial" w:hAnsi="Arial" w:cs="Arial"/>
                <w:b/>
                <w:bCs/>
                <w:sz w:val="18"/>
                <w:szCs w:val="18"/>
              </w:rPr>
              <w:t>2020</w:t>
            </w:r>
            <w:r w:rsidRPr="007726EE">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2FAF77BB" w14:textId="77777777" w:rsidR="002E375F" w:rsidRPr="007726EE" w:rsidRDefault="00EB2569" w:rsidP="00862FE1">
            <w:pPr>
              <w:pStyle w:val="Heading3"/>
              <w:jc w:val="right"/>
            </w:pPr>
            <w:r w:rsidRPr="007726EE">
              <w:rPr>
                <w:rFonts w:ascii="Arial" w:hAnsi="Arial" w:cs="Arial"/>
                <w:sz w:val="18"/>
                <w:szCs w:val="18"/>
              </w:rPr>
              <w:t>2019</w:t>
            </w:r>
            <w:r w:rsidRPr="007726EE">
              <w:rPr>
                <w:rFonts w:ascii="Arial" w:hAnsi="Arial" w:cs="Arial"/>
                <w:sz w:val="18"/>
                <w:szCs w:val="18"/>
              </w:rPr>
              <w:br/>
              <w:t>$'000</w:t>
            </w:r>
          </w:p>
        </w:tc>
      </w:tr>
      <w:tr w:rsidR="002E375F" w14:paraId="148D3064" w14:textId="77777777">
        <w:tc>
          <w:tcPr>
            <w:tcW w:w="6537" w:type="dxa"/>
            <w:tcBorders>
              <w:top w:val="nil"/>
              <w:left w:val="nil"/>
              <w:bottom w:val="nil"/>
              <w:right w:val="nil"/>
            </w:tcBorders>
            <w:shd w:val="clear" w:color="auto" w:fill="FFFFFF"/>
            <w:vAlign w:val="bottom"/>
          </w:tcPr>
          <w:p w14:paraId="4A28245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Financial Assets</w:t>
            </w:r>
          </w:p>
        </w:tc>
        <w:tc>
          <w:tcPr>
            <w:tcW w:w="567" w:type="dxa"/>
            <w:tcBorders>
              <w:top w:val="nil"/>
              <w:left w:val="nil"/>
              <w:bottom w:val="nil"/>
              <w:right w:val="nil"/>
            </w:tcBorders>
            <w:shd w:val="clear" w:color="auto" w:fill="FFFFFF"/>
            <w:vAlign w:val="bottom"/>
          </w:tcPr>
          <w:p w14:paraId="0107FD1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A855E7B"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5986699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0205DB98" w14:textId="77777777">
        <w:tc>
          <w:tcPr>
            <w:tcW w:w="6537" w:type="dxa"/>
            <w:tcBorders>
              <w:top w:val="nil"/>
              <w:left w:val="nil"/>
              <w:bottom w:val="nil"/>
              <w:right w:val="nil"/>
            </w:tcBorders>
            <w:shd w:val="clear" w:color="auto" w:fill="FFFFFF"/>
            <w:vAlign w:val="bottom"/>
          </w:tcPr>
          <w:p w14:paraId="0786316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Cash and cash equivalents</w:t>
            </w:r>
          </w:p>
        </w:tc>
        <w:tc>
          <w:tcPr>
            <w:tcW w:w="567" w:type="dxa"/>
            <w:tcBorders>
              <w:top w:val="nil"/>
              <w:left w:val="nil"/>
              <w:bottom w:val="nil"/>
              <w:right w:val="nil"/>
            </w:tcBorders>
            <w:shd w:val="clear" w:color="auto" w:fill="FFFFFF"/>
            <w:vAlign w:val="bottom"/>
          </w:tcPr>
          <w:p w14:paraId="4222751E"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C1</w:t>
            </w:r>
          </w:p>
        </w:tc>
        <w:tc>
          <w:tcPr>
            <w:tcW w:w="964" w:type="dxa"/>
            <w:tcBorders>
              <w:top w:val="nil"/>
              <w:left w:val="nil"/>
              <w:bottom w:val="nil"/>
              <w:right w:val="nil"/>
            </w:tcBorders>
            <w:shd w:val="clear" w:color="auto" w:fill="FFFFFF"/>
            <w:vAlign w:val="bottom"/>
          </w:tcPr>
          <w:p w14:paraId="3EF3CFE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72,041</w:t>
            </w:r>
          </w:p>
        </w:tc>
        <w:tc>
          <w:tcPr>
            <w:tcW w:w="964" w:type="dxa"/>
            <w:tcBorders>
              <w:top w:val="nil"/>
              <w:left w:val="nil"/>
              <w:bottom w:val="nil"/>
              <w:right w:val="nil"/>
            </w:tcBorders>
            <w:shd w:val="clear" w:color="auto" w:fill="FFFFFF"/>
            <w:vAlign w:val="bottom"/>
          </w:tcPr>
          <w:p w14:paraId="2A7C6A4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83,208</w:t>
            </w:r>
          </w:p>
        </w:tc>
      </w:tr>
      <w:tr w:rsidR="002E375F" w14:paraId="0BD5E7AB" w14:textId="77777777">
        <w:tc>
          <w:tcPr>
            <w:tcW w:w="9033" w:type="dxa"/>
            <w:gridSpan w:val="4"/>
            <w:tcBorders>
              <w:top w:val="nil"/>
              <w:left w:val="nil"/>
              <w:bottom w:val="nil"/>
              <w:right w:val="nil"/>
            </w:tcBorders>
            <w:shd w:val="clear" w:color="auto" w:fill="FFFFFF"/>
            <w:vAlign w:val="bottom"/>
          </w:tcPr>
          <w:p w14:paraId="35C619B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Financial assets at amortised cost:</w:t>
            </w:r>
          </w:p>
        </w:tc>
      </w:tr>
      <w:tr w:rsidR="002E375F" w14:paraId="0BBF81F8" w14:textId="77777777">
        <w:tc>
          <w:tcPr>
            <w:tcW w:w="6537" w:type="dxa"/>
            <w:tcBorders>
              <w:top w:val="nil"/>
              <w:left w:val="nil"/>
              <w:bottom w:val="nil"/>
              <w:right w:val="nil"/>
            </w:tcBorders>
            <w:shd w:val="clear" w:color="auto" w:fill="FFFFFF"/>
            <w:vAlign w:val="bottom"/>
          </w:tcPr>
          <w:p w14:paraId="28252F3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Current Receivables</w:t>
            </w:r>
          </w:p>
        </w:tc>
        <w:tc>
          <w:tcPr>
            <w:tcW w:w="567" w:type="dxa"/>
            <w:tcBorders>
              <w:top w:val="nil"/>
              <w:left w:val="nil"/>
              <w:bottom w:val="nil"/>
              <w:right w:val="nil"/>
            </w:tcBorders>
            <w:shd w:val="clear" w:color="auto" w:fill="FFFFFF"/>
            <w:vAlign w:val="bottom"/>
          </w:tcPr>
          <w:p w14:paraId="3591FFC4"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C2</w:t>
            </w:r>
          </w:p>
        </w:tc>
        <w:tc>
          <w:tcPr>
            <w:tcW w:w="964" w:type="dxa"/>
            <w:tcBorders>
              <w:top w:val="nil"/>
              <w:left w:val="nil"/>
              <w:bottom w:val="nil"/>
              <w:right w:val="nil"/>
            </w:tcBorders>
            <w:shd w:val="clear" w:color="auto" w:fill="FFFFFF"/>
            <w:vAlign w:val="bottom"/>
          </w:tcPr>
          <w:p w14:paraId="3D0DDC6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4,841</w:t>
            </w:r>
          </w:p>
        </w:tc>
        <w:tc>
          <w:tcPr>
            <w:tcW w:w="964" w:type="dxa"/>
            <w:tcBorders>
              <w:top w:val="nil"/>
              <w:left w:val="nil"/>
              <w:bottom w:val="nil"/>
              <w:right w:val="nil"/>
            </w:tcBorders>
            <w:shd w:val="clear" w:color="auto" w:fill="FFFFFF"/>
            <w:vAlign w:val="bottom"/>
          </w:tcPr>
          <w:p w14:paraId="57CDC30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23,852</w:t>
            </w:r>
          </w:p>
        </w:tc>
      </w:tr>
      <w:tr w:rsidR="002E375F" w14:paraId="62C8FFEC" w14:textId="77777777">
        <w:tc>
          <w:tcPr>
            <w:tcW w:w="6537" w:type="dxa"/>
            <w:tcBorders>
              <w:top w:val="nil"/>
              <w:left w:val="nil"/>
              <w:bottom w:val="nil"/>
              <w:right w:val="nil"/>
            </w:tcBorders>
            <w:shd w:val="clear" w:color="auto" w:fill="FFFFFF"/>
            <w:vAlign w:val="bottom"/>
          </w:tcPr>
          <w:p w14:paraId="4CE9B0D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Non-current Receivables</w:t>
            </w:r>
          </w:p>
        </w:tc>
        <w:tc>
          <w:tcPr>
            <w:tcW w:w="567" w:type="dxa"/>
            <w:tcBorders>
              <w:top w:val="nil"/>
              <w:left w:val="nil"/>
              <w:bottom w:val="nil"/>
              <w:right w:val="nil"/>
            </w:tcBorders>
            <w:shd w:val="clear" w:color="auto" w:fill="FFFFFF"/>
            <w:vAlign w:val="bottom"/>
          </w:tcPr>
          <w:p w14:paraId="3C31958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55420DB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6215361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4,202</w:t>
            </w:r>
          </w:p>
        </w:tc>
      </w:tr>
      <w:tr w:rsidR="002E375F" w14:paraId="412D4829" w14:textId="77777777">
        <w:tc>
          <w:tcPr>
            <w:tcW w:w="6537" w:type="dxa"/>
            <w:tcBorders>
              <w:top w:val="nil"/>
              <w:left w:val="nil"/>
              <w:bottom w:val="nil"/>
              <w:right w:val="nil"/>
            </w:tcBorders>
            <w:shd w:val="clear" w:color="auto" w:fill="FFFFFF"/>
            <w:vAlign w:val="bottom"/>
          </w:tcPr>
          <w:p w14:paraId="540EEC5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financial assets</w:t>
            </w:r>
          </w:p>
        </w:tc>
        <w:tc>
          <w:tcPr>
            <w:tcW w:w="567" w:type="dxa"/>
            <w:tcBorders>
              <w:top w:val="nil"/>
              <w:left w:val="nil"/>
              <w:bottom w:val="nil"/>
              <w:right w:val="nil"/>
            </w:tcBorders>
            <w:shd w:val="clear" w:color="auto" w:fill="FFFFFF"/>
            <w:vAlign w:val="bottom"/>
          </w:tcPr>
          <w:p w14:paraId="5B8D4C6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56B9B96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76,882</w:t>
            </w:r>
          </w:p>
        </w:tc>
        <w:tc>
          <w:tcPr>
            <w:tcW w:w="964" w:type="dxa"/>
            <w:tcBorders>
              <w:top w:val="nil"/>
              <w:left w:val="nil"/>
              <w:bottom w:val="single" w:sz="2" w:space="0" w:color="auto"/>
              <w:right w:val="nil"/>
            </w:tcBorders>
            <w:shd w:val="clear" w:color="auto" w:fill="FFFFFF"/>
            <w:vAlign w:val="bottom"/>
          </w:tcPr>
          <w:p w14:paraId="2E09988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111,262</w:t>
            </w:r>
          </w:p>
        </w:tc>
      </w:tr>
      <w:tr w:rsidR="002E375F" w14:paraId="1772B536" w14:textId="77777777">
        <w:tc>
          <w:tcPr>
            <w:tcW w:w="9033" w:type="dxa"/>
            <w:gridSpan w:val="4"/>
            <w:tcBorders>
              <w:top w:val="nil"/>
              <w:left w:val="nil"/>
              <w:bottom w:val="nil"/>
              <w:right w:val="nil"/>
            </w:tcBorders>
            <w:shd w:val="clear" w:color="auto" w:fill="FFFFFF"/>
            <w:vAlign w:val="bottom"/>
          </w:tcPr>
          <w:p w14:paraId="013633E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Financial Liabilities</w:t>
            </w:r>
          </w:p>
        </w:tc>
      </w:tr>
      <w:tr w:rsidR="002E375F" w14:paraId="11C7C2E1" w14:textId="77777777">
        <w:tc>
          <w:tcPr>
            <w:tcW w:w="6537" w:type="dxa"/>
            <w:tcBorders>
              <w:top w:val="nil"/>
              <w:left w:val="nil"/>
              <w:bottom w:val="nil"/>
              <w:right w:val="nil"/>
            </w:tcBorders>
            <w:shd w:val="clear" w:color="auto" w:fill="FFFFFF"/>
            <w:vAlign w:val="bottom"/>
          </w:tcPr>
          <w:p w14:paraId="269E8F3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Financial liabilities at amortised cost - comprising:</w:t>
            </w:r>
          </w:p>
        </w:tc>
        <w:tc>
          <w:tcPr>
            <w:tcW w:w="567" w:type="dxa"/>
            <w:tcBorders>
              <w:top w:val="nil"/>
              <w:left w:val="nil"/>
              <w:bottom w:val="nil"/>
              <w:right w:val="nil"/>
            </w:tcBorders>
            <w:shd w:val="clear" w:color="auto" w:fill="FFFFFF"/>
            <w:vAlign w:val="bottom"/>
          </w:tcPr>
          <w:p w14:paraId="2BEA0C7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CECDF4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63E5ECE"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754F30DF" w14:textId="77777777">
        <w:tc>
          <w:tcPr>
            <w:tcW w:w="6537" w:type="dxa"/>
            <w:tcBorders>
              <w:top w:val="nil"/>
              <w:left w:val="nil"/>
              <w:bottom w:val="nil"/>
              <w:right w:val="nil"/>
            </w:tcBorders>
            <w:shd w:val="clear" w:color="auto" w:fill="FFFFFF"/>
            <w:vAlign w:val="bottom"/>
          </w:tcPr>
          <w:p w14:paraId="378BF48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Payables</w:t>
            </w:r>
          </w:p>
        </w:tc>
        <w:tc>
          <w:tcPr>
            <w:tcW w:w="567" w:type="dxa"/>
            <w:tcBorders>
              <w:top w:val="nil"/>
              <w:left w:val="nil"/>
              <w:bottom w:val="nil"/>
              <w:right w:val="nil"/>
            </w:tcBorders>
            <w:shd w:val="clear" w:color="auto" w:fill="FFFFFF"/>
            <w:vAlign w:val="bottom"/>
          </w:tcPr>
          <w:p w14:paraId="0F2FA646"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C6</w:t>
            </w:r>
          </w:p>
        </w:tc>
        <w:tc>
          <w:tcPr>
            <w:tcW w:w="964" w:type="dxa"/>
            <w:tcBorders>
              <w:top w:val="nil"/>
              <w:left w:val="nil"/>
              <w:bottom w:val="single" w:sz="2" w:space="0" w:color="auto"/>
              <w:right w:val="nil"/>
            </w:tcBorders>
            <w:shd w:val="clear" w:color="auto" w:fill="FFFFFF"/>
            <w:vAlign w:val="bottom"/>
          </w:tcPr>
          <w:p w14:paraId="320A81C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32,599</w:t>
            </w:r>
          </w:p>
        </w:tc>
        <w:tc>
          <w:tcPr>
            <w:tcW w:w="964" w:type="dxa"/>
            <w:tcBorders>
              <w:top w:val="nil"/>
              <w:left w:val="nil"/>
              <w:bottom w:val="single" w:sz="2" w:space="0" w:color="auto"/>
              <w:right w:val="nil"/>
            </w:tcBorders>
            <w:shd w:val="clear" w:color="auto" w:fill="FFFFFF"/>
            <w:vAlign w:val="bottom"/>
          </w:tcPr>
          <w:p w14:paraId="5820970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30,148</w:t>
            </w:r>
          </w:p>
        </w:tc>
      </w:tr>
      <w:tr w:rsidR="002E375F" w14:paraId="6728E3CF" w14:textId="77777777">
        <w:tc>
          <w:tcPr>
            <w:tcW w:w="6537" w:type="dxa"/>
            <w:tcBorders>
              <w:top w:val="nil"/>
              <w:left w:val="nil"/>
              <w:bottom w:val="nil"/>
              <w:right w:val="nil"/>
            </w:tcBorders>
            <w:shd w:val="clear" w:color="auto" w:fill="FFFFFF"/>
            <w:vAlign w:val="bottom"/>
          </w:tcPr>
          <w:p w14:paraId="7A12DDD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financial liabilities at amortised cost</w:t>
            </w:r>
          </w:p>
        </w:tc>
        <w:tc>
          <w:tcPr>
            <w:tcW w:w="567" w:type="dxa"/>
            <w:tcBorders>
              <w:top w:val="nil"/>
              <w:left w:val="nil"/>
              <w:bottom w:val="nil"/>
              <w:right w:val="nil"/>
            </w:tcBorders>
            <w:shd w:val="clear" w:color="auto" w:fill="FFFFFF"/>
            <w:vAlign w:val="bottom"/>
          </w:tcPr>
          <w:p w14:paraId="40D53A47"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4F29800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32,599</w:t>
            </w:r>
          </w:p>
        </w:tc>
        <w:tc>
          <w:tcPr>
            <w:tcW w:w="964" w:type="dxa"/>
            <w:tcBorders>
              <w:top w:val="nil"/>
              <w:left w:val="nil"/>
              <w:bottom w:val="single" w:sz="2" w:space="0" w:color="auto"/>
              <w:right w:val="nil"/>
            </w:tcBorders>
            <w:shd w:val="clear" w:color="auto" w:fill="FFFFFF"/>
            <w:vAlign w:val="bottom"/>
          </w:tcPr>
          <w:p w14:paraId="0622266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30,148</w:t>
            </w:r>
          </w:p>
        </w:tc>
      </w:tr>
    </w:tbl>
    <w:p w14:paraId="26B86F97" w14:textId="77777777" w:rsidR="0040568F" w:rsidRDefault="0040568F" w:rsidP="00862FE1">
      <w:pPr>
        <w:pStyle w:val="Heading3"/>
        <w:spacing w:before="240"/>
      </w:pPr>
      <w:r>
        <w:t>D1-2 Financial Risk Management</w:t>
      </w:r>
    </w:p>
    <w:p w14:paraId="0C9DC335"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Financial risk management is implemented pursuant to State Government and departmental policy. These policies focus on the unpredictability of financial markets and seek to minimise potential adverse effects on the financial performance of the department.</w:t>
      </w:r>
    </w:p>
    <w:p w14:paraId="1B568972"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All financial risk is managed under policies approved by the department. The department provides written principles for overall risk management, as well as policies covering specific areas.</w:t>
      </w:r>
    </w:p>
    <w:p w14:paraId="61E38EF0" w14:textId="77777777" w:rsidR="002E375F" w:rsidRDefault="00EB2569">
      <w:pPr>
        <w:autoSpaceDE w:val="0"/>
        <w:autoSpaceDN w:val="0"/>
        <w:adjustRightInd w:val="0"/>
        <w:spacing w:after="141" w:line="240" w:lineRule="auto"/>
        <w:jc w:val="both"/>
        <w:rPr>
          <w:rFonts w:ascii="Times New Roman" w:hAnsi="Times New Roman" w:cs="Times New Roman"/>
          <w:sz w:val="24"/>
          <w:szCs w:val="24"/>
        </w:rPr>
      </w:pPr>
      <w:r>
        <w:rPr>
          <w:rFonts w:ascii="Arial" w:hAnsi="Arial" w:cs="Arial"/>
          <w:sz w:val="18"/>
          <w:szCs w:val="18"/>
        </w:rPr>
        <w:t>The department measures risk exposure using a variety of methods as follows:</w:t>
      </w:r>
    </w:p>
    <w:tbl>
      <w:tblPr>
        <w:tblW w:w="0" w:type="auto"/>
        <w:tblLayout w:type="fixed"/>
        <w:tblCellMar>
          <w:left w:w="0" w:type="dxa"/>
          <w:right w:w="0" w:type="dxa"/>
        </w:tblCellMar>
        <w:tblLook w:val="0000" w:firstRow="0" w:lastRow="0" w:firstColumn="0" w:lastColumn="0" w:noHBand="0" w:noVBand="0"/>
      </w:tblPr>
      <w:tblGrid>
        <w:gridCol w:w="2269"/>
        <w:gridCol w:w="3403"/>
      </w:tblGrid>
      <w:tr w:rsidR="002E375F" w:rsidRPr="007726EE" w14:paraId="579183F7" w14:textId="77777777">
        <w:tc>
          <w:tcPr>
            <w:tcW w:w="2269" w:type="dxa"/>
            <w:tcBorders>
              <w:top w:val="nil"/>
              <w:left w:val="nil"/>
              <w:bottom w:val="nil"/>
              <w:right w:val="nil"/>
            </w:tcBorders>
            <w:shd w:val="clear" w:color="auto" w:fill="FFFFFF"/>
          </w:tcPr>
          <w:p w14:paraId="71EF73B0" w14:textId="77777777" w:rsidR="002E375F" w:rsidRPr="00862FE1" w:rsidRDefault="00EB2569" w:rsidP="001C442D">
            <w:pPr>
              <w:pStyle w:val="Heading3"/>
              <w:rPr>
                <w:rFonts w:ascii="Arial" w:hAnsi="Arial" w:cs="Arial"/>
                <w:b/>
                <w:sz w:val="18"/>
                <w:szCs w:val="18"/>
              </w:rPr>
            </w:pPr>
            <w:r w:rsidRPr="00862FE1">
              <w:rPr>
                <w:rFonts w:ascii="Arial" w:hAnsi="Arial" w:cs="Arial"/>
                <w:b/>
                <w:sz w:val="18"/>
                <w:szCs w:val="18"/>
              </w:rPr>
              <w:t>Risk Exposure</w:t>
            </w:r>
          </w:p>
        </w:tc>
        <w:tc>
          <w:tcPr>
            <w:tcW w:w="3403" w:type="dxa"/>
            <w:tcBorders>
              <w:top w:val="nil"/>
              <w:left w:val="nil"/>
              <w:bottom w:val="nil"/>
              <w:right w:val="nil"/>
            </w:tcBorders>
            <w:shd w:val="clear" w:color="auto" w:fill="FFFFFF"/>
          </w:tcPr>
          <w:p w14:paraId="0A36135D" w14:textId="77777777" w:rsidR="002E375F" w:rsidRPr="00862FE1" w:rsidRDefault="00EB2569" w:rsidP="001C442D">
            <w:pPr>
              <w:pStyle w:val="Heading3"/>
              <w:rPr>
                <w:rFonts w:ascii="Arial" w:hAnsi="Arial" w:cs="Arial"/>
                <w:b/>
                <w:sz w:val="18"/>
                <w:szCs w:val="18"/>
              </w:rPr>
            </w:pPr>
            <w:r w:rsidRPr="00862FE1">
              <w:rPr>
                <w:rFonts w:ascii="Arial" w:hAnsi="Arial" w:cs="Arial"/>
                <w:b/>
                <w:sz w:val="18"/>
                <w:szCs w:val="18"/>
              </w:rPr>
              <w:t>Measurement Method</w:t>
            </w:r>
          </w:p>
        </w:tc>
      </w:tr>
      <w:tr w:rsidR="002E375F" w14:paraId="4437F5E0" w14:textId="77777777">
        <w:tc>
          <w:tcPr>
            <w:tcW w:w="2269" w:type="dxa"/>
            <w:tcBorders>
              <w:top w:val="nil"/>
              <w:left w:val="nil"/>
              <w:bottom w:val="nil"/>
              <w:right w:val="nil"/>
            </w:tcBorders>
            <w:shd w:val="clear" w:color="auto" w:fill="FFFFFF"/>
          </w:tcPr>
          <w:p w14:paraId="048088E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Credit risk</w:t>
            </w:r>
          </w:p>
        </w:tc>
        <w:tc>
          <w:tcPr>
            <w:tcW w:w="3403" w:type="dxa"/>
            <w:tcBorders>
              <w:top w:val="nil"/>
              <w:left w:val="nil"/>
              <w:bottom w:val="nil"/>
              <w:right w:val="nil"/>
            </w:tcBorders>
            <w:shd w:val="clear" w:color="auto" w:fill="FFFFFF"/>
          </w:tcPr>
          <w:p w14:paraId="520FD3A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Ageing analysis, earnings at risk</w:t>
            </w:r>
          </w:p>
        </w:tc>
      </w:tr>
      <w:tr w:rsidR="002E375F" w14:paraId="4F5FEBD0" w14:textId="77777777">
        <w:tc>
          <w:tcPr>
            <w:tcW w:w="2269" w:type="dxa"/>
            <w:tcBorders>
              <w:top w:val="nil"/>
              <w:left w:val="nil"/>
              <w:bottom w:val="nil"/>
              <w:right w:val="nil"/>
            </w:tcBorders>
            <w:shd w:val="clear" w:color="auto" w:fill="FFFFFF"/>
          </w:tcPr>
          <w:p w14:paraId="31E0796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Liquidity risk</w:t>
            </w:r>
          </w:p>
        </w:tc>
        <w:tc>
          <w:tcPr>
            <w:tcW w:w="3403" w:type="dxa"/>
            <w:tcBorders>
              <w:top w:val="nil"/>
              <w:left w:val="nil"/>
              <w:bottom w:val="nil"/>
              <w:right w:val="nil"/>
            </w:tcBorders>
            <w:shd w:val="clear" w:color="auto" w:fill="FFFFFF"/>
          </w:tcPr>
          <w:p w14:paraId="0B9E34E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Sensitivity analysis</w:t>
            </w:r>
          </w:p>
        </w:tc>
      </w:tr>
      <w:tr w:rsidR="002E375F" w14:paraId="24488775" w14:textId="77777777">
        <w:tc>
          <w:tcPr>
            <w:tcW w:w="2269" w:type="dxa"/>
            <w:tcBorders>
              <w:top w:val="nil"/>
              <w:left w:val="nil"/>
              <w:bottom w:val="nil"/>
              <w:right w:val="nil"/>
            </w:tcBorders>
            <w:shd w:val="clear" w:color="auto" w:fill="FFFFFF"/>
          </w:tcPr>
          <w:p w14:paraId="2DE6745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Market risk</w:t>
            </w:r>
          </w:p>
        </w:tc>
        <w:tc>
          <w:tcPr>
            <w:tcW w:w="3403" w:type="dxa"/>
            <w:tcBorders>
              <w:top w:val="nil"/>
              <w:left w:val="nil"/>
              <w:bottom w:val="nil"/>
              <w:right w:val="nil"/>
            </w:tcBorders>
            <w:shd w:val="clear" w:color="auto" w:fill="FFFFFF"/>
          </w:tcPr>
          <w:p w14:paraId="7D0AD98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Interest rate sensitivity analysis</w:t>
            </w:r>
          </w:p>
        </w:tc>
      </w:tr>
    </w:tbl>
    <w:p w14:paraId="0D8164F4"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380AA920"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0C070B38"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0546079D"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6A9EC236"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678D89F3"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3BF2248A" w14:textId="77777777" w:rsidR="007408B2" w:rsidRDefault="007408B2" w:rsidP="007408B2">
      <w:pPr>
        <w:pStyle w:val="Heading3"/>
      </w:pPr>
      <w:r>
        <w:t>D1 Financial Risk Disclosures (continued)</w:t>
      </w:r>
    </w:p>
    <w:p w14:paraId="5370A63C" w14:textId="77777777" w:rsidR="007408B2" w:rsidRDefault="007408B2" w:rsidP="007408B2">
      <w:pPr>
        <w:pStyle w:val="Heading3"/>
      </w:pPr>
      <w:r>
        <w:t>D1-2 Financial Risk Management (continued)</w:t>
      </w:r>
    </w:p>
    <w:p w14:paraId="23A63F6A"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There are no material liquidity, market and credit risks for the department. A sensitivity analysis has not been undertaken for the interest rate risk of the department as it has been determined that the possible impact on income from fluctuations in interest rates is immaterial.</w:t>
      </w:r>
    </w:p>
    <w:p w14:paraId="3BDB8366"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Management review and follow up aged receivables monthly to minimise the credit risk exposure of the department.</w:t>
      </w:r>
    </w:p>
    <w:p w14:paraId="6F4CBB3D" w14:textId="77777777" w:rsidR="0040568F" w:rsidRDefault="0040568F" w:rsidP="0040568F">
      <w:pPr>
        <w:pStyle w:val="Heading3"/>
        <w:rPr>
          <w:sz w:val="18"/>
          <w:szCs w:val="18"/>
        </w:rPr>
      </w:pPr>
      <w:r>
        <w:t>D2 Contingencies</w:t>
      </w:r>
    </w:p>
    <w:p w14:paraId="6DB81588" w14:textId="77777777" w:rsidR="0040568F" w:rsidRDefault="0040568F" w:rsidP="0040568F">
      <w:pPr>
        <w:pStyle w:val="Heading3"/>
      </w:pPr>
      <w:r>
        <w:t>D2-1 Native Title Claims over Departmental Assets</w:t>
      </w:r>
    </w:p>
    <w:p w14:paraId="4A1F04B5" w14:textId="77777777" w:rsidR="002E375F" w:rsidRDefault="00EB2569" w:rsidP="00862FE1">
      <w:pPr>
        <w:autoSpaceDE w:val="0"/>
        <w:autoSpaceDN w:val="0"/>
        <w:adjustRightInd w:val="0"/>
        <w:spacing w:after="141" w:line="240" w:lineRule="auto"/>
        <w:rPr>
          <w:rFonts w:ascii="Arial" w:hAnsi="Arial" w:cs="Arial"/>
          <w:sz w:val="18"/>
          <w:szCs w:val="18"/>
        </w:rPr>
      </w:pPr>
      <w:r>
        <w:rPr>
          <w:rFonts w:ascii="Arial" w:hAnsi="Arial" w:cs="Arial"/>
          <w:sz w:val="18"/>
          <w:szCs w:val="18"/>
        </w:rPr>
        <w:t>As at reporting date, native title claims exist that covers departmental land with buildings and site improvements totalling $1.846M. At the reporting date it is not possible to make an estimate of any probable outcome of this claim, or any financial effects.</w:t>
      </w:r>
    </w:p>
    <w:p w14:paraId="230468CD" w14:textId="77777777" w:rsidR="0040568F" w:rsidRDefault="0040568F" w:rsidP="0040568F">
      <w:pPr>
        <w:pStyle w:val="Heading3"/>
      </w:pPr>
      <w:r>
        <w:t>D3 Commitments</w:t>
      </w:r>
    </w:p>
    <w:p w14:paraId="7B353A2A" w14:textId="77777777" w:rsidR="0040568F" w:rsidRPr="00862FE1" w:rsidRDefault="0040568F" w:rsidP="0040568F">
      <w:pPr>
        <w:pStyle w:val="Heading3"/>
      </w:pPr>
      <w:r>
        <w:t>D3-1 Lease Commitments</w:t>
      </w:r>
    </w:p>
    <w:p w14:paraId="44055837"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Commitments under leases at reporting date (inclusive of non-recoverable GST input tax credits) are payable as follows:</w:t>
      </w:r>
    </w:p>
    <w:tbl>
      <w:tblPr>
        <w:tblW w:w="0" w:type="auto"/>
        <w:tblLayout w:type="fixed"/>
        <w:tblCellMar>
          <w:left w:w="0" w:type="dxa"/>
          <w:right w:w="0" w:type="dxa"/>
        </w:tblCellMar>
        <w:tblLook w:val="0000" w:firstRow="0" w:lastRow="0" w:firstColumn="0" w:lastColumn="0" w:noHBand="0" w:noVBand="0"/>
      </w:tblPr>
      <w:tblGrid>
        <w:gridCol w:w="1319"/>
        <w:gridCol w:w="964"/>
        <w:gridCol w:w="964"/>
        <w:gridCol w:w="964"/>
        <w:gridCol w:w="964"/>
        <w:gridCol w:w="964"/>
        <w:gridCol w:w="964"/>
        <w:gridCol w:w="964"/>
        <w:gridCol w:w="964"/>
      </w:tblGrid>
      <w:tr w:rsidR="002E375F" w14:paraId="635680AE" w14:textId="77777777">
        <w:tc>
          <w:tcPr>
            <w:tcW w:w="1319" w:type="dxa"/>
            <w:tcBorders>
              <w:top w:val="nil"/>
              <w:left w:val="nil"/>
              <w:bottom w:val="nil"/>
              <w:right w:val="nil"/>
            </w:tcBorders>
            <w:shd w:val="clear" w:color="auto" w:fill="FFFFFF"/>
            <w:vAlign w:val="bottom"/>
          </w:tcPr>
          <w:p w14:paraId="1C1612AB" w14:textId="77777777" w:rsidR="002E375F" w:rsidRDefault="002E375F" w:rsidP="00862FE1">
            <w:pPr>
              <w:pStyle w:val="Heading3"/>
              <w:jc w:val="center"/>
            </w:pPr>
          </w:p>
        </w:tc>
        <w:tc>
          <w:tcPr>
            <w:tcW w:w="1928" w:type="dxa"/>
            <w:gridSpan w:val="2"/>
            <w:tcBorders>
              <w:top w:val="nil"/>
              <w:left w:val="nil"/>
              <w:bottom w:val="nil"/>
              <w:right w:val="nil"/>
            </w:tcBorders>
            <w:shd w:val="clear" w:color="auto" w:fill="FFFFFF"/>
            <w:vAlign w:val="bottom"/>
          </w:tcPr>
          <w:p w14:paraId="15D6F80D" w14:textId="77777777" w:rsidR="002E375F" w:rsidRDefault="00EB2569" w:rsidP="00862FE1">
            <w:pPr>
              <w:pStyle w:val="Heading3"/>
              <w:jc w:val="center"/>
            </w:pPr>
            <w:r>
              <w:rPr>
                <w:rFonts w:ascii="Arial" w:hAnsi="Arial" w:cs="Arial"/>
                <w:b/>
                <w:bCs/>
                <w:sz w:val="18"/>
                <w:szCs w:val="18"/>
              </w:rPr>
              <w:t>No later than</w:t>
            </w:r>
            <w:r>
              <w:rPr>
                <w:rFonts w:ascii="Arial" w:hAnsi="Arial" w:cs="Arial"/>
                <w:b/>
                <w:bCs/>
                <w:sz w:val="18"/>
                <w:szCs w:val="18"/>
              </w:rPr>
              <w:br/>
              <w:t>one year</w:t>
            </w:r>
          </w:p>
        </w:tc>
        <w:tc>
          <w:tcPr>
            <w:tcW w:w="1928" w:type="dxa"/>
            <w:gridSpan w:val="2"/>
            <w:tcBorders>
              <w:top w:val="nil"/>
              <w:left w:val="nil"/>
              <w:bottom w:val="nil"/>
              <w:right w:val="nil"/>
            </w:tcBorders>
            <w:shd w:val="clear" w:color="auto" w:fill="FFFFFF"/>
            <w:vAlign w:val="bottom"/>
          </w:tcPr>
          <w:p w14:paraId="72F6BA99" w14:textId="77777777" w:rsidR="002E375F" w:rsidRDefault="00EB2569" w:rsidP="00862FE1">
            <w:pPr>
              <w:pStyle w:val="Heading3"/>
              <w:jc w:val="center"/>
            </w:pPr>
            <w:r>
              <w:rPr>
                <w:rFonts w:ascii="Arial" w:hAnsi="Arial" w:cs="Arial"/>
                <w:b/>
                <w:bCs/>
                <w:sz w:val="18"/>
                <w:szCs w:val="18"/>
              </w:rPr>
              <w:t>Later than one year and not later than five years</w:t>
            </w:r>
          </w:p>
        </w:tc>
        <w:tc>
          <w:tcPr>
            <w:tcW w:w="1928" w:type="dxa"/>
            <w:gridSpan w:val="2"/>
            <w:tcBorders>
              <w:top w:val="nil"/>
              <w:left w:val="nil"/>
              <w:bottom w:val="nil"/>
              <w:right w:val="nil"/>
            </w:tcBorders>
            <w:shd w:val="clear" w:color="auto" w:fill="FFFFFF"/>
            <w:vAlign w:val="bottom"/>
          </w:tcPr>
          <w:p w14:paraId="7E618267" w14:textId="77777777" w:rsidR="002E375F" w:rsidRDefault="00EB2569" w:rsidP="00862FE1">
            <w:pPr>
              <w:pStyle w:val="Heading3"/>
              <w:jc w:val="center"/>
            </w:pPr>
            <w:r>
              <w:rPr>
                <w:rFonts w:ascii="Arial" w:hAnsi="Arial" w:cs="Arial"/>
                <w:b/>
                <w:bCs/>
                <w:sz w:val="18"/>
                <w:szCs w:val="18"/>
              </w:rPr>
              <w:t>Longer than</w:t>
            </w:r>
            <w:r>
              <w:rPr>
                <w:rFonts w:ascii="Arial" w:hAnsi="Arial" w:cs="Arial"/>
                <w:b/>
                <w:bCs/>
                <w:sz w:val="18"/>
                <w:szCs w:val="18"/>
              </w:rPr>
              <w:br/>
              <w:t>five years</w:t>
            </w:r>
          </w:p>
        </w:tc>
        <w:tc>
          <w:tcPr>
            <w:tcW w:w="1928" w:type="dxa"/>
            <w:gridSpan w:val="2"/>
            <w:tcBorders>
              <w:top w:val="nil"/>
              <w:left w:val="nil"/>
              <w:bottom w:val="nil"/>
              <w:right w:val="nil"/>
            </w:tcBorders>
            <w:shd w:val="clear" w:color="auto" w:fill="FFFFFF"/>
            <w:vAlign w:val="bottom"/>
          </w:tcPr>
          <w:p w14:paraId="7DD4AF50" w14:textId="77777777" w:rsidR="002E375F" w:rsidRDefault="00EB2569" w:rsidP="00862FE1">
            <w:pPr>
              <w:pStyle w:val="Heading3"/>
              <w:jc w:val="center"/>
            </w:pPr>
            <w:r>
              <w:rPr>
                <w:rFonts w:ascii="Arial" w:hAnsi="Arial" w:cs="Arial"/>
                <w:b/>
                <w:bCs/>
                <w:sz w:val="18"/>
                <w:szCs w:val="18"/>
              </w:rPr>
              <w:t>Total</w:t>
            </w:r>
          </w:p>
        </w:tc>
      </w:tr>
      <w:tr w:rsidR="002E375F" w14:paraId="5B311E54" w14:textId="77777777">
        <w:tc>
          <w:tcPr>
            <w:tcW w:w="1319" w:type="dxa"/>
            <w:tcBorders>
              <w:top w:val="nil"/>
              <w:left w:val="nil"/>
              <w:bottom w:val="nil"/>
              <w:right w:val="nil"/>
            </w:tcBorders>
            <w:shd w:val="clear" w:color="auto" w:fill="FFFFFF"/>
            <w:vAlign w:val="bottom"/>
          </w:tcPr>
          <w:p w14:paraId="08936D5A" w14:textId="77777777" w:rsidR="002E375F" w:rsidRDefault="002E375F" w:rsidP="00943EF1">
            <w:pPr>
              <w:pStyle w:val="Heading3"/>
            </w:pPr>
          </w:p>
        </w:tc>
        <w:tc>
          <w:tcPr>
            <w:tcW w:w="964" w:type="dxa"/>
            <w:tcBorders>
              <w:top w:val="nil"/>
              <w:left w:val="nil"/>
              <w:bottom w:val="nil"/>
              <w:right w:val="nil"/>
            </w:tcBorders>
            <w:shd w:val="clear" w:color="auto" w:fill="FFFFFF"/>
            <w:vAlign w:val="bottom"/>
          </w:tcPr>
          <w:p w14:paraId="1AD6DCE1"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3FE46CA5" w14:textId="77777777" w:rsidR="002E375F" w:rsidRDefault="00EB2569" w:rsidP="00862FE1">
            <w:pPr>
              <w:pStyle w:val="Heading3"/>
              <w:jc w:val="right"/>
            </w:pPr>
            <w:r>
              <w:rPr>
                <w:rFonts w:ascii="Arial" w:hAnsi="Arial" w:cs="Arial"/>
                <w:sz w:val="18"/>
                <w:szCs w:val="18"/>
              </w:rPr>
              <w:t>2019</w:t>
            </w:r>
            <w:r>
              <w:rPr>
                <w:rFonts w:ascii="Arial" w:hAnsi="Arial" w:cs="Arial"/>
                <w:sz w:val="18"/>
                <w:szCs w:val="18"/>
              </w:rPr>
              <w:br/>
              <w:t>$'000</w:t>
            </w:r>
          </w:p>
        </w:tc>
        <w:tc>
          <w:tcPr>
            <w:tcW w:w="964" w:type="dxa"/>
            <w:tcBorders>
              <w:top w:val="nil"/>
              <w:left w:val="nil"/>
              <w:bottom w:val="nil"/>
              <w:right w:val="nil"/>
            </w:tcBorders>
            <w:shd w:val="clear" w:color="auto" w:fill="FFFFFF"/>
            <w:vAlign w:val="bottom"/>
          </w:tcPr>
          <w:p w14:paraId="3928C5AA"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6C33EEC9" w14:textId="77777777" w:rsidR="002E375F" w:rsidRDefault="00EB2569" w:rsidP="00862FE1">
            <w:pPr>
              <w:pStyle w:val="Heading3"/>
              <w:jc w:val="right"/>
            </w:pPr>
            <w:r>
              <w:rPr>
                <w:rFonts w:ascii="Arial" w:hAnsi="Arial" w:cs="Arial"/>
                <w:sz w:val="18"/>
                <w:szCs w:val="18"/>
              </w:rPr>
              <w:t>2019</w:t>
            </w:r>
            <w:r>
              <w:rPr>
                <w:rFonts w:ascii="Arial" w:hAnsi="Arial" w:cs="Arial"/>
                <w:sz w:val="18"/>
                <w:szCs w:val="18"/>
              </w:rPr>
              <w:br/>
              <w:t>$'000</w:t>
            </w:r>
          </w:p>
        </w:tc>
        <w:tc>
          <w:tcPr>
            <w:tcW w:w="964" w:type="dxa"/>
            <w:tcBorders>
              <w:top w:val="nil"/>
              <w:left w:val="nil"/>
              <w:bottom w:val="nil"/>
              <w:right w:val="nil"/>
            </w:tcBorders>
            <w:shd w:val="clear" w:color="auto" w:fill="FFFFFF"/>
            <w:vAlign w:val="bottom"/>
          </w:tcPr>
          <w:p w14:paraId="1F5C81AB"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3AE73F49" w14:textId="77777777" w:rsidR="002E375F" w:rsidRDefault="00EB2569" w:rsidP="00862FE1">
            <w:pPr>
              <w:pStyle w:val="Heading3"/>
              <w:jc w:val="right"/>
            </w:pPr>
            <w:r>
              <w:rPr>
                <w:rFonts w:ascii="Arial" w:hAnsi="Arial" w:cs="Arial"/>
                <w:sz w:val="18"/>
                <w:szCs w:val="18"/>
              </w:rPr>
              <w:t>2019</w:t>
            </w:r>
            <w:r>
              <w:rPr>
                <w:rFonts w:ascii="Arial" w:hAnsi="Arial" w:cs="Arial"/>
                <w:sz w:val="18"/>
                <w:szCs w:val="18"/>
              </w:rPr>
              <w:br/>
              <w:t>$'000</w:t>
            </w:r>
          </w:p>
        </w:tc>
        <w:tc>
          <w:tcPr>
            <w:tcW w:w="964" w:type="dxa"/>
            <w:tcBorders>
              <w:top w:val="nil"/>
              <w:left w:val="nil"/>
              <w:bottom w:val="nil"/>
              <w:right w:val="nil"/>
            </w:tcBorders>
            <w:shd w:val="clear" w:color="auto" w:fill="FFFFFF"/>
            <w:vAlign w:val="bottom"/>
          </w:tcPr>
          <w:p w14:paraId="547395E8"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714ABC92" w14:textId="77777777" w:rsidR="002E375F" w:rsidRDefault="00EB2569" w:rsidP="00862FE1">
            <w:pPr>
              <w:pStyle w:val="Heading3"/>
              <w:jc w:val="right"/>
            </w:pPr>
            <w:r>
              <w:rPr>
                <w:rFonts w:ascii="Arial" w:hAnsi="Arial" w:cs="Arial"/>
                <w:sz w:val="18"/>
                <w:szCs w:val="18"/>
              </w:rPr>
              <w:t>2019</w:t>
            </w:r>
            <w:r>
              <w:rPr>
                <w:rFonts w:ascii="Arial" w:hAnsi="Arial" w:cs="Arial"/>
                <w:sz w:val="18"/>
                <w:szCs w:val="18"/>
              </w:rPr>
              <w:br/>
              <w:t>$'000</w:t>
            </w:r>
          </w:p>
        </w:tc>
      </w:tr>
      <w:tr w:rsidR="002E375F" w14:paraId="22BB4333" w14:textId="77777777">
        <w:tc>
          <w:tcPr>
            <w:tcW w:w="1319" w:type="dxa"/>
            <w:tcBorders>
              <w:top w:val="nil"/>
              <w:left w:val="nil"/>
              <w:bottom w:val="nil"/>
              <w:right w:val="nil"/>
            </w:tcBorders>
            <w:shd w:val="clear" w:color="auto" w:fill="FFFFFF"/>
            <w:vAlign w:val="bottom"/>
          </w:tcPr>
          <w:p w14:paraId="06656EE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Payable</w:t>
            </w:r>
          </w:p>
        </w:tc>
        <w:tc>
          <w:tcPr>
            <w:tcW w:w="964" w:type="dxa"/>
            <w:tcBorders>
              <w:top w:val="nil"/>
              <w:left w:val="nil"/>
              <w:bottom w:val="nil"/>
              <w:right w:val="nil"/>
            </w:tcBorders>
            <w:shd w:val="clear" w:color="auto" w:fill="FFFFFF"/>
            <w:vAlign w:val="bottom"/>
          </w:tcPr>
          <w:p w14:paraId="7C5D884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B43357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C66C5F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DC53CE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2BDDE7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390BE9F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91CBE0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EB28C3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080DB64C" w14:textId="77777777">
        <w:tc>
          <w:tcPr>
            <w:tcW w:w="1319" w:type="dxa"/>
            <w:tcBorders>
              <w:top w:val="nil"/>
              <w:left w:val="nil"/>
              <w:bottom w:val="nil"/>
              <w:right w:val="nil"/>
            </w:tcBorders>
            <w:shd w:val="clear" w:color="auto" w:fill="FFFFFF"/>
            <w:vAlign w:val="bottom"/>
          </w:tcPr>
          <w:p w14:paraId="050DCE2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Lease expenses</w:t>
            </w:r>
          </w:p>
        </w:tc>
        <w:tc>
          <w:tcPr>
            <w:tcW w:w="964" w:type="dxa"/>
            <w:tcBorders>
              <w:top w:val="nil"/>
              <w:left w:val="nil"/>
              <w:bottom w:val="single" w:sz="2" w:space="0" w:color="auto"/>
              <w:right w:val="nil"/>
            </w:tcBorders>
            <w:shd w:val="clear" w:color="auto" w:fill="FFFFFF"/>
            <w:vAlign w:val="bottom"/>
          </w:tcPr>
          <w:p w14:paraId="7DAB553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8,005</w:t>
            </w:r>
          </w:p>
        </w:tc>
        <w:tc>
          <w:tcPr>
            <w:tcW w:w="964" w:type="dxa"/>
            <w:tcBorders>
              <w:top w:val="nil"/>
              <w:left w:val="nil"/>
              <w:bottom w:val="single" w:sz="2" w:space="0" w:color="auto"/>
              <w:right w:val="nil"/>
            </w:tcBorders>
            <w:shd w:val="clear" w:color="auto" w:fill="FFFFFF"/>
            <w:vAlign w:val="bottom"/>
          </w:tcPr>
          <w:p w14:paraId="30F1C42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11,066</w:t>
            </w:r>
          </w:p>
        </w:tc>
        <w:tc>
          <w:tcPr>
            <w:tcW w:w="964" w:type="dxa"/>
            <w:tcBorders>
              <w:top w:val="nil"/>
              <w:left w:val="nil"/>
              <w:bottom w:val="single" w:sz="2" w:space="0" w:color="auto"/>
              <w:right w:val="nil"/>
            </w:tcBorders>
            <w:shd w:val="clear" w:color="auto" w:fill="FFFFFF"/>
            <w:vAlign w:val="bottom"/>
          </w:tcPr>
          <w:p w14:paraId="45FFC30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27,981</w:t>
            </w:r>
          </w:p>
        </w:tc>
        <w:tc>
          <w:tcPr>
            <w:tcW w:w="964" w:type="dxa"/>
            <w:tcBorders>
              <w:top w:val="nil"/>
              <w:left w:val="nil"/>
              <w:bottom w:val="single" w:sz="2" w:space="0" w:color="auto"/>
              <w:right w:val="nil"/>
            </w:tcBorders>
            <w:shd w:val="clear" w:color="auto" w:fill="FFFFFF"/>
            <w:vAlign w:val="bottom"/>
          </w:tcPr>
          <w:p w14:paraId="7FEA6EE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42,183</w:t>
            </w:r>
          </w:p>
        </w:tc>
        <w:tc>
          <w:tcPr>
            <w:tcW w:w="964" w:type="dxa"/>
            <w:tcBorders>
              <w:top w:val="nil"/>
              <w:left w:val="nil"/>
              <w:bottom w:val="single" w:sz="2" w:space="0" w:color="auto"/>
              <w:right w:val="nil"/>
            </w:tcBorders>
            <w:shd w:val="clear" w:color="auto" w:fill="FFFFFF"/>
            <w:vAlign w:val="bottom"/>
          </w:tcPr>
          <w:p w14:paraId="5FACD7E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19,740</w:t>
            </w:r>
          </w:p>
        </w:tc>
        <w:tc>
          <w:tcPr>
            <w:tcW w:w="964" w:type="dxa"/>
            <w:tcBorders>
              <w:top w:val="nil"/>
              <w:left w:val="nil"/>
              <w:bottom w:val="single" w:sz="2" w:space="0" w:color="auto"/>
              <w:right w:val="nil"/>
            </w:tcBorders>
            <w:shd w:val="clear" w:color="auto" w:fill="FFFFFF"/>
            <w:vAlign w:val="bottom"/>
          </w:tcPr>
          <w:p w14:paraId="04E37FE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38,933</w:t>
            </w:r>
          </w:p>
        </w:tc>
        <w:tc>
          <w:tcPr>
            <w:tcW w:w="964" w:type="dxa"/>
            <w:tcBorders>
              <w:top w:val="nil"/>
              <w:left w:val="nil"/>
              <w:bottom w:val="single" w:sz="2" w:space="0" w:color="auto"/>
              <w:right w:val="nil"/>
            </w:tcBorders>
            <w:shd w:val="clear" w:color="auto" w:fill="FFFFFF"/>
            <w:vAlign w:val="bottom"/>
          </w:tcPr>
          <w:p w14:paraId="26AD8EB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55,726</w:t>
            </w:r>
          </w:p>
        </w:tc>
        <w:tc>
          <w:tcPr>
            <w:tcW w:w="964" w:type="dxa"/>
            <w:tcBorders>
              <w:top w:val="nil"/>
              <w:left w:val="nil"/>
              <w:bottom w:val="single" w:sz="2" w:space="0" w:color="auto"/>
              <w:right w:val="nil"/>
            </w:tcBorders>
            <w:shd w:val="clear" w:color="auto" w:fill="FFFFFF"/>
            <w:vAlign w:val="bottom"/>
          </w:tcPr>
          <w:p w14:paraId="6B49C4B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92,182</w:t>
            </w:r>
          </w:p>
        </w:tc>
      </w:tr>
      <w:tr w:rsidR="002E375F" w14:paraId="6BA8E142" w14:textId="77777777">
        <w:tc>
          <w:tcPr>
            <w:tcW w:w="1319" w:type="dxa"/>
            <w:tcBorders>
              <w:top w:val="nil"/>
              <w:left w:val="nil"/>
              <w:bottom w:val="nil"/>
              <w:right w:val="nil"/>
            </w:tcBorders>
            <w:shd w:val="clear" w:color="auto" w:fill="FFFFFF"/>
            <w:vAlign w:val="bottom"/>
          </w:tcPr>
          <w:p w14:paraId="11172C1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41036E2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8,005</w:t>
            </w:r>
          </w:p>
        </w:tc>
        <w:tc>
          <w:tcPr>
            <w:tcW w:w="964" w:type="dxa"/>
            <w:tcBorders>
              <w:top w:val="nil"/>
              <w:left w:val="nil"/>
              <w:bottom w:val="single" w:sz="2" w:space="0" w:color="auto"/>
              <w:right w:val="nil"/>
            </w:tcBorders>
            <w:shd w:val="clear" w:color="auto" w:fill="FFFFFF"/>
            <w:vAlign w:val="bottom"/>
          </w:tcPr>
          <w:p w14:paraId="3BA6D64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11,066</w:t>
            </w:r>
          </w:p>
        </w:tc>
        <w:tc>
          <w:tcPr>
            <w:tcW w:w="964" w:type="dxa"/>
            <w:tcBorders>
              <w:top w:val="nil"/>
              <w:left w:val="nil"/>
              <w:bottom w:val="single" w:sz="2" w:space="0" w:color="auto"/>
              <w:right w:val="nil"/>
            </w:tcBorders>
            <w:shd w:val="clear" w:color="auto" w:fill="FFFFFF"/>
            <w:vAlign w:val="bottom"/>
          </w:tcPr>
          <w:p w14:paraId="0A76DCB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27,981</w:t>
            </w:r>
          </w:p>
        </w:tc>
        <w:tc>
          <w:tcPr>
            <w:tcW w:w="964" w:type="dxa"/>
            <w:tcBorders>
              <w:top w:val="nil"/>
              <w:left w:val="nil"/>
              <w:bottom w:val="single" w:sz="2" w:space="0" w:color="auto"/>
              <w:right w:val="nil"/>
            </w:tcBorders>
            <w:shd w:val="clear" w:color="auto" w:fill="FFFFFF"/>
            <w:vAlign w:val="bottom"/>
          </w:tcPr>
          <w:p w14:paraId="0CFD8B6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42,183</w:t>
            </w:r>
          </w:p>
        </w:tc>
        <w:tc>
          <w:tcPr>
            <w:tcW w:w="964" w:type="dxa"/>
            <w:tcBorders>
              <w:top w:val="nil"/>
              <w:left w:val="nil"/>
              <w:bottom w:val="single" w:sz="2" w:space="0" w:color="auto"/>
              <w:right w:val="nil"/>
            </w:tcBorders>
            <w:shd w:val="clear" w:color="auto" w:fill="FFFFFF"/>
            <w:vAlign w:val="bottom"/>
          </w:tcPr>
          <w:p w14:paraId="75D8E59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19,740</w:t>
            </w:r>
          </w:p>
        </w:tc>
        <w:tc>
          <w:tcPr>
            <w:tcW w:w="964" w:type="dxa"/>
            <w:tcBorders>
              <w:top w:val="nil"/>
              <w:left w:val="nil"/>
              <w:bottom w:val="single" w:sz="2" w:space="0" w:color="auto"/>
              <w:right w:val="nil"/>
            </w:tcBorders>
            <w:shd w:val="clear" w:color="auto" w:fill="FFFFFF"/>
            <w:vAlign w:val="bottom"/>
          </w:tcPr>
          <w:p w14:paraId="1CED04D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38,933</w:t>
            </w:r>
          </w:p>
        </w:tc>
        <w:tc>
          <w:tcPr>
            <w:tcW w:w="964" w:type="dxa"/>
            <w:tcBorders>
              <w:top w:val="nil"/>
              <w:left w:val="nil"/>
              <w:bottom w:val="single" w:sz="2" w:space="0" w:color="auto"/>
              <w:right w:val="nil"/>
            </w:tcBorders>
            <w:shd w:val="clear" w:color="auto" w:fill="FFFFFF"/>
            <w:vAlign w:val="bottom"/>
          </w:tcPr>
          <w:p w14:paraId="4BE0438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55,726</w:t>
            </w:r>
          </w:p>
        </w:tc>
        <w:tc>
          <w:tcPr>
            <w:tcW w:w="964" w:type="dxa"/>
            <w:tcBorders>
              <w:top w:val="nil"/>
              <w:left w:val="nil"/>
              <w:bottom w:val="single" w:sz="2" w:space="0" w:color="auto"/>
              <w:right w:val="nil"/>
            </w:tcBorders>
            <w:shd w:val="clear" w:color="auto" w:fill="FFFFFF"/>
            <w:vAlign w:val="bottom"/>
          </w:tcPr>
          <w:p w14:paraId="758ADF6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92,182</w:t>
            </w:r>
          </w:p>
        </w:tc>
      </w:tr>
    </w:tbl>
    <w:p w14:paraId="48D68A67"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majority of the lease commitments shown relate to leases held with the Department of Housing and Public Works. Refer to Note B2-2 for further information about the lease expenses shown in this note.</w:t>
      </w:r>
    </w:p>
    <w:p w14:paraId="69885AC5"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 has lease agreements where, upon cessation of the tenancy, it is required to return the office space to the condition it was in before it was leased (this is referred to as ‘make good’). These obligations are recognised as provisions. Provisions for make good obligations on leases expected to expire in the next 12 months are classified as current liabilities. All other provisions are considered non-current liabilities.</w:t>
      </w:r>
    </w:p>
    <w:p w14:paraId="2F0F311A" w14:textId="77777777" w:rsidR="002E375F" w:rsidRDefault="002E375F" w:rsidP="00D16D72">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74DB7DBF"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2373F748"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32E25867"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306639B1"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5CBFFFB5" w14:textId="77777777" w:rsidR="007408B2" w:rsidRDefault="007408B2" w:rsidP="007408B2">
      <w:pPr>
        <w:pStyle w:val="Heading3"/>
      </w:pPr>
      <w:r>
        <w:t>D3 Commitments (continued)</w:t>
      </w:r>
    </w:p>
    <w:p w14:paraId="4CC1BCBD" w14:textId="77777777" w:rsidR="007408B2" w:rsidRDefault="007408B2" w:rsidP="007408B2">
      <w:pPr>
        <w:pStyle w:val="Heading3"/>
      </w:pPr>
      <w:r>
        <w:t>D3-2 Capital Expenditure Commitments</w:t>
      </w:r>
    </w:p>
    <w:p w14:paraId="3F726D69" w14:textId="77777777" w:rsidR="002E375F" w:rsidRDefault="00EB2569">
      <w:pPr>
        <w:autoSpaceDE w:val="0"/>
        <w:autoSpaceDN w:val="0"/>
        <w:adjustRightInd w:val="0"/>
        <w:spacing w:after="141" w:line="240" w:lineRule="auto"/>
        <w:jc w:val="both"/>
        <w:rPr>
          <w:rFonts w:ascii="Times New Roman" w:hAnsi="Times New Roman" w:cs="Times New Roman"/>
          <w:sz w:val="24"/>
          <w:szCs w:val="24"/>
        </w:rPr>
      </w:pPr>
      <w:r>
        <w:rPr>
          <w:rFonts w:ascii="Arial" w:hAnsi="Arial" w:cs="Arial"/>
          <w:sz w:val="18"/>
          <w:szCs w:val="18"/>
        </w:rPr>
        <w:t>Commitments for capital expenditure at reporting date (inclusive of non-recoverable GST input tax credits) are payable:</w:t>
      </w:r>
    </w:p>
    <w:tbl>
      <w:tblPr>
        <w:tblW w:w="0" w:type="auto"/>
        <w:tblLayout w:type="fixed"/>
        <w:tblCellMar>
          <w:left w:w="0" w:type="dxa"/>
          <w:right w:w="0" w:type="dxa"/>
        </w:tblCellMar>
        <w:tblLook w:val="0000" w:firstRow="0" w:lastRow="0" w:firstColumn="0" w:lastColumn="0" w:noHBand="0" w:noVBand="0"/>
      </w:tblPr>
      <w:tblGrid>
        <w:gridCol w:w="1319"/>
        <w:gridCol w:w="964"/>
        <w:gridCol w:w="964"/>
        <w:gridCol w:w="964"/>
        <w:gridCol w:w="964"/>
        <w:gridCol w:w="964"/>
        <w:gridCol w:w="964"/>
        <w:gridCol w:w="964"/>
        <w:gridCol w:w="964"/>
      </w:tblGrid>
      <w:tr w:rsidR="002E375F" w14:paraId="526C95D5" w14:textId="77777777">
        <w:tc>
          <w:tcPr>
            <w:tcW w:w="1319" w:type="dxa"/>
            <w:tcBorders>
              <w:top w:val="nil"/>
              <w:left w:val="nil"/>
              <w:bottom w:val="nil"/>
              <w:right w:val="nil"/>
            </w:tcBorders>
            <w:shd w:val="clear" w:color="auto" w:fill="FFFFFF"/>
            <w:vAlign w:val="bottom"/>
          </w:tcPr>
          <w:p w14:paraId="23DC2B50" w14:textId="77777777" w:rsidR="002E375F" w:rsidRDefault="002E375F" w:rsidP="00943EF1">
            <w:pPr>
              <w:pStyle w:val="Heading3"/>
            </w:pPr>
          </w:p>
        </w:tc>
        <w:tc>
          <w:tcPr>
            <w:tcW w:w="1928" w:type="dxa"/>
            <w:gridSpan w:val="2"/>
            <w:tcBorders>
              <w:top w:val="nil"/>
              <w:left w:val="nil"/>
              <w:bottom w:val="nil"/>
              <w:right w:val="nil"/>
            </w:tcBorders>
            <w:shd w:val="clear" w:color="auto" w:fill="FFFFFF"/>
            <w:vAlign w:val="bottom"/>
          </w:tcPr>
          <w:p w14:paraId="5076718E" w14:textId="77777777" w:rsidR="002E375F" w:rsidRDefault="00EB2569" w:rsidP="00862FE1">
            <w:pPr>
              <w:pStyle w:val="Heading3"/>
              <w:jc w:val="center"/>
            </w:pPr>
            <w:r>
              <w:rPr>
                <w:rFonts w:ascii="Arial" w:hAnsi="Arial" w:cs="Arial"/>
                <w:b/>
                <w:bCs/>
                <w:sz w:val="18"/>
                <w:szCs w:val="18"/>
              </w:rPr>
              <w:t>No later than</w:t>
            </w:r>
            <w:r>
              <w:rPr>
                <w:rFonts w:ascii="Arial" w:hAnsi="Arial" w:cs="Arial"/>
                <w:b/>
                <w:bCs/>
                <w:sz w:val="18"/>
                <w:szCs w:val="18"/>
              </w:rPr>
              <w:br/>
              <w:t>one year</w:t>
            </w:r>
          </w:p>
        </w:tc>
        <w:tc>
          <w:tcPr>
            <w:tcW w:w="1928" w:type="dxa"/>
            <w:gridSpan w:val="2"/>
            <w:tcBorders>
              <w:top w:val="nil"/>
              <w:left w:val="nil"/>
              <w:bottom w:val="nil"/>
              <w:right w:val="nil"/>
            </w:tcBorders>
            <w:shd w:val="clear" w:color="auto" w:fill="FFFFFF"/>
            <w:vAlign w:val="bottom"/>
          </w:tcPr>
          <w:p w14:paraId="6AEF3817" w14:textId="77777777" w:rsidR="002E375F" w:rsidRDefault="00EB2569" w:rsidP="00862FE1">
            <w:pPr>
              <w:pStyle w:val="Heading3"/>
              <w:jc w:val="center"/>
            </w:pPr>
            <w:r>
              <w:rPr>
                <w:rFonts w:ascii="Arial" w:hAnsi="Arial" w:cs="Arial"/>
                <w:b/>
                <w:bCs/>
                <w:sz w:val="18"/>
                <w:szCs w:val="18"/>
              </w:rPr>
              <w:t>Later than one year and not later than five years</w:t>
            </w:r>
          </w:p>
        </w:tc>
        <w:tc>
          <w:tcPr>
            <w:tcW w:w="1928" w:type="dxa"/>
            <w:gridSpan w:val="2"/>
            <w:tcBorders>
              <w:top w:val="nil"/>
              <w:left w:val="nil"/>
              <w:bottom w:val="nil"/>
              <w:right w:val="nil"/>
            </w:tcBorders>
            <w:shd w:val="clear" w:color="auto" w:fill="FFFFFF"/>
            <w:vAlign w:val="bottom"/>
          </w:tcPr>
          <w:p w14:paraId="7647AC95" w14:textId="77777777" w:rsidR="002E375F" w:rsidRDefault="00EB2569" w:rsidP="00862FE1">
            <w:pPr>
              <w:pStyle w:val="Heading3"/>
              <w:jc w:val="center"/>
            </w:pPr>
            <w:r>
              <w:rPr>
                <w:rFonts w:ascii="Arial" w:hAnsi="Arial" w:cs="Arial"/>
                <w:b/>
                <w:bCs/>
                <w:sz w:val="18"/>
                <w:szCs w:val="18"/>
              </w:rPr>
              <w:t>Longer than</w:t>
            </w:r>
            <w:r>
              <w:rPr>
                <w:rFonts w:ascii="Arial" w:hAnsi="Arial" w:cs="Arial"/>
                <w:b/>
                <w:bCs/>
                <w:sz w:val="18"/>
                <w:szCs w:val="18"/>
              </w:rPr>
              <w:br/>
              <w:t>five years</w:t>
            </w:r>
          </w:p>
        </w:tc>
        <w:tc>
          <w:tcPr>
            <w:tcW w:w="1928" w:type="dxa"/>
            <w:gridSpan w:val="2"/>
            <w:tcBorders>
              <w:top w:val="nil"/>
              <w:left w:val="nil"/>
              <w:bottom w:val="nil"/>
              <w:right w:val="nil"/>
            </w:tcBorders>
            <w:shd w:val="clear" w:color="auto" w:fill="FFFFFF"/>
            <w:vAlign w:val="bottom"/>
          </w:tcPr>
          <w:p w14:paraId="36B4D56D" w14:textId="77777777" w:rsidR="002E375F" w:rsidRDefault="00EB2569" w:rsidP="00862FE1">
            <w:pPr>
              <w:pStyle w:val="Heading3"/>
              <w:jc w:val="center"/>
            </w:pPr>
            <w:r>
              <w:rPr>
                <w:rFonts w:ascii="Arial" w:hAnsi="Arial" w:cs="Arial"/>
                <w:b/>
                <w:bCs/>
                <w:sz w:val="18"/>
                <w:szCs w:val="18"/>
              </w:rPr>
              <w:t>Total</w:t>
            </w:r>
          </w:p>
        </w:tc>
      </w:tr>
      <w:tr w:rsidR="002E375F" w14:paraId="599C2420" w14:textId="77777777">
        <w:tc>
          <w:tcPr>
            <w:tcW w:w="1319" w:type="dxa"/>
            <w:tcBorders>
              <w:top w:val="nil"/>
              <w:left w:val="nil"/>
              <w:bottom w:val="nil"/>
              <w:right w:val="nil"/>
            </w:tcBorders>
            <w:shd w:val="clear" w:color="auto" w:fill="FFFFFF"/>
            <w:vAlign w:val="bottom"/>
          </w:tcPr>
          <w:p w14:paraId="2ABCE10D" w14:textId="77777777" w:rsidR="002E375F" w:rsidRDefault="002E375F" w:rsidP="00943EF1">
            <w:pPr>
              <w:pStyle w:val="Heading3"/>
            </w:pPr>
          </w:p>
        </w:tc>
        <w:tc>
          <w:tcPr>
            <w:tcW w:w="964" w:type="dxa"/>
            <w:tcBorders>
              <w:top w:val="nil"/>
              <w:left w:val="nil"/>
              <w:bottom w:val="nil"/>
              <w:right w:val="nil"/>
            </w:tcBorders>
            <w:shd w:val="clear" w:color="auto" w:fill="FFFFFF"/>
            <w:vAlign w:val="bottom"/>
          </w:tcPr>
          <w:p w14:paraId="2B126CF1" w14:textId="77777777" w:rsidR="002E375F" w:rsidRPr="00862FE1" w:rsidRDefault="00EB2569" w:rsidP="00862FE1">
            <w:pPr>
              <w:pStyle w:val="Heading3"/>
              <w:jc w:val="right"/>
              <w:rPr>
                <w:b/>
              </w:rPr>
            </w:pPr>
            <w:r w:rsidRPr="007726EE">
              <w:rPr>
                <w:rFonts w:ascii="Arial" w:hAnsi="Arial" w:cs="Arial"/>
                <w:b/>
                <w:bCs/>
                <w:sz w:val="18"/>
                <w:szCs w:val="18"/>
              </w:rPr>
              <w:t>2020</w:t>
            </w:r>
            <w:r w:rsidRPr="007726EE">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7CEA1C62" w14:textId="77777777" w:rsidR="002E375F" w:rsidRPr="00A776CC" w:rsidRDefault="00EB2569" w:rsidP="00862FE1">
            <w:pPr>
              <w:pStyle w:val="Heading3"/>
              <w:jc w:val="right"/>
            </w:pPr>
            <w:r w:rsidRPr="00A776CC">
              <w:rPr>
                <w:rFonts w:ascii="Arial" w:hAnsi="Arial" w:cs="Arial"/>
                <w:sz w:val="18"/>
                <w:szCs w:val="18"/>
              </w:rPr>
              <w:t>2019</w:t>
            </w:r>
            <w:r w:rsidRPr="00A776CC">
              <w:rPr>
                <w:rFonts w:ascii="Arial" w:hAnsi="Arial" w:cs="Arial"/>
                <w:sz w:val="18"/>
                <w:szCs w:val="18"/>
              </w:rPr>
              <w:br/>
              <w:t>$'000</w:t>
            </w:r>
          </w:p>
        </w:tc>
        <w:tc>
          <w:tcPr>
            <w:tcW w:w="964" w:type="dxa"/>
            <w:tcBorders>
              <w:top w:val="nil"/>
              <w:left w:val="nil"/>
              <w:bottom w:val="nil"/>
              <w:right w:val="nil"/>
            </w:tcBorders>
            <w:shd w:val="clear" w:color="auto" w:fill="FFFFFF"/>
            <w:vAlign w:val="bottom"/>
          </w:tcPr>
          <w:p w14:paraId="3C4FDCB4" w14:textId="77777777" w:rsidR="002E375F" w:rsidRPr="00862FE1" w:rsidRDefault="00EB2569" w:rsidP="00862FE1">
            <w:pPr>
              <w:pStyle w:val="Heading3"/>
              <w:jc w:val="right"/>
              <w:rPr>
                <w:b/>
              </w:rPr>
            </w:pPr>
            <w:r w:rsidRPr="007726EE">
              <w:rPr>
                <w:rFonts w:ascii="Arial" w:hAnsi="Arial" w:cs="Arial"/>
                <w:b/>
                <w:bCs/>
                <w:sz w:val="18"/>
                <w:szCs w:val="18"/>
              </w:rPr>
              <w:t>2020</w:t>
            </w:r>
            <w:r w:rsidRPr="007726EE">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5ED2BE07" w14:textId="77777777" w:rsidR="002E375F" w:rsidRPr="00A776CC" w:rsidRDefault="00EB2569" w:rsidP="00862FE1">
            <w:pPr>
              <w:pStyle w:val="Heading3"/>
              <w:jc w:val="right"/>
            </w:pPr>
            <w:r w:rsidRPr="00A776CC">
              <w:rPr>
                <w:rFonts w:ascii="Arial" w:hAnsi="Arial" w:cs="Arial"/>
                <w:sz w:val="18"/>
                <w:szCs w:val="18"/>
              </w:rPr>
              <w:t>2019</w:t>
            </w:r>
            <w:r w:rsidRPr="00A776CC">
              <w:rPr>
                <w:rFonts w:ascii="Arial" w:hAnsi="Arial" w:cs="Arial"/>
                <w:sz w:val="18"/>
                <w:szCs w:val="18"/>
              </w:rPr>
              <w:br/>
              <w:t>$'000</w:t>
            </w:r>
          </w:p>
        </w:tc>
        <w:tc>
          <w:tcPr>
            <w:tcW w:w="964" w:type="dxa"/>
            <w:tcBorders>
              <w:top w:val="nil"/>
              <w:left w:val="nil"/>
              <w:bottom w:val="nil"/>
              <w:right w:val="nil"/>
            </w:tcBorders>
            <w:shd w:val="clear" w:color="auto" w:fill="FFFFFF"/>
            <w:vAlign w:val="bottom"/>
          </w:tcPr>
          <w:p w14:paraId="55D10E2C" w14:textId="77777777" w:rsidR="002E375F" w:rsidRPr="00862FE1" w:rsidRDefault="00EB2569" w:rsidP="00862FE1">
            <w:pPr>
              <w:pStyle w:val="Heading3"/>
              <w:jc w:val="right"/>
              <w:rPr>
                <w:b/>
              </w:rPr>
            </w:pPr>
            <w:r w:rsidRPr="007726EE">
              <w:rPr>
                <w:rFonts w:ascii="Arial" w:hAnsi="Arial" w:cs="Arial"/>
                <w:b/>
                <w:bCs/>
                <w:sz w:val="18"/>
                <w:szCs w:val="18"/>
              </w:rPr>
              <w:t>2020</w:t>
            </w:r>
            <w:r w:rsidRPr="007726EE">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5019A2F2" w14:textId="77777777" w:rsidR="002E375F" w:rsidRPr="00A776CC" w:rsidRDefault="00EB2569" w:rsidP="00862FE1">
            <w:pPr>
              <w:pStyle w:val="Heading3"/>
              <w:jc w:val="right"/>
            </w:pPr>
            <w:r w:rsidRPr="00A776CC">
              <w:rPr>
                <w:rFonts w:ascii="Arial" w:hAnsi="Arial" w:cs="Arial"/>
                <w:sz w:val="18"/>
                <w:szCs w:val="18"/>
              </w:rPr>
              <w:t>2019</w:t>
            </w:r>
            <w:r w:rsidRPr="00A776CC">
              <w:rPr>
                <w:rFonts w:ascii="Arial" w:hAnsi="Arial" w:cs="Arial"/>
                <w:sz w:val="18"/>
                <w:szCs w:val="18"/>
              </w:rPr>
              <w:br/>
              <w:t>$'000</w:t>
            </w:r>
          </w:p>
        </w:tc>
        <w:tc>
          <w:tcPr>
            <w:tcW w:w="964" w:type="dxa"/>
            <w:tcBorders>
              <w:top w:val="nil"/>
              <w:left w:val="nil"/>
              <w:bottom w:val="nil"/>
              <w:right w:val="nil"/>
            </w:tcBorders>
            <w:shd w:val="clear" w:color="auto" w:fill="FFFFFF"/>
            <w:vAlign w:val="bottom"/>
          </w:tcPr>
          <w:p w14:paraId="028D0C83" w14:textId="77777777" w:rsidR="002E375F" w:rsidRPr="00862FE1" w:rsidRDefault="00EB2569" w:rsidP="00862FE1">
            <w:pPr>
              <w:pStyle w:val="Heading3"/>
              <w:jc w:val="right"/>
              <w:rPr>
                <w:b/>
              </w:rPr>
            </w:pPr>
            <w:r w:rsidRPr="007726EE">
              <w:rPr>
                <w:rFonts w:ascii="Arial" w:hAnsi="Arial" w:cs="Arial"/>
                <w:b/>
                <w:bCs/>
                <w:sz w:val="18"/>
                <w:szCs w:val="18"/>
              </w:rPr>
              <w:t>2020</w:t>
            </w:r>
            <w:r w:rsidRPr="007726EE">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7825B4F5" w14:textId="77777777" w:rsidR="002E375F" w:rsidRPr="00A776CC" w:rsidRDefault="00EB2569" w:rsidP="00862FE1">
            <w:pPr>
              <w:pStyle w:val="Heading3"/>
              <w:jc w:val="right"/>
            </w:pPr>
            <w:r w:rsidRPr="00A776CC">
              <w:rPr>
                <w:rFonts w:ascii="Arial" w:hAnsi="Arial" w:cs="Arial"/>
                <w:sz w:val="18"/>
                <w:szCs w:val="18"/>
              </w:rPr>
              <w:t>2019</w:t>
            </w:r>
            <w:r w:rsidRPr="00A776CC">
              <w:rPr>
                <w:rFonts w:ascii="Arial" w:hAnsi="Arial" w:cs="Arial"/>
                <w:sz w:val="18"/>
                <w:szCs w:val="18"/>
              </w:rPr>
              <w:br/>
              <w:t>$'000</w:t>
            </w:r>
          </w:p>
        </w:tc>
      </w:tr>
      <w:tr w:rsidR="002E375F" w14:paraId="218F6E7F" w14:textId="77777777">
        <w:tc>
          <w:tcPr>
            <w:tcW w:w="1319" w:type="dxa"/>
            <w:tcBorders>
              <w:top w:val="nil"/>
              <w:left w:val="nil"/>
              <w:bottom w:val="nil"/>
              <w:right w:val="nil"/>
            </w:tcBorders>
            <w:shd w:val="clear" w:color="auto" w:fill="FFFFFF"/>
            <w:vAlign w:val="bottom"/>
          </w:tcPr>
          <w:p w14:paraId="5622B99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Payable</w:t>
            </w:r>
          </w:p>
        </w:tc>
        <w:tc>
          <w:tcPr>
            <w:tcW w:w="964" w:type="dxa"/>
            <w:tcBorders>
              <w:top w:val="nil"/>
              <w:left w:val="nil"/>
              <w:bottom w:val="nil"/>
              <w:right w:val="nil"/>
            </w:tcBorders>
            <w:shd w:val="clear" w:color="auto" w:fill="FFFFFF"/>
            <w:vAlign w:val="bottom"/>
          </w:tcPr>
          <w:p w14:paraId="0D379BA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95ADA17"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D6D735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AEE4897"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26391F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0E4552C"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2A4771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7A797BCD"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1ACCF8FD" w14:textId="77777777">
        <w:tc>
          <w:tcPr>
            <w:tcW w:w="1319" w:type="dxa"/>
            <w:tcBorders>
              <w:top w:val="nil"/>
              <w:left w:val="nil"/>
              <w:bottom w:val="nil"/>
              <w:right w:val="nil"/>
            </w:tcBorders>
            <w:shd w:val="clear" w:color="auto" w:fill="FFFFFF"/>
            <w:vAlign w:val="bottom"/>
          </w:tcPr>
          <w:p w14:paraId="168ED4D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Land and buildings</w:t>
            </w:r>
          </w:p>
        </w:tc>
        <w:tc>
          <w:tcPr>
            <w:tcW w:w="964" w:type="dxa"/>
            <w:tcBorders>
              <w:top w:val="nil"/>
              <w:left w:val="nil"/>
              <w:bottom w:val="nil"/>
              <w:right w:val="nil"/>
            </w:tcBorders>
            <w:shd w:val="clear" w:color="auto" w:fill="FFFFFF"/>
            <w:vAlign w:val="bottom"/>
          </w:tcPr>
          <w:p w14:paraId="0087A8E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12,666</w:t>
            </w:r>
          </w:p>
        </w:tc>
        <w:tc>
          <w:tcPr>
            <w:tcW w:w="964" w:type="dxa"/>
            <w:tcBorders>
              <w:top w:val="nil"/>
              <w:left w:val="nil"/>
              <w:bottom w:val="nil"/>
              <w:right w:val="nil"/>
            </w:tcBorders>
            <w:shd w:val="clear" w:color="auto" w:fill="FFFFFF"/>
            <w:vAlign w:val="bottom"/>
          </w:tcPr>
          <w:p w14:paraId="6F6852C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1,946</w:t>
            </w:r>
          </w:p>
        </w:tc>
        <w:tc>
          <w:tcPr>
            <w:tcW w:w="964" w:type="dxa"/>
            <w:tcBorders>
              <w:top w:val="nil"/>
              <w:left w:val="nil"/>
              <w:bottom w:val="nil"/>
              <w:right w:val="nil"/>
            </w:tcBorders>
            <w:shd w:val="clear" w:color="auto" w:fill="FFFFFF"/>
            <w:vAlign w:val="bottom"/>
          </w:tcPr>
          <w:p w14:paraId="103B9AF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59B4EDD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0D15317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01176C5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nil"/>
              <w:right w:val="nil"/>
            </w:tcBorders>
            <w:shd w:val="clear" w:color="auto" w:fill="FFFFFF"/>
            <w:vAlign w:val="bottom"/>
          </w:tcPr>
          <w:p w14:paraId="7AA3EB5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12,666</w:t>
            </w:r>
          </w:p>
        </w:tc>
        <w:tc>
          <w:tcPr>
            <w:tcW w:w="964" w:type="dxa"/>
            <w:tcBorders>
              <w:top w:val="nil"/>
              <w:left w:val="nil"/>
              <w:bottom w:val="nil"/>
              <w:right w:val="nil"/>
            </w:tcBorders>
            <w:shd w:val="clear" w:color="auto" w:fill="FFFFFF"/>
            <w:vAlign w:val="bottom"/>
          </w:tcPr>
          <w:p w14:paraId="7D8963F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1,946</w:t>
            </w:r>
          </w:p>
        </w:tc>
      </w:tr>
      <w:tr w:rsidR="002E375F" w14:paraId="5ABA4012" w14:textId="77777777">
        <w:tc>
          <w:tcPr>
            <w:tcW w:w="1319" w:type="dxa"/>
            <w:tcBorders>
              <w:top w:val="nil"/>
              <w:left w:val="nil"/>
              <w:bottom w:val="nil"/>
              <w:right w:val="nil"/>
            </w:tcBorders>
            <w:shd w:val="clear" w:color="auto" w:fill="FFFFFF"/>
            <w:vAlign w:val="bottom"/>
          </w:tcPr>
          <w:p w14:paraId="4478B7E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Intangibles</w:t>
            </w:r>
          </w:p>
        </w:tc>
        <w:tc>
          <w:tcPr>
            <w:tcW w:w="964" w:type="dxa"/>
            <w:tcBorders>
              <w:top w:val="nil"/>
              <w:left w:val="nil"/>
              <w:bottom w:val="single" w:sz="2" w:space="0" w:color="auto"/>
              <w:right w:val="nil"/>
            </w:tcBorders>
            <w:shd w:val="clear" w:color="auto" w:fill="FFFFFF"/>
            <w:vAlign w:val="bottom"/>
          </w:tcPr>
          <w:p w14:paraId="6635243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82</w:t>
            </w:r>
          </w:p>
        </w:tc>
        <w:tc>
          <w:tcPr>
            <w:tcW w:w="964" w:type="dxa"/>
            <w:tcBorders>
              <w:top w:val="nil"/>
              <w:left w:val="nil"/>
              <w:bottom w:val="single" w:sz="2" w:space="0" w:color="auto"/>
              <w:right w:val="nil"/>
            </w:tcBorders>
            <w:shd w:val="clear" w:color="auto" w:fill="FFFFFF"/>
            <w:vAlign w:val="bottom"/>
          </w:tcPr>
          <w:p w14:paraId="1FBC1EE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0EF9C56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1F17D41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702F787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682DB42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64" w:type="dxa"/>
            <w:tcBorders>
              <w:top w:val="nil"/>
              <w:left w:val="nil"/>
              <w:bottom w:val="single" w:sz="2" w:space="0" w:color="auto"/>
              <w:right w:val="nil"/>
            </w:tcBorders>
            <w:shd w:val="clear" w:color="auto" w:fill="FFFFFF"/>
            <w:vAlign w:val="bottom"/>
          </w:tcPr>
          <w:p w14:paraId="3C6592F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82</w:t>
            </w:r>
          </w:p>
        </w:tc>
        <w:tc>
          <w:tcPr>
            <w:tcW w:w="964" w:type="dxa"/>
            <w:tcBorders>
              <w:top w:val="nil"/>
              <w:left w:val="nil"/>
              <w:bottom w:val="single" w:sz="2" w:space="0" w:color="auto"/>
              <w:right w:val="nil"/>
            </w:tcBorders>
            <w:shd w:val="clear" w:color="auto" w:fill="FFFFFF"/>
            <w:vAlign w:val="bottom"/>
          </w:tcPr>
          <w:p w14:paraId="1FC4C4A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101C20B7" w14:textId="77777777">
        <w:tc>
          <w:tcPr>
            <w:tcW w:w="1319" w:type="dxa"/>
            <w:tcBorders>
              <w:top w:val="nil"/>
              <w:left w:val="nil"/>
              <w:bottom w:val="nil"/>
              <w:right w:val="nil"/>
            </w:tcBorders>
            <w:shd w:val="clear" w:color="auto" w:fill="FFFFFF"/>
            <w:vAlign w:val="bottom"/>
          </w:tcPr>
          <w:p w14:paraId="3638CBD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3BF157D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12,748</w:t>
            </w:r>
          </w:p>
        </w:tc>
        <w:tc>
          <w:tcPr>
            <w:tcW w:w="964" w:type="dxa"/>
            <w:tcBorders>
              <w:top w:val="nil"/>
              <w:left w:val="nil"/>
              <w:bottom w:val="single" w:sz="2" w:space="0" w:color="auto"/>
              <w:right w:val="nil"/>
            </w:tcBorders>
            <w:shd w:val="clear" w:color="auto" w:fill="FFFFFF"/>
            <w:vAlign w:val="bottom"/>
          </w:tcPr>
          <w:p w14:paraId="34C2BCC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1,946</w:t>
            </w:r>
          </w:p>
        </w:tc>
        <w:tc>
          <w:tcPr>
            <w:tcW w:w="964" w:type="dxa"/>
            <w:tcBorders>
              <w:top w:val="nil"/>
              <w:left w:val="nil"/>
              <w:bottom w:val="single" w:sz="2" w:space="0" w:color="auto"/>
              <w:right w:val="nil"/>
            </w:tcBorders>
            <w:shd w:val="clear" w:color="auto" w:fill="FFFFFF"/>
            <w:vAlign w:val="bottom"/>
          </w:tcPr>
          <w:p w14:paraId="2DD1D01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65284D4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562A927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3A418CA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7FBD25E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12,748</w:t>
            </w:r>
          </w:p>
        </w:tc>
        <w:tc>
          <w:tcPr>
            <w:tcW w:w="964" w:type="dxa"/>
            <w:tcBorders>
              <w:top w:val="nil"/>
              <w:left w:val="nil"/>
              <w:bottom w:val="single" w:sz="2" w:space="0" w:color="auto"/>
              <w:right w:val="nil"/>
            </w:tcBorders>
            <w:shd w:val="clear" w:color="auto" w:fill="FFFFFF"/>
            <w:vAlign w:val="bottom"/>
          </w:tcPr>
          <w:p w14:paraId="1663DCD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1,946</w:t>
            </w:r>
          </w:p>
        </w:tc>
      </w:tr>
    </w:tbl>
    <w:p w14:paraId="221FC295"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37788726" w14:textId="77777777" w:rsidR="0040568F" w:rsidRDefault="0040568F" w:rsidP="0040568F">
      <w:pPr>
        <w:pStyle w:val="Heading3"/>
      </w:pPr>
      <w:r>
        <w:t>D3-3 Grants and Subsidies Commitments</w:t>
      </w:r>
    </w:p>
    <w:p w14:paraId="25E59F6A" w14:textId="77777777" w:rsidR="002E375F" w:rsidRDefault="00EB2569">
      <w:pPr>
        <w:autoSpaceDE w:val="0"/>
        <w:autoSpaceDN w:val="0"/>
        <w:adjustRightInd w:val="0"/>
        <w:spacing w:after="141" w:line="240" w:lineRule="auto"/>
        <w:jc w:val="both"/>
        <w:rPr>
          <w:rFonts w:ascii="Times New Roman" w:hAnsi="Times New Roman" w:cs="Times New Roman"/>
          <w:sz w:val="24"/>
          <w:szCs w:val="24"/>
        </w:rPr>
      </w:pPr>
      <w:r>
        <w:rPr>
          <w:rFonts w:ascii="Arial" w:hAnsi="Arial" w:cs="Arial"/>
          <w:sz w:val="18"/>
          <w:szCs w:val="18"/>
        </w:rPr>
        <w:t>Commitments for grants and subsidies at reporting date (inclusive of non-recoverable GST input tax credits) are payable:</w:t>
      </w:r>
    </w:p>
    <w:tbl>
      <w:tblPr>
        <w:tblW w:w="9072" w:type="dxa"/>
        <w:tblLayout w:type="fixed"/>
        <w:tblCellMar>
          <w:left w:w="0" w:type="dxa"/>
          <w:right w:w="0" w:type="dxa"/>
        </w:tblCellMar>
        <w:tblLook w:val="0000" w:firstRow="0" w:lastRow="0" w:firstColumn="0" w:lastColumn="0" w:noHBand="0" w:noVBand="0"/>
      </w:tblPr>
      <w:tblGrid>
        <w:gridCol w:w="1531"/>
        <w:gridCol w:w="964"/>
        <w:gridCol w:w="908"/>
        <w:gridCol w:w="908"/>
        <w:gridCol w:w="908"/>
        <w:gridCol w:w="908"/>
        <w:gridCol w:w="908"/>
        <w:gridCol w:w="908"/>
        <w:gridCol w:w="1129"/>
      </w:tblGrid>
      <w:tr w:rsidR="002E375F" w14:paraId="707240D5" w14:textId="77777777" w:rsidTr="00862FE1">
        <w:tc>
          <w:tcPr>
            <w:tcW w:w="1531" w:type="dxa"/>
            <w:tcBorders>
              <w:top w:val="nil"/>
              <w:left w:val="nil"/>
              <w:bottom w:val="nil"/>
              <w:right w:val="nil"/>
            </w:tcBorders>
            <w:shd w:val="clear" w:color="auto" w:fill="FFFFFF"/>
            <w:vAlign w:val="bottom"/>
          </w:tcPr>
          <w:p w14:paraId="75215A7B" w14:textId="77777777" w:rsidR="002E375F" w:rsidRDefault="002E375F" w:rsidP="00862FE1">
            <w:pPr>
              <w:pStyle w:val="Heading3"/>
              <w:jc w:val="center"/>
            </w:pPr>
          </w:p>
        </w:tc>
        <w:tc>
          <w:tcPr>
            <w:tcW w:w="1872" w:type="dxa"/>
            <w:gridSpan w:val="2"/>
            <w:tcBorders>
              <w:top w:val="nil"/>
              <w:left w:val="nil"/>
              <w:bottom w:val="nil"/>
              <w:right w:val="nil"/>
            </w:tcBorders>
            <w:shd w:val="clear" w:color="auto" w:fill="FFFFFF"/>
            <w:vAlign w:val="bottom"/>
          </w:tcPr>
          <w:p w14:paraId="1B990AA2" w14:textId="77777777" w:rsidR="002E375F" w:rsidRDefault="00EB2569" w:rsidP="00862FE1">
            <w:pPr>
              <w:pStyle w:val="Heading3"/>
              <w:jc w:val="center"/>
            </w:pPr>
            <w:r>
              <w:rPr>
                <w:rFonts w:ascii="Arial" w:hAnsi="Arial" w:cs="Arial"/>
                <w:b/>
                <w:bCs/>
                <w:sz w:val="18"/>
                <w:szCs w:val="18"/>
              </w:rPr>
              <w:t>No later than</w:t>
            </w:r>
            <w:r>
              <w:rPr>
                <w:rFonts w:ascii="Arial" w:hAnsi="Arial" w:cs="Arial"/>
                <w:b/>
                <w:bCs/>
                <w:sz w:val="18"/>
                <w:szCs w:val="18"/>
              </w:rPr>
              <w:br/>
              <w:t>one year</w:t>
            </w:r>
          </w:p>
        </w:tc>
        <w:tc>
          <w:tcPr>
            <w:tcW w:w="1816" w:type="dxa"/>
            <w:gridSpan w:val="2"/>
            <w:tcBorders>
              <w:top w:val="nil"/>
              <w:left w:val="nil"/>
              <w:bottom w:val="nil"/>
              <w:right w:val="nil"/>
            </w:tcBorders>
            <w:shd w:val="clear" w:color="auto" w:fill="FFFFFF"/>
            <w:vAlign w:val="bottom"/>
          </w:tcPr>
          <w:p w14:paraId="5939BCB2" w14:textId="77777777" w:rsidR="002E375F" w:rsidRDefault="00EB2569" w:rsidP="00862FE1">
            <w:pPr>
              <w:pStyle w:val="Heading3"/>
              <w:jc w:val="center"/>
            </w:pPr>
            <w:r>
              <w:rPr>
                <w:rFonts w:ascii="Arial" w:hAnsi="Arial" w:cs="Arial"/>
                <w:b/>
                <w:bCs/>
                <w:sz w:val="18"/>
                <w:szCs w:val="18"/>
              </w:rPr>
              <w:t>Later than one year and not later than five years</w:t>
            </w:r>
          </w:p>
        </w:tc>
        <w:tc>
          <w:tcPr>
            <w:tcW w:w="1816" w:type="dxa"/>
            <w:gridSpan w:val="2"/>
            <w:tcBorders>
              <w:top w:val="nil"/>
              <w:left w:val="nil"/>
              <w:bottom w:val="nil"/>
              <w:right w:val="nil"/>
            </w:tcBorders>
            <w:shd w:val="clear" w:color="auto" w:fill="FFFFFF"/>
            <w:vAlign w:val="bottom"/>
          </w:tcPr>
          <w:p w14:paraId="1708DC52" w14:textId="77777777" w:rsidR="002E375F" w:rsidRDefault="00EB2569" w:rsidP="00862FE1">
            <w:pPr>
              <w:pStyle w:val="Heading3"/>
              <w:jc w:val="center"/>
            </w:pPr>
            <w:r>
              <w:rPr>
                <w:rFonts w:ascii="Arial" w:hAnsi="Arial" w:cs="Arial"/>
                <w:b/>
                <w:bCs/>
                <w:sz w:val="18"/>
                <w:szCs w:val="18"/>
              </w:rPr>
              <w:t>Longer than</w:t>
            </w:r>
            <w:r>
              <w:rPr>
                <w:rFonts w:ascii="Arial" w:hAnsi="Arial" w:cs="Arial"/>
                <w:b/>
                <w:bCs/>
                <w:sz w:val="18"/>
                <w:szCs w:val="18"/>
              </w:rPr>
              <w:br/>
              <w:t>five years</w:t>
            </w:r>
          </w:p>
        </w:tc>
        <w:tc>
          <w:tcPr>
            <w:tcW w:w="2037" w:type="dxa"/>
            <w:gridSpan w:val="2"/>
            <w:tcBorders>
              <w:top w:val="nil"/>
              <w:left w:val="nil"/>
              <w:bottom w:val="nil"/>
              <w:right w:val="nil"/>
            </w:tcBorders>
            <w:shd w:val="clear" w:color="auto" w:fill="FFFFFF"/>
            <w:vAlign w:val="bottom"/>
          </w:tcPr>
          <w:p w14:paraId="49F8FF98" w14:textId="77777777" w:rsidR="002E375F" w:rsidRDefault="00EB2569" w:rsidP="00862FE1">
            <w:pPr>
              <w:pStyle w:val="Heading3"/>
              <w:jc w:val="center"/>
            </w:pPr>
            <w:r>
              <w:rPr>
                <w:rFonts w:ascii="Arial" w:hAnsi="Arial" w:cs="Arial"/>
                <w:b/>
                <w:bCs/>
                <w:sz w:val="18"/>
                <w:szCs w:val="18"/>
              </w:rPr>
              <w:t>Total</w:t>
            </w:r>
          </w:p>
        </w:tc>
      </w:tr>
      <w:tr w:rsidR="002E375F" w14:paraId="16C34479" w14:textId="77777777" w:rsidTr="00862FE1">
        <w:tc>
          <w:tcPr>
            <w:tcW w:w="1531" w:type="dxa"/>
            <w:tcBorders>
              <w:top w:val="nil"/>
              <w:left w:val="nil"/>
              <w:bottom w:val="nil"/>
              <w:right w:val="nil"/>
            </w:tcBorders>
            <w:shd w:val="clear" w:color="auto" w:fill="FFFFFF"/>
            <w:vAlign w:val="bottom"/>
          </w:tcPr>
          <w:p w14:paraId="6A2E2AAE" w14:textId="77777777" w:rsidR="002E375F" w:rsidRDefault="002E375F" w:rsidP="00943EF1">
            <w:pPr>
              <w:pStyle w:val="Heading3"/>
            </w:pPr>
          </w:p>
        </w:tc>
        <w:tc>
          <w:tcPr>
            <w:tcW w:w="964" w:type="dxa"/>
            <w:tcBorders>
              <w:top w:val="nil"/>
              <w:left w:val="nil"/>
              <w:bottom w:val="nil"/>
              <w:right w:val="nil"/>
            </w:tcBorders>
            <w:shd w:val="clear" w:color="auto" w:fill="FFFFFF"/>
            <w:vAlign w:val="bottom"/>
          </w:tcPr>
          <w:p w14:paraId="0828466E"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08" w:type="dxa"/>
            <w:tcBorders>
              <w:top w:val="nil"/>
              <w:left w:val="nil"/>
              <w:bottom w:val="nil"/>
              <w:right w:val="nil"/>
            </w:tcBorders>
            <w:shd w:val="clear" w:color="auto" w:fill="FFFFFF"/>
            <w:vAlign w:val="bottom"/>
          </w:tcPr>
          <w:p w14:paraId="0C22AF0C" w14:textId="77777777" w:rsidR="002E375F" w:rsidRDefault="00EB2569" w:rsidP="00862FE1">
            <w:pPr>
              <w:pStyle w:val="Heading3"/>
              <w:jc w:val="right"/>
            </w:pPr>
            <w:r>
              <w:rPr>
                <w:rFonts w:ascii="Arial" w:hAnsi="Arial" w:cs="Arial"/>
                <w:sz w:val="18"/>
                <w:szCs w:val="18"/>
              </w:rPr>
              <w:t>2019</w:t>
            </w:r>
            <w:r>
              <w:rPr>
                <w:rFonts w:ascii="Arial" w:hAnsi="Arial" w:cs="Arial"/>
                <w:sz w:val="18"/>
                <w:szCs w:val="18"/>
              </w:rPr>
              <w:br/>
              <w:t>$'000</w:t>
            </w:r>
          </w:p>
        </w:tc>
        <w:tc>
          <w:tcPr>
            <w:tcW w:w="908" w:type="dxa"/>
            <w:tcBorders>
              <w:top w:val="nil"/>
              <w:left w:val="nil"/>
              <w:bottom w:val="nil"/>
              <w:right w:val="nil"/>
            </w:tcBorders>
            <w:shd w:val="clear" w:color="auto" w:fill="FFFFFF"/>
            <w:vAlign w:val="bottom"/>
          </w:tcPr>
          <w:p w14:paraId="29A224F8"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08" w:type="dxa"/>
            <w:tcBorders>
              <w:top w:val="nil"/>
              <w:left w:val="nil"/>
              <w:bottom w:val="nil"/>
              <w:right w:val="nil"/>
            </w:tcBorders>
            <w:shd w:val="clear" w:color="auto" w:fill="FFFFFF"/>
            <w:vAlign w:val="bottom"/>
          </w:tcPr>
          <w:p w14:paraId="4C710E1E" w14:textId="77777777" w:rsidR="002E375F" w:rsidRDefault="00EB2569" w:rsidP="00862FE1">
            <w:pPr>
              <w:pStyle w:val="Heading3"/>
              <w:jc w:val="right"/>
            </w:pPr>
            <w:r>
              <w:rPr>
                <w:rFonts w:ascii="Arial" w:hAnsi="Arial" w:cs="Arial"/>
                <w:sz w:val="18"/>
                <w:szCs w:val="18"/>
              </w:rPr>
              <w:t>2019</w:t>
            </w:r>
            <w:r>
              <w:rPr>
                <w:rFonts w:ascii="Arial" w:hAnsi="Arial" w:cs="Arial"/>
                <w:sz w:val="18"/>
                <w:szCs w:val="18"/>
              </w:rPr>
              <w:br/>
              <w:t>$'000</w:t>
            </w:r>
          </w:p>
        </w:tc>
        <w:tc>
          <w:tcPr>
            <w:tcW w:w="908" w:type="dxa"/>
            <w:tcBorders>
              <w:top w:val="nil"/>
              <w:left w:val="nil"/>
              <w:bottom w:val="nil"/>
              <w:right w:val="nil"/>
            </w:tcBorders>
            <w:shd w:val="clear" w:color="auto" w:fill="FFFFFF"/>
            <w:vAlign w:val="bottom"/>
          </w:tcPr>
          <w:p w14:paraId="28376E71"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08" w:type="dxa"/>
            <w:tcBorders>
              <w:top w:val="nil"/>
              <w:left w:val="nil"/>
              <w:bottom w:val="nil"/>
              <w:right w:val="nil"/>
            </w:tcBorders>
            <w:shd w:val="clear" w:color="auto" w:fill="FFFFFF"/>
            <w:vAlign w:val="bottom"/>
          </w:tcPr>
          <w:p w14:paraId="71949AD9" w14:textId="77777777" w:rsidR="002E375F" w:rsidRDefault="00EB2569" w:rsidP="00862FE1">
            <w:pPr>
              <w:pStyle w:val="Heading3"/>
              <w:jc w:val="right"/>
            </w:pPr>
            <w:r>
              <w:rPr>
                <w:rFonts w:ascii="Arial" w:hAnsi="Arial" w:cs="Arial"/>
                <w:sz w:val="18"/>
                <w:szCs w:val="18"/>
              </w:rPr>
              <w:t>2019</w:t>
            </w:r>
            <w:r>
              <w:rPr>
                <w:rFonts w:ascii="Arial" w:hAnsi="Arial" w:cs="Arial"/>
                <w:sz w:val="18"/>
                <w:szCs w:val="18"/>
              </w:rPr>
              <w:br/>
              <w:t>$'000</w:t>
            </w:r>
          </w:p>
        </w:tc>
        <w:tc>
          <w:tcPr>
            <w:tcW w:w="908" w:type="dxa"/>
            <w:tcBorders>
              <w:top w:val="nil"/>
              <w:left w:val="nil"/>
              <w:bottom w:val="nil"/>
              <w:right w:val="nil"/>
            </w:tcBorders>
            <w:shd w:val="clear" w:color="auto" w:fill="FFFFFF"/>
            <w:vAlign w:val="bottom"/>
          </w:tcPr>
          <w:p w14:paraId="6D0560B4"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1129" w:type="dxa"/>
            <w:tcBorders>
              <w:top w:val="nil"/>
              <w:left w:val="nil"/>
              <w:bottom w:val="nil"/>
              <w:right w:val="nil"/>
            </w:tcBorders>
            <w:shd w:val="clear" w:color="auto" w:fill="FFFFFF"/>
            <w:vAlign w:val="bottom"/>
          </w:tcPr>
          <w:p w14:paraId="025BCC8F" w14:textId="77777777" w:rsidR="002E375F" w:rsidRDefault="00EB2569" w:rsidP="00862FE1">
            <w:pPr>
              <w:pStyle w:val="Heading3"/>
              <w:jc w:val="right"/>
            </w:pPr>
            <w:r>
              <w:rPr>
                <w:rFonts w:ascii="Arial" w:hAnsi="Arial" w:cs="Arial"/>
                <w:sz w:val="18"/>
                <w:szCs w:val="18"/>
              </w:rPr>
              <w:t>2019</w:t>
            </w:r>
            <w:r>
              <w:rPr>
                <w:rFonts w:ascii="Arial" w:hAnsi="Arial" w:cs="Arial"/>
                <w:sz w:val="18"/>
                <w:szCs w:val="18"/>
              </w:rPr>
              <w:br/>
              <w:t>$'000</w:t>
            </w:r>
          </w:p>
        </w:tc>
      </w:tr>
      <w:tr w:rsidR="002E375F" w14:paraId="74469FF1" w14:textId="77777777" w:rsidTr="00862FE1">
        <w:tc>
          <w:tcPr>
            <w:tcW w:w="1531" w:type="dxa"/>
            <w:tcBorders>
              <w:top w:val="nil"/>
              <w:left w:val="nil"/>
              <w:bottom w:val="nil"/>
              <w:right w:val="nil"/>
            </w:tcBorders>
            <w:shd w:val="clear" w:color="auto" w:fill="FFFFFF"/>
            <w:vAlign w:val="bottom"/>
          </w:tcPr>
          <w:p w14:paraId="5C26841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Payable</w:t>
            </w:r>
          </w:p>
        </w:tc>
        <w:tc>
          <w:tcPr>
            <w:tcW w:w="964" w:type="dxa"/>
            <w:tcBorders>
              <w:top w:val="nil"/>
              <w:left w:val="nil"/>
              <w:bottom w:val="nil"/>
              <w:right w:val="nil"/>
            </w:tcBorders>
            <w:shd w:val="clear" w:color="auto" w:fill="FFFFFF"/>
            <w:vAlign w:val="bottom"/>
          </w:tcPr>
          <w:p w14:paraId="4CA7392E"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08" w:type="dxa"/>
            <w:tcBorders>
              <w:top w:val="nil"/>
              <w:left w:val="nil"/>
              <w:bottom w:val="nil"/>
              <w:right w:val="nil"/>
            </w:tcBorders>
            <w:shd w:val="clear" w:color="auto" w:fill="FFFFFF"/>
            <w:vAlign w:val="bottom"/>
          </w:tcPr>
          <w:p w14:paraId="4649821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08" w:type="dxa"/>
            <w:tcBorders>
              <w:top w:val="nil"/>
              <w:left w:val="nil"/>
              <w:bottom w:val="nil"/>
              <w:right w:val="nil"/>
            </w:tcBorders>
            <w:shd w:val="clear" w:color="auto" w:fill="FFFFFF"/>
            <w:vAlign w:val="bottom"/>
          </w:tcPr>
          <w:p w14:paraId="0D1060C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08" w:type="dxa"/>
            <w:tcBorders>
              <w:top w:val="nil"/>
              <w:left w:val="nil"/>
              <w:bottom w:val="nil"/>
              <w:right w:val="nil"/>
            </w:tcBorders>
            <w:shd w:val="clear" w:color="auto" w:fill="FFFFFF"/>
            <w:vAlign w:val="bottom"/>
          </w:tcPr>
          <w:p w14:paraId="485E9E5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08" w:type="dxa"/>
            <w:tcBorders>
              <w:top w:val="nil"/>
              <w:left w:val="nil"/>
              <w:bottom w:val="nil"/>
              <w:right w:val="nil"/>
            </w:tcBorders>
            <w:shd w:val="clear" w:color="auto" w:fill="FFFFFF"/>
            <w:vAlign w:val="bottom"/>
          </w:tcPr>
          <w:p w14:paraId="70EE6CB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08" w:type="dxa"/>
            <w:tcBorders>
              <w:top w:val="nil"/>
              <w:left w:val="nil"/>
              <w:bottom w:val="nil"/>
              <w:right w:val="nil"/>
            </w:tcBorders>
            <w:shd w:val="clear" w:color="auto" w:fill="FFFFFF"/>
            <w:vAlign w:val="bottom"/>
          </w:tcPr>
          <w:p w14:paraId="05CC9566"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08" w:type="dxa"/>
            <w:tcBorders>
              <w:top w:val="nil"/>
              <w:left w:val="nil"/>
              <w:bottom w:val="nil"/>
              <w:right w:val="nil"/>
            </w:tcBorders>
            <w:shd w:val="clear" w:color="auto" w:fill="FFFFFF"/>
            <w:vAlign w:val="bottom"/>
          </w:tcPr>
          <w:p w14:paraId="148C2E7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1129" w:type="dxa"/>
            <w:tcBorders>
              <w:top w:val="nil"/>
              <w:left w:val="nil"/>
              <w:bottom w:val="nil"/>
              <w:right w:val="nil"/>
            </w:tcBorders>
            <w:shd w:val="clear" w:color="auto" w:fill="FFFFFF"/>
            <w:vAlign w:val="bottom"/>
          </w:tcPr>
          <w:p w14:paraId="60DF5ED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255B5337" w14:textId="77777777" w:rsidTr="00862FE1">
        <w:tc>
          <w:tcPr>
            <w:tcW w:w="1531" w:type="dxa"/>
            <w:tcBorders>
              <w:top w:val="nil"/>
              <w:left w:val="nil"/>
              <w:bottom w:val="nil"/>
              <w:right w:val="nil"/>
            </w:tcBorders>
            <w:shd w:val="clear" w:color="auto" w:fill="FFFFFF"/>
            <w:vAlign w:val="bottom"/>
          </w:tcPr>
          <w:p w14:paraId="5472DD1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Community Services*</w:t>
            </w:r>
          </w:p>
        </w:tc>
        <w:tc>
          <w:tcPr>
            <w:tcW w:w="964" w:type="dxa"/>
            <w:tcBorders>
              <w:top w:val="nil"/>
              <w:left w:val="nil"/>
              <w:bottom w:val="nil"/>
              <w:right w:val="nil"/>
            </w:tcBorders>
            <w:shd w:val="clear" w:color="auto" w:fill="FFFFFF"/>
            <w:vAlign w:val="bottom"/>
          </w:tcPr>
          <w:p w14:paraId="5598444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11,742</w:t>
            </w:r>
          </w:p>
        </w:tc>
        <w:tc>
          <w:tcPr>
            <w:tcW w:w="908" w:type="dxa"/>
            <w:tcBorders>
              <w:top w:val="nil"/>
              <w:left w:val="nil"/>
              <w:bottom w:val="nil"/>
              <w:right w:val="nil"/>
            </w:tcBorders>
            <w:shd w:val="clear" w:color="auto" w:fill="FFFFFF"/>
            <w:vAlign w:val="bottom"/>
          </w:tcPr>
          <w:p w14:paraId="4D7FFC8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2,885</w:t>
            </w:r>
          </w:p>
        </w:tc>
        <w:tc>
          <w:tcPr>
            <w:tcW w:w="908" w:type="dxa"/>
            <w:tcBorders>
              <w:top w:val="nil"/>
              <w:left w:val="nil"/>
              <w:bottom w:val="nil"/>
              <w:right w:val="nil"/>
            </w:tcBorders>
            <w:shd w:val="clear" w:color="auto" w:fill="FFFFFF"/>
            <w:vAlign w:val="bottom"/>
          </w:tcPr>
          <w:p w14:paraId="4206E13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5,885</w:t>
            </w:r>
          </w:p>
        </w:tc>
        <w:tc>
          <w:tcPr>
            <w:tcW w:w="908" w:type="dxa"/>
            <w:tcBorders>
              <w:top w:val="nil"/>
              <w:left w:val="nil"/>
              <w:bottom w:val="nil"/>
              <w:right w:val="nil"/>
            </w:tcBorders>
            <w:shd w:val="clear" w:color="auto" w:fill="FFFFFF"/>
            <w:vAlign w:val="bottom"/>
          </w:tcPr>
          <w:p w14:paraId="1CFADA9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2,839</w:t>
            </w:r>
          </w:p>
        </w:tc>
        <w:tc>
          <w:tcPr>
            <w:tcW w:w="908" w:type="dxa"/>
            <w:tcBorders>
              <w:top w:val="nil"/>
              <w:left w:val="nil"/>
              <w:bottom w:val="nil"/>
              <w:right w:val="nil"/>
            </w:tcBorders>
            <w:shd w:val="clear" w:color="auto" w:fill="FFFFFF"/>
            <w:vAlign w:val="bottom"/>
          </w:tcPr>
          <w:p w14:paraId="5EA0A40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08" w:type="dxa"/>
            <w:tcBorders>
              <w:top w:val="nil"/>
              <w:left w:val="nil"/>
              <w:bottom w:val="nil"/>
              <w:right w:val="nil"/>
            </w:tcBorders>
            <w:shd w:val="clear" w:color="auto" w:fill="FFFFFF"/>
            <w:vAlign w:val="bottom"/>
          </w:tcPr>
          <w:p w14:paraId="53C0895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08" w:type="dxa"/>
            <w:tcBorders>
              <w:top w:val="nil"/>
              <w:left w:val="nil"/>
              <w:bottom w:val="nil"/>
              <w:right w:val="nil"/>
            </w:tcBorders>
            <w:shd w:val="clear" w:color="auto" w:fill="FFFFFF"/>
            <w:vAlign w:val="bottom"/>
          </w:tcPr>
          <w:p w14:paraId="1C61935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17,627</w:t>
            </w:r>
          </w:p>
        </w:tc>
        <w:tc>
          <w:tcPr>
            <w:tcW w:w="1129" w:type="dxa"/>
            <w:tcBorders>
              <w:top w:val="nil"/>
              <w:left w:val="nil"/>
              <w:bottom w:val="nil"/>
              <w:right w:val="nil"/>
            </w:tcBorders>
            <w:shd w:val="clear" w:color="auto" w:fill="FFFFFF"/>
            <w:vAlign w:val="bottom"/>
          </w:tcPr>
          <w:p w14:paraId="665D538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5,724</w:t>
            </w:r>
          </w:p>
        </w:tc>
      </w:tr>
      <w:tr w:rsidR="002E375F" w14:paraId="4D70674C" w14:textId="77777777" w:rsidTr="00862FE1">
        <w:tc>
          <w:tcPr>
            <w:tcW w:w="1531" w:type="dxa"/>
            <w:tcBorders>
              <w:top w:val="nil"/>
              <w:left w:val="nil"/>
              <w:bottom w:val="nil"/>
              <w:right w:val="nil"/>
            </w:tcBorders>
            <w:shd w:val="clear" w:color="auto" w:fill="FFFFFF"/>
            <w:vAlign w:val="bottom"/>
          </w:tcPr>
          <w:p w14:paraId="3B943CA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Seniors Services</w:t>
            </w:r>
          </w:p>
        </w:tc>
        <w:tc>
          <w:tcPr>
            <w:tcW w:w="964" w:type="dxa"/>
            <w:tcBorders>
              <w:top w:val="nil"/>
              <w:left w:val="nil"/>
              <w:bottom w:val="single" w:sz="2" w:space="0" w:color="auto"/>
              <w:right w:val="nil"/>
            </w:tcBorders>
            <w:shd w:val="clear" w:color="auto" w:fill="FFFFFF"/>
            <w:vAlign w:val="bottom"/>
          </w:tcPr>
          <w:p w14:paraId="40E773B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212</w:t>
            </w:r>
          </w:p>
        </w:tc>
        <w:tc>
          <w:tcPr>
            <w:tcW w:w="908" w:type="dxa"/>
            <w:tcBorders>
              <w:top w:val="nil"/>
              <w:left w:val="nil"/>
              <w:bottom w:val="single" w:sz="2" w:space="0" w:color="auto"/>
              <w:right w:val="nil"/>
            </w:tcBorders>
            <w:shd w:val="clear" w:color="auto" w:fill="FFFFFF"/>
            <w:vAlign w:val="bottom"/>
          </w:tcPr>
          <w:p w14:paraId="0A4EEAE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212</w:t>
            </w:r>
          </w:p>
        </w:tc>
        <w:tc>
          <w:tcPr>
            <w:tcW w:w="908" w:type="dxa"/>
            <w:tcBorders>
              <w:top w:val="nil"/>
              <w:left w:val="nil"/>
              <w:bottom w:val="single" w:sz="2" w:space="0" w:color="auto"/>
              <w:right w:val="nil"/>
            </w:tcBorders>
            <w:shd w:val="clear" w:color="auto" w:fill="FFFFFF"/>
            <w:vAlign w:val="bottom"/>
          </w:tcPr>
          <w:p w14:paraId="10976FD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106</w:t>
            </w:r>
          </w:p>
        </w:tc>
        <w:tc>
          <w:tcPr>
            <w:tcW w:w="908" w:type="dxa"/>
            <w:tcBorders>
              <w:top w:val="nil"/>
              <w:left w:val="nil"/>
              <w:bottom w:val="single" w:sz="2" w:space="0" w:color="auto"/>
              <w:right w:val="nil"/>
            </w:tcBorders>
            <w:shd w:val="clear" w:color="auto" w:fill="FFFFFF"/>
            <w:vAlign w:val="bottom"/>
          </w:tcPr>
          <w:p w14:paraId="1CA9B07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319</w:t>
            </w:r>
          </w:p>
        </w:tc>
        <w:tc>
          <w:tcPr>
            <w:tcW w:w="908" w:type="dxa"/>
            <w:tcBorders>
              <w:top w:val="nil"/>
              <w:left w:val="nil"/>
              <w:bottom w:val="single" w:sz="2" w:space="0" w:color="auto"/>
              <w:right w:val="nil"/>
            </w:tcBorders>
            <w:shd w:val="clear" w:color="auto" w:fill="FFFFFF"/>
            <w:vAlign w:val="bottom"/>
          </w:tcPr>
          <w:p w14:paraId="34E2C12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08" w:type="dxa"/>
            <w:tcBorders>
              <w:top w:val="nil"/>
              <w:left w:val="nil"/>
              <w:bottom w:val="single" w:sz="2" w:space="0" w:color="auto"/>
              <w:right w:val="nil"/>
            </w:tcBorders>
            <w:shd w:val="clear" w:color="auto" w:fill="FFFFFF"/>
            <w:vAlign w:val="bottom"/>
          </w:tcPr>
          <w:p w14:paraId="7A18064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08" w:type="dxa"/>
            <w:tcBorders>
              <w:top w:val="nil"/>
              <w:left w:val="nil"/>
              <w:bottom w:val="single" w:sz="2" w:space="0" w:color="auto"/>
              <w:right w:val="nil"/>
            </w:tcBorders>
            <w:shd w:val="clear" w:color="auto" w:fill="FFFFFF"/>
            <w:vAlign w:val="bottom"/>
          </w:tcPr>
          <w:p w14:paraId="06B58BD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318</w:t>
            </w:r>
          </w:p>
        </w:tc>
        <w:tc>
          <w:tcPr>
            <w:tcW w:w="1129" w:type="dxa"/>
            <w:tcBorders>
              <w:top w:val="nil"/>
              <w:left w:val="nil"/>
              <w:bottom w:val="single" w:sz="2" w:space="0" w:color="auto"/>
              <w:right w:val="nil"/>
            </w:tcBorders>
            <w:shd w:val="clear" w:color="auto" w:fill="FFFFFF"/>
            <w:vAlign w:val="bottom"/>
          </w:tcPr>
          <w:p w14:paraId="7DC36E6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531</w:t>
            </w:r>
          </w:p>
        </w:tc>
      </w:tr>
      <w:tr w:rsidR="002E375F" w14:paraId="54D184F8" w14:textId="77777777" w:rsidTr="00862FE1">
        <w:tc>
          <w:tcPr>
            <w:tcW w:w="1531" w:type="dxa"/>
            <w:tcBorders>
              <w:top w:val="nil"/>
              <w:left w:val="nil"/>
              <w:bottom w:val="nil"/>
              <w:right w:val="nil"/>
            </w:tcBorders>
            <w:shd w:val="clear" w:color="auto" w:fill="FFFFFF"/>
            <w:vAlign w:val="bottom"/>
          </w:tcPr>
          <w:p w14:paraId="6C37B9D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30E0F77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11,954</w:t>
            </w:r>
          </w:p>
        </w:tc>
        <w:tc>
          <w:tcPr>
            <w:tcW w:w="908" w:type="dxa"/>
            <w:tcBorders>
              <w:top w:val="nil"/>
              <w:left w:val="nil"/>
              <w:bottom w:val="single" w:sz="2" w:space="0" w:color="auto"/>
              <w:right w:val="nil"/>
            </w:tcBorders>
            <w:shd w:val="clear" w:color="auto" w:fill="FFFFFF"/>
            <w:vAlign w:val="bottom"/>
          </w:tcPr>
          <w:p w14:paraId="4181ACF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3,097</w:t>
            </w:r>
          </w:p>
        </w:tc>
        <w:tc>
          <w:tcPr>
            <w:tcW w:w="908" w:type="dxa"/>
            <w:tcBorders>
              <w:top w:val="nil"/>
              <w:left w:val="nil"/>
              <w:bottom w:val="single" w:sz="2" w:space="0" w:color="auto"/>
              <w:right w:val="nil"/>
            </w:tcBorders>
            <w:shd w:val="clear" w:color="auto" w:fill="FFFFFF"/>
            <w:vAlign w:val="bottom"/>
          </w:tcPr>
          <w:p w14:paraId="26D4CCA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5,991</w:t>
            </w:r>
          </w:p>
        </w:tc>
        <w:tc>
          <w:tcPr>
            <w:tcW w:w="908" w:type="dxa"/>
            <w:tcBorders>
              <w:top w:val="nil"/>
              <w:left w:val="nil"/>
              <w:bottom w:val="single" w:sz="2" w:space="0" w:color="auto"/>
              <w:right w:val="nil"/>
            </w:tcBorders>
            <w:shd w:val="clear" w:color="auto" w:fill="FFFFFF"/>
            <w:vAlign w:val="bottom"/>
          </w:tcPr>
          <w:p w14:paraId="4CBB1AF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3,158</w:t>
            </w:r>
          </w:p>
        </w:tc>
        <w:tc>
          <w:tcPr>
            <w:tcW w:w="908" w:type="dxa"/>
            <w:tcBorders>
              <w:top w:val="nil"/>
              <w:left w:val="nil"/>
              <w:bottom w:val="single" w:sz="2" w:space="0" w:color="auto"/>
              <w:right w:val="nil"/>
            </w:tcBorders>
            <w:shd w:val="clear" w:color="auto" w:fill="FFFFFF"/>
            <w:vAlign w:val="bottom"/>
          </w:tcPr>
          <w:p w14:paraId="41069E2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08" w:type="dxa"/>
            <w:tcBorders>
              <w:top w:val="nil"/>
              <w:left w:val="nil"/>
              <w:bottom w:val="single" w:sz="2" w:space="0" w:color="auto"/>
              <w:right w:val="nil"/>
            </w:tcBorders>
            <w:shd w:val="clear" w:color="auto" w:fill="FFFFFF"/>
            <w:vAlign w:val="bottom"/>
          </w:tcPr>
          <w:p w14:paraId="35EEBE0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08" w:type="dxa"/>
            <w:tcBorders>
              <w:top w:val="nil"/>
              <w:left w:val="nil"/>
              <w:bottom w:val="single" w:sz="2" w:space="0" w:color="auto"/>
              <w:right w:val="nil"/>
            </w:tcBorders>
            <w:shd w:val="clear" w:color="auto" w:fill="FFFFFF"/>
            <w:vAlign w:val="bottom"/>
          </w:tcPr>
          <w:p w14:paraId="22FDB7D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17,945</w:t>
            </w:r>
          </w:p>
        </w:tc>
        <w:tc>
          <w:tcPr>
            <w:tcW w:w="1129" w:type="dxa"/>
            <w:tcBorders>
              <w:top w:val="nil"/>
              <w:left w:val="nil"/>
              <w:bottom w:val="single" w:sz="2" w:space="0" w:color="auto"/>
              <w:right w:val="nil"/>
            </w:tcBorders>
            <w:shd w:val="clear" w:color="auto" w:fill="FFFFFF"/>
            <w:vAlign w:val="bottom"/>
          </w:tcPr>
          <w:p w14:paraId="7A817E2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6,255</w:t>
            </w:r>
          </w:p>
        </w:tc>
      </w:tr>
    </w:tbl>
    <w:p w14:paraId="04E70007" w14:textId="77777777" w:rsidR="002E375F" w:rsidRDefault="00EB2569">
      <w:pPr>
        <w:autoSpaceDE w:val="0"/>
        <w:autoSpaceDN w:val="0"/>
        <w:adjustRightInd w:val="0"/>
        <w:spacing w:after="141" w:line="240" w:lineRule="auto"/>
        <w:jc w:val="both"/>
        <w:rPr>
          <w:rFonts w:ascii="Times New Roman" w:hAnsi="Times New Roman" w:cs="Times New Roman"/>
          <w:sz w:val="24"/>
          <w:szCs w:val="24"/>
        </w:rPr>
      </w:pPr>
      <w:r>
        <w:rPr>
          <w:rFonts w:ascii="Arial" w:hAnsi="Arial" w:cs="Arial"/>
          <w:sz w:val="18"/>
          <w:szCs w:val="18"/>
        </w:rPr>
        <w:t>* Community Services now includes the Community Care category that was previously reported separately in the department's 2018-19 financial statements. As a result the department's comparatives have been restated to reflect this.</w:t>
      </w:r>
    </w:p>
    <w:p w14:paraId="2CF8CF88"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603E56B7"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5291A12B"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37E0BDAC"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43D93B29"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7FBF7F43" w14:textId="77777777" w:rsidR="007408B2" w:rsidRDefault="007408B2" w:rsidP="007408B2">
      <w:pPr>
        <w:pStyle w:val="Heading3"/>
      </w:pPr>
      <w:r>
        <w:t>D3 Commitments (continued)</w:t>
      </w:r>
    </w:p>
    <w:p w14:paraId="708238B4" w14:textId="77777777" w:rsidR="007408B2" w:rsidRDefault="007408B2" w:rsidP="007408B2">
      <w:pPr>
        <w:pStyle w:val="Heading3"/>
      </w:pPr>
      <w:r>
        <w:t>D3-4 Service Procurement Commitments</w:t>
      </w:r>
    </w:p>
    <w:p w14:paraId="4EC64BE6" w14:textId="77777777" w:rsidR="002E375F" w:rsidRDefault="00EB2569">
      <w:pPr>
        <w:autoSpaceDE w:val="0"/>
        <w:autoSpaceDN w:val="0"/>
        <w:adjustRightInd w:val="0"/>
        <w:spacing w:after="141" w:line="240" w:lineRule="auto"/>
        <w:jc w:val="both"/>
        <w:rPr>
          <w:rFonts w:ascii="Times New Roman" w:hAnsi="Times New Roman" w:cs="Times New Roman"/>
          <w:sz w:val="24"/>
          <w:szCs w:val="24"/>
        </w:rPr>
      </w:pPr>
      <w:r>
        <w:rPr>
          <w:rFonts w:ascii="Arial" w:hAnsi="Arial" w:cs="Arial"/>
          <w:sz w:val="18"/>
          <w:szCs w:val="18"/>
        </w:rPr>
        <w:t>Commitments for service procurement at reporting date (inclusive of non-recoverable GST input tax credits) are payable:</w:t>
      </w:r>
    </w:p>
    <w:tbl>
      <w:tblPr>
        <w:tblW w:w="0" w:type="auto"/>
        <w:tblLayout w:type="fixed"/>
        <w:tblCellMar>
          <w:left w:w="0" w:type="dxa"/>
          <w:right w:w="0" w:type="dxa"/>
        </w:tblCellMar>
        <w:tblLook w:val="0000" w:firstRow="0" w:lastRow="0" w:firstColumn="0" w:lastColumn="0" w:noHBand="0" w:noVBand="0"/>
      </w:tblPr>
      <w:tblGrid>
        <w:gridCol w:w="1702"/>
        <w:gridCol w:w="964"/>
        <w:gridCol w:w="908"/>
        <w:gridCol w:w="908"/>
        <w:gridCol w:w="908"/>
        <w:gridCol w:w="908"/>
        <w:gridCol w:w="908"/>
        <w:gridCol w:w="908"/>
        <w:gridCol w:w="908"/>
      </w:tblGrid>
      <w:tr w:rsidR="002E375F" w14:paraId="41B1B742" w14:textId="77777777">
        <w:tc>
          <w:tcPr>
            <w:tcW w:w="1702" w:type="dxa"/>
            <w:tcBorders>
              <w:top w:val="nil"/>
              <w:left w:val="nil"/>
              <w:bottom w:val="nil"/>
              <w:right w:val="nil"/>
            </w:tcBorders>
            <w:shd w:val="clear" w:color="auto" w:fill="FFFFFF"/>
            <w:vAlign w:val="bottom"/>
          </w:tcPr>
          <w:p w14:paraId="285A8FCC" w14:textId="77777777" w:rsidR="002E375F" w:rsidRDefault="002E375F" w:rsidP="00862FE1">
            <w:pPr>
              <w:pStyle w:val="Heading3"/>
              <w:jc w:val="center"/>
            </w:pPr>
          </w:p>
        </w:tc>
        <w:tc>
          <w:tcPr>
            <w:tcW w:w="1872" w:type="dxa"/>
            <w:gridSpan w:val="2"/>
            <w:tcBorders>
              <w:top w:val="nil"/>
              <w:left w:val="nil"/>
              <w:bottom w:val="nil"/>
              <w:right w:val="nil"/>
            </w:tcBorders>
            <w:shd w:val="clear" w:color="auto" w:fill="FFFFFF"/>
            <w:vAlign w:val="bottom"/>
          </w:tcPr>
          <w:p w14:paraId="354B4566" w14:textId="77777777" w:rsidR="002E375F" w:rsidRDefault="00EB2569" w:rsidP="00862FE1">
            <w:pPr>
              <w:pStyle w:val="Heading3"/>
              <w:jc w:val="center"/>
            </w:pPr>
            <w:r>
              <w:rPr>
                <w:rFonts w:ascii="Arial" w:hAnsi="Arial" w:cs="Arial"/>
                <w:b/>
                <w:bCs/>
                <w:sz w:val="18"/>
                <w:szCs w:val="18"/>
              </w:rPr>
              <w:t>No later than</w:t>
            </w:r>
            <w:r>
              <w:rPr>
                <w:rFonts w:ascii="Arial" w:hAnsi="Arial" w:cs="Arial"/>
                <w:b/>
                <w:bCs/>
                <w:sz w:val="18"/>
                <w:szCs w:val="18"/>
              </w:rPr>
              <w:br/>
              <w:t>one year</w:t>
            </w:r>
          </w:p>
        </w:tc>
        <w:tc>
          <w:tcPr>
            <w:tcW w:w="1815" w:type="dxa"/>
            <w:gridSpan w:val="2"/>
            <w:tcBorders>
              <w:top w:val="nil"/>
              <w:left w:val="nil"/>
              <w:bottom w:val="nil"/>
              <w:right w:val="nil"/>
            </w:tcBorders>
            <w:shd w:val="clear" w:color="auto" w:fill="FFFFFF"/>
            <w:vAlign w:val="bottom"/>
          </w:tcPr>
          <w:p w14:paraId="23B22E0D" w14:textId="77777777" w:rsidR="002E375F" w:rsidRDefault="00EB2569" w:rsidP="00862FE1">
            <w:pPr>
              <w:pStyle w:val="Heading3"/>
              <w:jc w:val="center"/>
            </w:pPr>
            <w:r>
              <w:rPr>
                <w:rFonts w:ascii="Arial" w:hAnsi="Arial" w:cs="Arial"/>
                <w:b/>
                <w:bCs/>
                <w:sz w:val="18"/>
                <w:szCs w:val="18"/>
              </w:rPr>
              <w:t>Later than one year and not later than five years</w:t>
            </w:r>
          </w:p>
        </w:tc>
        <w:tc>
          <w:tcPr>
            <w:tcW w:w="1815" w:type="dxa"/>
            <w:gridSpan w:val="2"/>
            <w:tcBorders>
              <w:top w:val="nil"/>
              <w:left w:val="nil"/>
              <w:bottom w:val="nil"/>
              <w:right w:val="nil"/>
            </w:tcBorders>
            <w:shd w:val="clear" w:color="auto" w:fill="FFFFFF"/>
            <w:vAlign w:val="bottom"/>
          </w:tcPr>
          <w:p w14:paraId="059D73F4" w14:textId="77777777" w:rsidR="002E375F" w:rsidRDefault="00EB2569" w:rsidP="00862FE1">
            <w:pPr>
              <w:pStyle w:val="Heading3"/>
              <w:jc w:val="center"/>
            </w:pPr>
            <w:r>
              <w:rPr>
                <w:rFonts w:ascii="Arial" w:hAnsi="Arial" w:cs="Arial"/>
                <w:b/>
                <w:bCs/>
                <w:sz w:val="18"/>
                <w:szCs w:val="18"/>
              </w:rPr>
              <w:t>Longer than</w:t>
            </w:r>
            <w:r>
              <w:rPr>
                <w:rFonts w:ascii="Arial" w:hAnsi="Arial" w:cs="Arial"/>
                <w:b/>
                <w:bCs/>
                <w:sz w:val="18"/>
                <w:szCs w:val="18"/>
              </w:rPr>
              <w:br/>
              <w:t>five years</w:t>
            </w:r>
          </w:p>
        </w:tc>
        <w:tc>
          <w:tcPr>
            <w:tcW w:w="1815" w:type="dxa"/>
            <w:gridSpan w:val="2"/>
            <w:tcBorders>
              <w:top w:val="nil"/>
              <w:left w:val="nil"/>
              <w:bottom w:val="nil"/>
              <w:right w:val="nil"/>
            </w:tcBorders>
            <w:shd w:val="clear" w:color="auto" w:fill="FFFFFF"/>
            <w:vAlign w:val="bottom"/>
          </w:tcPr>
          <w:p w14:paraId="04761935" w14:textId="77777777" w:rsidR="002E375F" w:rsidRDefault="00EB2569" w:rsidP="00862FE1">
            <w:pPr>
              <w:pStyle w:val="Heading3"/>
              <w:jc w:val="center"/>
            </w:pPr>
            <w:r>
              <w:rPr>
                <w:rFonts w:ascii="Arial" w:hAnsi="Arial" w:cs="Arial"/>
                <w:b/>
                <w:bCs/>
                <w:sz w:val="18"/>
                <w:szCs w:val="18"/>
              </w:rPr>
              <w:t>Total</w:t>
            </w:r>
          </w:p>
        </w:tc>
      </w:tr>
      <w:tr w:rsidR="002E375F" w14:paraId="683E8055" w14:textId="77777777">
        <w:tc>
          <w:tcPr>
            <w:tcW w:w="1702" w:type="dxa"/>
            <w:tcBorders>
              <w:top w:val="nil"/>
              <w:left w:val="nil"/>
              <w:bottom w:val="nil"/>
              <w:right w:val="nil"/>
            </w:tcBorders>
            <w:shd w:val="clear" w:color="auto" w:fill="FFFFFF"/>
            <w:vAlign w:val="bottom"/>
          </w:tcPr>
          <w:p w14:paraId="59D030DF" w14:textId="77777777" w:rsidR="002E375F" w:rsidRDefault="002E375F" w:rsidP="00943EF1">
            <w:pPr>
              <w:pStyle w:val="Heading3"/>
            </w:pPr>
          </w:p>
        </w:tc>
        <w:tc>
          <w:tcPr>
            <w:tcW w:w="964" w:type="dxa"/>
            <w:tcBorders>
              <w:top w:val="nil"/>
              <w:left w:val="nil"/>
              <w:bottom w:val="nil"/>
              <w:right w:val="nil"/>
            </w:tcBorders>
            <w:shd w:val="clear" w:color="auto" w:fill="FFFFFF"/>
            <w:vAlign w:val="bottom"/>
          </w:tcPr>
          <w:p w14:paraId="22EFC94F"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08" w:type="dxa"/>
            <w:tcBorders>
              <w:top w:val="nil"/>
              <w:left w:val="nil"/>
              <w:bottom w:val="nil"/>
              <w:right w:val="nil"/>
            </w:tcBorders>
            <w:shd w:val="clear" w:color="auto" w:fill="FFFFFF"/>
            <w:vAlign w:val="bottom"/>
          </w:tcPr>
          <w:p w14:paraId="640A9D8F" w14:textId="77777777" w:rsidR="002E375F" w:rsidRPr="00A776CC" w:rsidRDefault="00EB2569" w:rsidP="00862FE1">
            <w:pPr>
              <w:pStyle w:val="Heading3"/>
              <w:jc w:val="right"/>
            </w:pPr>
            <w:r w:rsidRPr="00862FE1">
              <w:rPr>
                <w:rFonts w:ascii="Arial" w:hAnsi="Arial" w:cs="Arial"/>
                <w:bCs/>
                <w:sz w:val="18"/>
                <w:szCs w:val="18"/>
              </w:rPr>
              <w:t>2019</w:t>
            </w:r>
            <w:r w:rsidRPr="00A776CC">
              <w:rPr>
                <w:rFonts w:ascii="Arial" w:hAnsi="Arial" w:cs="Arial"/>
                <w:sz w:val="18"/>
                <w:szCs w:val="18"/>
              </w:rPr>
              <w:br/>
            </w:r>
            <w:r w:rsidRPr="00862FE1">
              <w:rPr>
                <w:rFonts w:ascii="Arial" w:hAnsi="Arial" w:cs="Arial"/>
                <w:bCs/>
                <w:sz w:val="18"/>
                <w:szCs w:val="18"/>
              </w:rPr>
              <w:t>$'000</w:t>
            </w:r>
          </w:p>
        </w:tc>
        <w:tc>
          <w:tcPr>
            <w:tcW w:w="908" w:type="dxa"/>
            <w:tcBorders>
              <w:top w:val="nil"/>
              <w:left w:val="nil"/>
              <w:bottom w:val="nil"/>
              <w:right w:val="nil"/>
            </w:tcBorders>
            <w:shd w:val="clear" w:color="auto" w:fill="FFFFFF"/>
            <w:vAlign w:val="bottom"/>
          </w:tcPr>
          <w:p w14:paraId="064B6A31"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08" w:type="dxa"/>
            <w:tcBorders>
              <w:top w:val="nil"/>
              <w:left w:val="nil"/>
              <w:bottom w:val="nil"/>
              <w:right w:val="nil"/>
            </w:tcBorders>
            <w:shd w:val="clear" w:color="auto" w:fill="FFFFFF"/>
            <w:vAlign w:val="bottom"/>
          </w:tcPr>
          <w:p w14:paraId="16359B37" w14:textId="77777777" w:rsidR="002E375F" w:rsidRPr="00A776CC" w:rsidRDefault="00EB2569" w:rsidP="00862FE1">
            <w:pPr>
              <w:pStyle w:val="Heading3"/>
              <w:jc w:val="right"/>
            </w:pPr>
            <w:r w:rsidRPr="00862FE1">
              <w:rPr>
                <w:rFonts w:ascii="Arial" w:hAnsi="Arial" w:cs="Arial"/>
                <w:bCs/>
                <w:sz w:val="18"/>
                <w:szCs w:val="18"/>
              </w:rPr>
              <w:t>2019</w:t>
            </w:r>
            <w:r w:rsidRPr="00A776CC">
              <w:rPr>
                <w:rFonts w:ascii="Arial" w:hAnsi="Arial" w:cs="Arial"/>
                <w:sz w:val="18"/>
                <w:szCs w:val="18"/>
              </w:rPr>
              <w:br/>
            </w:r>
            <w:r w:rsidRPr="00862FE1">
              <w:rPr>
                <w:rFonts w:ascii="Arial" w:hAnsi="Arial" w:cs="Arial"/>
                <w:bCs/>
                <w:sz w:val="18"/>
                <w:szCs w:val="18"/>
              </w:rPr>
              <w:t>$'000</w:t>
            </w:r>
          </w:p>
        </w:tc>
        <w:tc>
          <w:tcPr>
            <w:tcW w:w="908" w:type="dxa"/>
            <w:tcBorders>
              <w:top w:val="nil"/>
              <w:left w:val="nil"/>
              <w:bottom w:val="nil"/>
              <w:right w:val="nil"/>
            </w:tcBorders>
            <w:shd w:val="clear" w:color="auto" w:fill="FFFFFF"/>
            <w:vAlign w:val="bottom"/>
          </w:tcPr>
          <w:p w14:paraId="2190566A"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08" w:type="dxa"/>
            <w:tcBorders>
              <w:top w:val="nil"/>
              <w:left w:val="nil"/>
              <w:bottom w:val="nil"/>
              <w:right w:val="nil"/>
            </w:tcBorders>
            <w:shd w:val="clear" w:color="auto" w:fill="FFFFFF"/>
            <w:vAlign w:val="bottom"/>
          </w:tcPr>
          <w:p w14:paraId="394FD449" w14:textId="77777777" w:rsidR="002E375F" w:rsidRPr="00A776CC" w:rsidRDefault="00EB2569" w:rsidP="00862FE1">
            <w:pPr>
              <w:pStyle w:val="Heading3"/>
              <w:jc w:val="right"/>
            </w:pPr>
            <w:r w:rsidRPr="00862FE1">
              <w:rPr>
                <w:rFonts w:ascii="Arial" w:hAnsi="Arial" w:cs="Arial"/>
                <w:bCs/>
                <w:sz w:val="18"/>
                <w:szCs w:val="18"/>
              </w:rPr>
              <w:t>2019</w:t>
            </w:r>
            <w:r w:rsidRPr="00A776CC">
              <w:rPr>
                <w:rFonts w:ascii="Arial" w:hAnsi="Arial" w:cs="Arial"/>
                <w:sz w:val="18"/>
                <w:szCs w:val="18"/>
              </w:rPr>
              <w:br/>
            </w:r>
            <w:r w:rsidRPr="00862FE1">
              <w:rPr>
                <w:rFonts w:ascii="Arial" w:hAnsi="Arial" w:cs="Arial"/>
                <w:bCs/>
                <w:sz w:val="18"/>
                <w:szCs w:val="18"/>
              </w:rPr>
              <w:t>$'000</w:t>
            </w:r>
          </w:p>
        </w:tc>
        <w:tc>
          <w:tcPr>
            <w:tcW w:w="908" w:type="dxa"/>
            <w:tcBorders>
              <w:top w:val="nil"/>
              <w:left w:val="nil"/>
              <w:bottom w:val="nil"/>
              <w:right w:val="nil"/>
            </w:tcBorders>
            <w:shd w:val="clear" w:color="auto" w:fill="FFFFFF"/>
            <w:vAlign w:val="bottom"/>
          </w:tcPr>
          <w:p w14:paraId="468FBBB4"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08" w:type="dxa"/>
            <w:tcBorders>
              <w:top w:val="nil"/>
              <w:left w:val="nil"/>
              <w:bottom w:val="nil"/>
              <w:right w:val="nil"/>
            </w:tcBorders>
            <w:shd w:val="clear" w:color="auto" w:fill="FFFFFF"/>
            <w:vAlign w:val="bottom"/>
          </w:tcPr>
          <w:p w14:paraId="1320B14D" w14:textId="77777777" w:rsidR="002E375F" w:rsidRPr="00A776CC" w:rsidRDefault="00EB2569" w:rsidP="00862FE1">
            <w:pPr>
              <w:pStyle w:val="Heading3"/>
              <w:jc w:val="right"/>
            </w:pPr>
            <w:r w:rsidRPr="00862FE1">
              <w:rPr>
                <w:rFonts w:ascii="Arial" w:hAnsi="Arial" w:cs="Arial"/>
                <w:bCs/>
                <w:sz w:val="18"/>
                <w:szCs w:val="18"/>
              </w:rPr>
              <w:t>2019</w:t>
            </w:r>
            <w:r w:rsidRPr="00A776CC">
              <w:rPr>
                <w:rFonts w:ascii="Arial" w:hAnsi="Arial" w:cs="Arial"/>
                <w:sz w:val="18"/>
                <w:szCs w:val="18"/>
              </w:rPr>
              <w:br/>
            </w:r>
            <w:r w:rsidRPr="00862FE1">
              <w:rPr>
                <w:rFonts w:ascii="Arial" w:hAnsi="Arial" w:cs="Arial"/>
                <w:bCs/>
                <w:sz w:val="18"/>
                <w:szCs w:val="18"/>
              </w:rPr>
              <w:t>$'000</w:t>
            </w:r>
          </w:p>
        </w:tc>
      </w:tr>
      <w:tr w:rsidR="002E375F" w14:paraId="3F81EDA8" w14:textId="77777777">
        <w:tc>
          <w:tcPr>
            <w:tcW w:w="1702" w:type="dxa"/>
            <w:tcBorders>
              <w:top w:val="nil"/>
              <w:left w:val="nil"/>
              <w:bottom w:val="nil"/>
              <w:right w:val="nil"/>
            </w:tcBorders>
            <w:shd w:val="clear" w:color="auto" w:fill="FFFFFF"/>
            <w:vAlign w:val="bottom"/>
          </w:tcPr>
          <w:p w14:paraId="40CE20E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Payable</w:t>
            </w:r>
          </w:p>
        </w:tc>
        <w:tc>
          <w:tcPr>
            <w:tcW w:w="964" w:type="dxa"/>
            <w:tcBorders>
              <w:top w:val="nil"/>
              <w:left w:val="nil"/>
              <w:bottom w:val="nil"/>
              <w:right w:val="nil"/>
            </w:tcBorders>
            <w:shd w:val="clear" w:color="auto" w:fill="FFFFFF"/>
            <w:vAlign w:val="bottom"/>
          </w:tcPr>
          <w:p w14:paraId="3ED150ED"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08" w:type="dxa"/>
            <w:tcBorders>
              <w:top w:val="nil"/>
              <w:left w:val="nil"/>
              <w:bottom w:val="nil"/>
              <w:right w:val="nil"/>
            </w:tcBorders>
            <w:shd w:val="clear" w:color="auto" w:fill="FFFFFF"/>
            <w:vAlign w:val="bottom"/>
          </w:tcPr>
          <w:p w14:paraId="7F1A7C7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08" w:type="dxa"/>
            <w:tcBorders>
              <w:top w:val="nil"/>
              <w:left w:val="nil"/>
              <w:bottom w:val="nil"/>
              <w:right w:val="nil"/>
            </w:tcBorders>
            <w:shd w:val="clear" w:color="auto" w:fill="FFFFFF"/>
            <w:vAlign w:val="bottom"/>
          </w:tcPr>
          <w:p w14:paraId="362608C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08" w:type="dxa"/>
            <w:tcBorders>
              <w:top w:val="nil"/>
              <w:left w:val="nil"/>
              <w:bottom w:val="nil"/>
              <w:right w:val="nil"/>
            </w:tcBorders>
            <w:shd w:val="clear" w:color="auto" w:fill="FFFFFF"/>
            <w:vAlign w:val="bottom"/>
          </w:tcPr>
          <w:p w14:paraId="6C2B4D19"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08" w:type="dxa"/>
            <w:tcBorders>
              <w:top w:val="nil"/>
              <w:left w:val="nil"/>
              <w:bottom w:val="nil"/>
              <w:right w:val="nil"/>
            </w:tcBorders>
            <w:shd w:val="clear" w:color="auto" w:fill="FFFFFF"/>
            <w:vAlign w:val="bottom"/>
          </w:tcPr>
          <w:p w14:paraId="5439A8A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08" w:type="dxa"/>
            <w:tcBorders>
              <w:top w:val="nil"/>
              <w:left w:val="nil"/>
              <w:bottom w:val="nil"/>
              <w:right w:val="nil"/>
            </w:tcBorders>
            <w:shd w:val="clear" w:color="auto" w:fill="FFFFFF"/>
            <w:vAlign w:val="bottom"/>
          </w:tcPr>
          <w:p w14:paraId="4306D55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08" w:type="dxa"/>
            <w:tcBorders>
              <w:top w:val="nil"/>
              <w:left w:val="nil"/>
              <w:bottom w:val="nil"/>
              <w:right w:val="nil"/>
            </w:tcBorders>
            <w:shd w:val="clear" w:color="auto" w:fill="FFFFFF"/>
            <w:vAlign w:val="bottom"/>
          </w:tcPr>
          <w:p w14:paraId="78346FC8"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08" w:type="dxa"/>
            <w:tcBorders>
              <w:top w:val="nil"/>
              <w:left w:val="nil"/>
              <w:bottom w:val="nil"/>
              <w:right w:val="nil"/>
            </w:tcBorders>
            <w:shd w:val="clear" w:color="auto" w:fill="FFFFFF"/>
            <w:vAlign w:val="bottom"/>
          </w:tcPr>
          <w:p w14:paraId="0EB1366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4CB10B56" w14:textId="77777777">
        <w:tc>
          <w:tcPr>
            <w:tcW w:w="1702" w:type="dxa"/>
            <w:tcBorders>
              <w:top w:val="nil"/>
              <w:left w:val="nil"/>
              <w:bottom w:val="nil"/>
              <w:right w:val="nil"/>
            </w:tcBorders>
            <w:shd w:val="clear" w:color="auto" w:fill="FFFFFF"/>
            <w:vAlign w:val="bottom"/>
          </w:tcPr>
          <w:p w14:paraId="76871BB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Disability Services</w:t>
            </w:r>
          </w:p>
        </w:tc>
        <w:tc>
          <w:tcPr>
            <w:tcW w:w="964" w:type="dxa"/>
            <w:tcBorders>
              <w:top w:val="nil"/>
              <w:left w:val="nil"/>
              <w:bottom w:val="nil"/>
              <w:right w:val="nil"/>
            </w:tcBorders>
            <w:shd w:val="clear" w:color="auto" w:fill="FFFFFF"/>
            <w:vAlign w:val="bottom"/>
          </w:tcPr>
          <w:p w14:paraId="384066C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6,569</w:t>
            </w:r>
          </w:p>
        </w:tc>
        <w:tc>
          <w:tcPr>
            <w:tcW w:w="908" w:type="dxa"/>
            <w:tcBorders>
              <w:top w:val="nil"/>
              <w:left w:val="nil"/>
              <w:bottom w:val="nil"/>
              <w:right w:val="nil"/>
            </w:tcBorders>
            <w:shd w:val="clear" w:color="auto" w:fill="FFFFFF"/>
            <w:vAlign w:val="bottom"/>
          </w:tcPr>
          <w:p w14:paraId="19B4760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10,047</w:t>
            </w:r>
          </w:p>
        </w:tc>
        <w:tc>
          <w:tcPr>
            <w:tcW w:w="908" w:type="dxa"/>
            <w:tcBorders>
              <w:top w:val="nil"/>
              <w:left w:val="nil"/>
              <w:bottom w:val="nil"/>
              <w:right w:val="nil"/>
            </w:tcBorders>
            <w:shd w:val="clear" w:color="auto" w:fill="FFFFFF"/>
            <w:vAlign w:val="bottom"/>
          </w:tcPr>
          <w:p w14:paraId="3B21B7A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1,606</w:t>
            </w:r>
          </w:p>
        </w:tc>
        <w:tc>
          <w:tcPr>
            <w:tcW w:w="908" w:type="dxa"/>
            <w:tcBorders>
              <w:top w:val="nil"/>
              <w:left w:val="nil"/>
              <w:bottom w:val="nil"/>
              <w:right w:val="nil"/>
            </w:tcBorders>
            <w:shd w:val="clear" w:color="auto" w:fill="FFFFFF"/>
            <w:vAlign w:val="bottom"/>
          </w:tcPr>
          <w:p w14:paraId="1790315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20,095</w:t>
            </w:r>
          </w:p>
        </w:tc>
        <w:tc>
          <w:tcPr>
            <w:tcW w:w="908" w:type="dxa"/>
            <w:tcBorders>
              <w:top w:val="nil"/>
              <w:left w:val="nil"/>
              <w:bottom w:val="nil"/>
              <w:right w:val="nil"/>
            </w:tcBorders>
            <w:shd w:val="clear" w:color="auto" w:fill="FFFFFF"/>
            <w:vAlign w:val="bottom"/>
          </w:tcPr>
          <w:p w14:paraId="11C22AC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08" w:type="dxa"/>
            <w:tcBorders>
              <w:top w:val="nil"/>
              <w:left w:val="nil"/>
              <w:bottom w:val="nil"/>
              <w:right w:val="nil"/>
            </w:tcBorders>
            <w:shd w:val="clear" w:color="auto" w:fill="FFFFFF"/>
            <w:vAlign w:val="bottom"/>
          </w:tcPr>
          <w:p w14:paraId="60F0E3E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08" w:type="dxa"/>
            <w:tcBorders>
              <w:top w:val="nil"/>
              <w:left w:val="nil"/>
              <w:bottom w:val="nil"/>
              <w:right w:val="nil"/>
            </w:tcBorders>
            <w:shd w:val="clear" w:color="auto" w:fill="FFFFFF"/>
            <w:vAlign w:val="bottom"/>
          </w:tcPr>
          <w:p w14:paraId="1463B7D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8,175</w:t>
            </w:r>
          </w:p>
        </w:tc>
        <w:tc>
          <w:tcPr>
            <w:tcW w:w="908" w:type="dxa"/>
            <w:tcBorders>
              <w:top w:val="nil"/>
              <w:left w:val="nil"/>
              <w:bottom w:val="nil"/>
              <w:right w:val="nil"/>
            </w:tcBorders>
            <w:shd w:val="clear" w:color="auto" w:fill="FFFFFF"/>
            <w:vAlign w:val="bottom"/>
          </w:tcPr>
          <w:p w14:paraId="509058F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30,142</w:t>
            </w:r>
          </w:p>
        </w:tc>
      </w:tr>
      <w:tr w:rsidR="002E375F" w14:paraId="01A21626" w14:textId="77777777">
        <w:tc>
          <w:tcPr>
            <w:tcW w:w="1702" w:type="dxa"/>
            <w:tcBorders>
              <w:top w:val="nil"/>
              <w:left w:val="nil"/>
              <w:bottom w:val="nil"/>
              <w:right w:val="nil"/>
            </w:tcBorders>
            <w:shd w:val="clear" w:color="auto" w:fill="FFFFFF"/>
            <w:vAlign w:val="bottom"/>
          </w:tcPr>
          <w:p w14:paraId="3F0CD0C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Community Services*</w:t>
            </w:r>
          </w:p>
        </w:tc>
        <w:tc>
          <w:tcPr>
            <w:tcW w:w="964" w:type="dxa"/>
            <w:tcBorders>
              <w:top w:val="nil"/>
              <w:left w:val="nil"/>
              <w:bottom w:val="nil"/>
              <w:right w:val="nil"/>
            </w:tcBorders>
            <w:shd w:val="clear" w:color="auto" w:fill="FFFFFF"/>
            <w:vAlign w:val="bottom"/>
          </w:tcPr>
          <w:p w14:paraId="69B19F9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90,021</w:t>
            </w:r>
          </w:p>
        </w:tc>
        <w:tc>
          <w:tcPr>
            <w:tcW w:w="908" w:type="dxa"/>
            <w:tcBorders>
              <w:top w:val="nil"/>
              <w:left w:val="nil"/>
              <w:bottom w:val="nil"/>
              <w:right w:val="nil"/>
            </w:tcBorders>
            <w:shd w:val="clear" w:color="auto" w:fill="FFFFFF"/>
            <w:vAlign w:val="bottom"/>
          </w:tcPr>
          <w:p w14:paraId="5E44E42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71,878</w:t>
            </w:r>
          </w:p>
        </w:tc>
        <w:tc>
          <w:tcPr>
            <w:tcW w:w="908" w:type="dxa"/>
            <w:tcBorders>
              <w:top w:val="nil"/>
              <w:left w:val="nil"/>
              <w:bottom w:val="nil"/>
              <w:right w:val="nil"/>
            </w:tcBorders>
            <w:shd w:val="clear" w:color="auto" w:fill="FFFFFF"/>
            <w:vAlign w:val="bottom"/>
          </w:tcPr>
          <w:p w14:paraId="13F2C7F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65,536</w:t>
            </w:r>
          </w:p>
        </w:tc>
        <w:tc>
          <w:tcPr>
            <w:tcW w:w="908" w:type="dxa"/>
            <w:tcBorders>
              <w:top w:val="nil"/>
              <w:left w:val="nil"/>
              <w:bottom w:val="nil"/>
              <w:right w:val="nil"/>
            </w:tcBorders>
            <w:shd w:val="clear" w:color="auto" w:fill="FFFFFF"/>
            <w:vAlign w:val="bottom"/>
          </w:tcPr>
          <w:p w14:paraId="63EE80A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96,168</w:t>
            </w:r>
          </w:p>
        </w:tc>
        <w:tc>
          <w:tcPr>
            <w:tcW w:w="908" w:type="dxa"/>
            <w:tcBorders>
              <w:top w:val="nil"/>
              <w:left w:val="nil"/>
              <w:bottom w:val="nil"/>
              <w:right w:val="nil"/>
            </w:tcBorders>
            <w:shd w:val="clear" w:color="auto" w:fill="FFFFFF"/>
            <w:vAlign w:val="bottom"/>
          </w:tcPr>
          <w:p w14:paraId="4FCBA29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08" w:type="dxa"/>
            <w:tcBorders>
              <w:top w:val="nil"/>
              <w:left w:val="nil"/>
              <w:bottom w:val="nil"/>
              <w:right w:val="nil"/>
            </w:tcBorders>
            <w:shd w:val="clear" w:color="auto" w:fill="FFFFFF"/>
            <w:vAlign w:val="bottom"/>
          </w:tcPr>
          <w:p w14:paraId="522AA0E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08" w:type="dxa"/>
            <w:tcBorders>
              <w:top w:val="nil"/>
              <w:left w:val="nil"/>
              <w:bottom w:val="nil"/>
              <w:right w:val="nil"/>
            </w:tcBorders>
            <w:shd w:val="clear" w:color="auto" w:fill="FFFFFF"/>
            <w:vAlign w:val="bottom"/>
          </w:tcPr>
          <w:p w14:paraId="486C84E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155,557</w:t>
            </w:r>
          </w:p>
        </w:tc>
        <w:tc>
          <w:tcPr>
            <w:tcW w:w="908" w:type="dxa"/>
            <w:tcBorders>
              <w:top w:val="nil"/>
              <w:left w:val="nil"/>
              <w:bottom w:val="nil"/>
              <w:right w:val="nil"/>
            </w:tcBorders>
            <w:shd w:val="clear" w:color="auto" w:fill="FFFFFF"/>
            <w:vAlign w:val="bottom"/>
          </w:tcPr>
          <w:p w14:paraId="063385D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168,046</w:t>
            </w:r>
          </w:p>
        </w:tc>
      </w:tr>
      <w:tr w:rsidR="002E375F" w14:paraId="1A06D2F1" w14:textId="77777777">
        <w:tc>
          <w:tcPr>
            <w:tcW w:w="1702" w:type="dxa"/>
            <w:tcBorders>
              <w:top w:val="nil"/>
              <w:left w:val="nil"/>
              <w:bottom w:val="nil"/>
              <w:right w:val="nil"/>
            </w:tcBorders>
            <w:shd w:val="clear" w:color="auto" w:fill="FFFFFF"/>
            <w:vAlign w:val="bottom"/>
          </w:tcPr>
          <w:p w14:paraId="4238542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Seniors Services</w:t>
            </w:r>
          </w:p>
        </w:tc>
        <w:tc>
          <w:tcPr>
            <w:tcW w:w="964" w:type="dxa"/>
            <w:tcBorders>
              <w:top w:val="nil"/>
              <w:left w:val="nil"/>
              <w:bottom w:val="single" w:sz="2" w:space="0" w:color="auto"/>
              <w:right w:val="nil"/>
            </w:tcBorders>
            <w:shd w:val="clear" w:color="auto" w:fill="FFFFFF"/>
            <w:vAlign w:val="bottom"/>
          </w:tcPr>
          <w:p w14:paraId="0600ECF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10,208</w:t>
            </w:r>
          </w:p>
        </w:tc>
        <w:tc>
          <w:tcPr>
            <w:tcW w:w="908" w:type="dxa"/>
            <w:tcBorders>
              <w:top w:val="nil"/>
              <w:left w:val="nil"/>
              <w:bottom w:val="single" w:sz="2" w:space="0" w:color="auto"/>
              <w:right w:val="nil"/>
            </w:tcBorders>
            <w:shd w:val="clear" w:color="auto" w:fill="FFFFFF"/>
            <w:vAlign w:val="bottom"/>
          </w:tcPr>
          <w:p w14:paraId="6C8F25F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8,615</w:t>
            </w:r>
          </w:p>
        </w:tc>
        <w:tc>
          <w:tcPr>
            <w:tcW w:w="908" w:type="dxa"/>
            <w:tcBorders>
              <w:top w:val="nil"/>
              <w:left w:val="nil"/>
              <w:bottom w:val="single" w:sz="2" w:space="0" w:color="auto"/>
              <w:right w:val="nil"/>
            </w:tcBorders>
            <w:shd w:val="clear" w:color="auto" w:fill="FFFFFF"/>
            <w:vAlign w:val="bottom"/>
          </w:tcPr>
          <w:p w14:paraId="4AAFEF4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5,021</w:t>
            </w:r>
          </w:p>
        </w:tc>
        <w:tc>
          <w:tcPr>
            <w:tcW w:w="908" w:type="dxa"/>
            <w:tcBorders>
              <w:top w:val="nil"/>
              <w:left w:val="nil"/>
              <w:bottom w:val="single" w:sz="2" w:space="0" w:color="auto"/>
              <w:right w:val="nil"/>
            </w:tcBorders>
            <w:shd w:val="clear" w:color="auto" w:fill="FFFFFF"/>
            <w:vAlign w:val="bottom"/>
          </w:tcPr>
          <w:p w14:paraId="5A7AAD4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9,755</w:t>
            </w:r>
          </w:p>
        </w:tc>
        <w:tc>
          <w:tcPr>
            <w:tcW w:w="908" w:type="dxa"/>
            <w:tcBorders>
              <w:top w:val="nil"/>
              <w:left w:val="nil"/>
              <w:bottom w:val="single" w:sz="2" w:space="0" w:color="auto"/>
              <w:right w:val="nil"/>
            </w:tcBorders>
            <w:shd w:val="clear" w:color="auto" w:fill="FFFFFF"/>
            <w:vAlign w:val="bottom"/>
          </w:tcPr>
          <w:p w14:paraId="2F56C27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08" w:type="dxa"/>
            <w:tcBorders>
              <w:top w:val="nil"/>
              <w:left w:val="nil"/>
              <w:bottom w:val="single" w:sz="2" w:space="0" w:color="auto"/>
              <w:right w:val="nil"/>
            </w:tcBorders>
            <w:shd w:val="clear" w:color="auto" w:fill="FFFFFF"/>
            <w:vAlign w:val="bottom"/>
          </w:tcPr>
          <w:p w14:paraId="2E6EBC6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c>
          <w:tcPr>
            <w:tcW w:w="908" w:type="dxa"/>
            <w:tcBorders>
              <w:top w:val="nil"/>
              <w:left w:val="nil"/>
              <w:bottom w:val="single" w:sz="2" w:space="0" w:color="auto"/>
              <w:right w:val="nil"/>
            </w:tcBorders>
            <w:shd w:val="clear" w:color="auto" w:fill="FFFFFF"/>
            <w:vAlign w:val="bottom"/>
          </w:tcPr>
          <w:p w14:paraId="693F64B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15,229</w:t>
            </w:r>
          </w:p>
        </w:tc>
        <w:tc>
          <w:tcPr>
            <w:tcW w:w="908" w:type="dxa"/>
            <w:tcBorders>
              <w:top w:val="nil"/>
              <w:left w:val="nil"/>
              <w:bottom w:val="single" w:sz="2" w:space="0" w:color="auto"/>
              <w:right w:val="nil"/>
            </w:tcBorders>
            <w:shd w:val="clear" w:color="auto" w:fill="FFFFFF"/>
            <w:vAlign w:val="bottom"/>
          </w:tcPr>
          <w:p w14:paraId="4008508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18,370</w:t>
            </w:r>
          </w:p>
        </w:tc>
      </w:tr>
      <w:tr w:rsidR="002E375F" w14:paraId="094B9ACD" w14:textId="77777777">
        <w:tc>
          <w:tcPr>
            <w:tcW w:w="1702" w:type="dxa"/>
            <w:tcBorders>
              <w:top w:val="nil"/>
              <w:left w:val="nil"/>
              <w:bottom w:val="nil"/>
              <w:right w:val="nil"/>
            </w:tcBorders>
            <w:shd w:val="clear" w:color="auto" w:fill="FFFFFF"/>
            <w:vAlign w:val="bottom"/>
          </w:tcPr>
          <w:p w14:paraId="12D7375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65733C5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106,798</w:t>
            </w:r>
          </w:p>
        </w:tc>
        <w:tc>
          <w:tcPr>
            <w:tcW w:w="908" w:type="dxa"/>
            <w:tcBorders>
              <w:top w:val="nil"/>
              <w:left w:val="nil"/>
              <w:bottom w:val="single" w:sz="2" w:space="0" w:color="auto"/>
              <w:right w:val="nil"/>
            </w:tcBorders>
            <w:shd w:val="clear" w:color="auto" w:fill="FFFFFF"/>
            <w:vAlign w:val="bottom"/>
          </w:tcPr>
          <w:p w14:paraId="10DE4B0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90,540</w:t>
            </w:r>
          </w:p>
        </w:tc>
        <w:tc>
          <w:tcPr>
            <w:tcW w:w="908" w:type="dxa"/>
            <w:tcBorders>
              <w:top w:val="nil"/>
              <w:left w:val="nil"/>
              <w:bottom w:val="single" w:sz="2" w:space="0" w:color="auto"/>
              <w:right w:val="nil"/>
            </w:tcBorders>
            <w:shd w:val="clear" w:color="auto" w:fill="FFFFFF"/>
            <w:vAlign w:val="bottom"/>
          </w:tcPr>
          <w:p w14:paraId="3AF1A76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72,163</w:t>
            </w:r>
          </w:p>
        </w:tc>
        <w:tc>
          <w:tcPr>
            <w:tcW w:w="908" w:type="dxa"/>
            <w:tcBorders>
              <w:top w:val="nil"/>
              <w:left w:val="nil"/>
              <w:bottom w:val="single" w:sz="2" w:space="0" w:color="auto"/>
              <w:right w:val="nil"/>
            </w:tcBorders>
            <w:shd w:val="clear" w:color="auto" w:fill="FFFFFF"/>
            <w:vAlign w:val="bottom"/>
          </w:tcPr>
          <w:p w14:paraId="63AF31E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126,018</w:t>
            </w:r>
          </w:p>
        </w:tc>
        <w:tc>
          <w:tcPr>
            <w:tcW w:w="908" w:type="dxa"/>
            <w:tcBorders>
              <w:top w:val="nil"/>
              <w:left w:val="nil"/>
              <w:bottom w:val="single" w:sz="2" w:space="0" w:color="auto"/>
              <w:right w:val="nil"/>
            </w:tcBorders>
            <w:shd w:val="clear" w:color="auto" w:fill="FFFFFF"/>
            <w:vAlign w:val="bottom"/>
          </w:tcPr>
          <w:p w14:paraId="5319E91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08" w:type="dxa"/>
            <w:tcBorders>
              <w:top w:val="nil"/>
              <w:left w:val="nil"/>
              <w:bottom w:val="single" w:sz="2" w:space="0" w:color="auto"/>
              <w:right w:val="nil"/>
            </w:tcBorders>
            <w:shd w:val="clear" w:color="auto" w:fill="FFFFFF"/>
            <w:vAlign w:val="bottom"/>
          </w:tcPr>
          <w:p w14:paraId="2411165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08" w:type="dxa"/>
            <w:tcBorders>
              <w:top w:val="nil"/>
              <w:left w:val="nil"/>
              <w:bottom w:val="single" w:sz="2" w:space="0" w:color="auto"/>
              <w:right w:val="nil"/>
            </w:tcBorders>
            <w:shd w:val="clear" w:color="auto" w:fill="FFFFFF"/>
            <w:vAlign w:val="bottom"/>
          </w:tcPr>
          <w:p w14:paraId="3E91E2E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178,961</w:t>
            </w:r>
          </w:p>
        </w:tc>
        <w:tc>
          <w:tcPr>
            <w:tcW w:w="908" w:type="dxa"/>
            <w:tcBorders>
              <w:top w:val="nil"/>
              <w:left w:val="nil"/>
              <w:bottom w:val="single" w:sz="2" w:space="0" w:color="auto"/>
              <w:right w:val="nil"/>
            </w:tcBorders>
            <w:shd w:val="clear" w:color="auto" w:fill="FFFFFF"/>
            <w:vAlign w:val="bottom"/>
          </w:tcPr>
          <w:p w14:paraId="7DBAFB6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216,558</w:t>
            </w:r>
          </w:p>
        </w:tc>
      </w:tr>
    </w:tbl>
    <w:p w14:paraId="347E7208" w14:textId="77777777" w:rsidR="002E375F" w:rsidRDefault="00EB2569">
      <w:pPr>
        <w:autoSpaceDE w:val="0"/>
        <w:autoSpaceDN w:val="0"/>
        <w:adjustRightInd w:val="0"/>
        <w:spacing w:after="141" w:line="240" w:lineRule="auto"/>
        <w:jc w:val="both"/>
        <w:rPr>
          <w:rFonts w:ascii="Times New Roman" w:hAnsi="Times New Roman" w:cs="Times New Roman"/>
          <w:sz w:val="24"/>
          <w:szCs w:val="24"/>
        </w:rPr>
      </w:pPr>
      <w:r>
        <w:rPr>
          <w:rFonts w:ascii="Arial" w:hAnsi="Arial" w:cs="Arial"/>
          <w:sz w:val="18"/>
          <w:szCs w:val="18"/>
        </w:rPr>
        <w:t>* Community Services now includes the Community Care category that was previously reported separately in the department's 2018-19 financial statements. As a result the department's comparatives have been restated to reflect this.</w:t>
      </w:r>
    </w:p>
    <w:p w14:paraId="71E9624A" w14:textId="77777777" w:rsidR="002E375F" w:rsidRDefault="00EB2569" w:rsidP="00D16D72">
      <w:pPr>
        <w:autoSpaceDE w:val="0"/>
        <w:autoSpaceDN w:val="0"/>
        <w:adjustRightInd w:val="0"/>
        <w:spacing w:after="141" w:line="240" w:lineRule="auto"/>
        <w:rPr>
          <w:rFonts w:ascii="Arial" w:hAnsi="Arial" w:cs="Arial"/>
          <w:sz w:val="18"/>
          <w:szCs w:val="18"/>
        </w:rPr>
      </w:pPr>
      <w:r>
        <w:rPr>
          <w:rFonts w:ascii="Arial" w:hAnsi="Arial" w:cs="Arial"/>
          <w:sz w:val="18"/>
          <w:szCs w:val="18"/>
        </w:rPr>
        <w:t>Service procurement and grant commitments for Disability Services and Community Services reflect current contracts and agreements with non-government organisations and individuals for the provision of services. These commitments will reduce as services transition under the extended NDIS rollout.</w:t>
      </w:r>
    </w:p>
    <w:p w14:paraId="216C925E" w14:textId="77777777" w:rsidR="0040568F" w:rsidRDefault="0040568F" w:rsidP="0040568F">
      <w:pPr>
        <w:pStyle w:val="Heading3"/>
        <w:rPr>
          <w:rFonts w:ascii="Times New Roman" w:hAnsi="Times New Roman" w:cs="Times New Roman"/>
        </w:rPr>
      </w:pPr>
      <w:r>
        <w:t>D3-5 Redundancy Packages and Transfer Payments</w:t>
      </w:r>
    </w:p>
    <w:p w14:paraId="5D37DFC3"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Most of the redundancy payments relate to the endorsed NDIS Incentive Scheme. Eligible employees have received a voluntary redundancy package under the endorsed NDIS Incentive Scheme with a termination date that meets the department’s business continuity needs. Medical retirements have also been reported as redundancies.</w:t>
      </w:r>
    </w:p>
    <w:p w14:paraId="43901DD9"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In 2019-20, 59 employees took a voluntary redundancy at a cost of $4.431M. No further redundancies are expected under the NDIS Incentive Scheme and no commitment is included in the reported amount, with this note being provided for comparative purposes.</w:t>
      </w:r>
    </w:p>
    <w:p w14:paraId="0AD5D7CA"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In 2018-19, 477 employees took a voluntary redundancy at a cost of $30.941M. The reported amount included a commitment for a further 17 employees who had accepted voluntary redundancy agreements as at 30 June 2019 at an estimated cost of $1.512M. In addition, 13 employees transferred to the NDIA in 2018-19 under the first offer of employment arrangement covered by the NDIS Incentive Scheme at a cost of $0.260M. This cost includes an incentive payment and the payment or transfer of accrued leave entitlements.</w:t>
      </w:r>
    </w:p>
    <w:p w14:paraId="48C41E93" w14:textId="77777777" w:rsidR="002E375F" w:rsidRDefault="00EB2569" w:rsidP="00D16D72">
      <w:pPr>
        <w:autoSpaceDE w:val="0"/>
        <w:autoSpaceDN w:val="0"/>
        <w:adjustRightInd w:val="0"/>
        <w:spacing w:after="141" w:line="240" w:lineRule="auto"/>
        <w:rPr>
          <w:rFonts w:ascii="Arial" w:hAnsi="Arial" w:cs="Arial"/>
          <w:sz w:val="18"/>
          <w:szCs w:val="18"/>
        </w:rPr>
      </w:pPr>
      <w:r>
        <w:rPr>
          <w:rFonts w:ascii="Arial" w:hAnsi="Arial" w:cs="Arial"/>
          <w:sz w:val="18"/>
          <w:szCs w:val="18"/>
        </w:rPr>
        <w:t>The costs incurred by the department under the NDIS Incentive Scheme are reimbursed by Queensland Treasury on validation of claims.</w:t>
      </w:r>
    </w:p>
    <w:p w14:paraId="26D5BE1A" w14:textId="77777777" w:rsidR="0040568F" w:rsidRDefault="0040568F" w:rsidP="0040568F">
      <w:pPr>
        <w:pStyle w:val="Heading3"/>
      </w:pPr>
      <w:r>
        <w:t>D4 Current and Future Year Impacts of Accounting Standards Changes</w:t>
      </w:r>
    </w:p>
    <w:p w14:paraId="70EAB6F8" w14:textId="77777777" w:rsidR="0040568F" w:rsidRDefault="0040568F" w:rsidP="0040568F">
      <w:pPr>
        <w:pStyle w:val="Heading3"/>
        <w:rPr>
          <w:rFonts w:ascii="Times New Roman" w:hAnsi="Times New Roman" w:cs="Times New Roman"/>
        </w:rPr>
      </w:pPr>
      <w:r>
        <w:t>D4-1 First Year Application of New Accounting Standards or Change in Accounting Policy</w:t>
      </w:r>
    </w:p>
    <w:p w14:paraId="777A4BE4" w14:textId="77777777" w:rsidR="002E375F" w:rsidRPr="00E116EC" w:rsidRDefault="00EB2569" w:rsidP="00E116EC">
      <w:pPr>
        <w:pStyle w:val="Heading3"/>
        <w:rPr>
          <w:sz w:val="18"/>
          <w:szCs w:val="18"/>
        </w:rPr>
      </w:pPr>
      <w:r w:rsidRPr="00E116EC">
        <w:rPr>
          <w:sz w:val="18"/>
          <w:szCs w:val="18"/>
        </w:rPr>
        <w:t>Accounting standards applied for the first time</w:t>
      </w:r>
    </w:p>
    <w:p w14:paraId="29BE5726" w14:textId="77777777" w:rsidR="002E375F" w:rsidRDefault="00EB2569" w:rsidP="00D16D72">
      <w:pPr>
        <w:autoSpaceDE w:val="0"/>
        <w:autoSpaceDN w:val="0"/>
        <w:adjustRightInd w:val="0"/>
        <w:spacing w:after="141" w:line="240" w:lineRule="auto"/>
        <w:rPr>
          <w:rFonts w:ascii="Arial" w:hAnsi="Arial" w:cs="Arial"/>
          <w:sz w:val="18"/>
          <w:szCs w:val="18"/>
        </w:rPr>
      </w:pPr>
      <w:r>
        <w:rPr>
          <w:rFonts w:ascii="Arial" w:hAnsi="Arial" w:cs="Arial"/>
          <w:sz w:val="18"/>
          <w:szCs w:val="18"/>
        </w:rPr>
        <w:t>Three new accounting standards with major impact were applied for the first time in 2019-20:</w:t>
      </w:r>
    </w:p>
    <w:p w14:paraId="0622273F" w14:textId="77777777" w:rsidR="0040568F" w:rsidRPr="0040568F" w:rsidRDefault="0040568F" w:rsidP="00D16D72">
      <w:pPr>
        <w:pStyle w:val="ListParagraph"/>
        <w:numPr>
          <w:ilvl w:val="0"/>
          <w:numId w:val="10"/>
        </w:numPr>
        <w:autoSpaceDE w:val="0"/>
        <w:autoSpaceDN w:val="0"/>
        <w:adjustRightInd w:val="0"/>
        <w:spacing w:after="141" w:line="240" w:lineRule="auto"/>
        <w:rPr>
          <w:rFonts w:ascii="Arial" w:hAnsi="Arial" w:cs="Arial"/>
          <w:i/>
          <w:iCs/>
          <w:sz w:val="18"/>
          <w:szCs w:val="18"/>
        </w:rPr>
      </w:pPr>
      <w:r w:rsidRPr="0040568F">
        <w:rPr>
          <w:rFonts w:ascii="Arial" w:hAnsi="Arial" w:cs="Arial"/>
          <w:sz w:val="18"/>
          <w:szCs w:val="18"/>
        </w:rPr>
        <w:t xml:space="preserve">AASB 15 </w:t>
      </w:r>
      <w:r w:rsidRPr="0040568F">
        <w:rPr>
          <w:rFonts w:ascii="Arial" w:hAnsi="Arial" w:cs="Arial"/>
          <w:i/>
          <w:iCs/>
          <w:sz w:val="18"/>
          <w:szCs w:val="18"/>
        </w:rPr>
        <w:t>Revenue from Contracts with Customers</w:t>
      </w:r>
    </w:p>
    <w:p w14:paraId="67485894" w14:textId="77777777" w:rsidR="0040568F" w:rsidRPr="0040568F" w:rsidRDefault="0040568F" w:rsidP="00D16D72">
      <w:pPr>
        <w:pStyle w:val="ListParagraph"/>
        <w:numPr>
          <w:ilvl w:val="0"/>
          <w:numId w:val="10"/>
        </w:numPr>
        <w:autoSpaceDE w:val="0"/>
        <w:autoSpaceDN w:val="0"/>
        <w:adjustRightInd w:val="0"/>
        <w:spacing w:after="141" w:line="240" w:lineRule="auto"/>
        <w:rPr>
          <w:rFonts w:ascii="Arial" w:hAnsi="Arial" w:cs="Arial"/>
          <w:i/>
          <w:iCs/>
          <w:sz w:val="18"/>
          <w:szCs w:val="18"/>
        </w:rPr>
      </w:pPr>
      <w:r w:rsidRPr="0040568F">
        <w:rPr>
          <w:rFonts w:ascii="Arial" w:hAnsi="Arial" w:cs="Arial"/>
          <w:sz w:val="18"/>
          <w:szCs w:val="18"/>
        </w:rPr>
        <w:t xml:space="preserve">AASB 1058 </w:t>
      </w:r>
      <w:r w:rsidRPr="0040568F">
        <w:rPr>
          <w:rFonts w:ascii="Arial" w:hAnsi="Arial" w:cs="Arial"/>
          <w:i/>
          <w:iCs/>
          <w:sz w:val="18"/>
          <w:szCs w:val="18"/>
        </w:rPr>
        <w:t>Income of Not-for-Profit Entities</w:t>
      </w:r>
    </w:p>
    <w:p w14:paraId="5D7B048C" w14:textId="77777777" w:rsidR="0040568F" w:rsidRPr="0040568F" w:rsidRDefault="0040568F" w:rsidP="00D16D72">
      <w:pPr>
        <w:pStyle w:val="ListParagraph"/>
        <w:numPr>
          <w:ilvl w:val="0"/>
          <w:numId w:val="10"/>
        </w:numPr>
        <w:autoSpaceDE w:val="0"/>
        <w:autoSpaceDN w:val="0"/>
        <w:adjustRightInd w:val="0"/>
        <w:spacing w:after="141" w:line="240" w:lineRule="auto"/>
        <w:rPr>
          <w:rFonts w:ascii="Arial" w:hAnsi="Arial" w:cs="Arial"/>
          <w:sz w:val="18"/>
          <w:szCs w:val="18"/>
        </w:rPr>
      </w:pPr>
      <w:r w:rsidRPr="0040568F">
        <w:rPr>
          <w:rFonts w:ascii="Arial" w:hAnsi="Arial" w:cs="Arial"/>
          <w:sz w:val="18"/>
          <w:szCs w:val="18"/>
        </w:rPr>
        <w:t>AASB 16 Leases</w:t>
      </w:r>
    </w:p>
    <w:p w14:paraId="536A6672" w14:textId="77777777" w:rsidR="002E375F" w:rsidRDefault="002E375F" w:rsidP="00D16D72">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33E8F95C"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0BB2FF03"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6CEDDF98"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7CA7AB53"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47647894" w14:textId="77777777" w:rsidR="00DE6DCF" w:rsidRDefault="00DE6DCF" w:rsidP="00DE6DCF">
      <w:pPr>
        <w:pStyle w:val="Heading3"/>
        <w:rPr>
          <w:sz w:val="18"/>
          <w:szCs w:val="18"/>
        </w:rPr>
      </w:pPr>
      <w:r>
        <w:t>D4 Current and Future Year Impacts of Accounting Standards Changes (continued)</w:t>
      </w:r>
    </w:p>
    <w:p w14:paraId="74728F1E" w14:textId="77777777" w:rsidR="00DE6DCF" w:rsidRDefault="00DE6DCF" w:rsidP="00DE6DCF">
      <w:pPr>
        <w:pStyle w:val="Heading3"/>
        <w:rPr>
          <w:rFonts w:ascii="Arial" w:hAnsi="Arial" w:cs="Arial"/>
        </w:rPr>
      </w:pPr>
      <w:r>
        <w:t xml:space="preserve">D4-1 </w:t>
      </w:r>
      <w:r w:rsidRPr="00E116EC">
        <w:t>First Year Application of New Accounting Standards or Change in Accounting Policy (continued)</w:t>
      </w:r>
    </w:p>
    <w:p w14:paraId="69E96B6E" w14:textId="77777777" w:rsidR="002E375F" w:rsidRDefault="00EB2569" w:rsidP="00D16D72">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effect of adopting these new standards are detailed below. No other accounting standards or interpretations that apply to the department for the first time in 2019-20 have any material impact on the financial statements.</w:t>
      </w:r>
    </w:p>
    <w:p w14:paraId="3ACB4CC7" w14:textId="77777777" w:rsidR="002E375F" w:rsidRPr="00E116EC" w:rsidRDefault="00EB2569" w:rsidP="00E116EC">
      <w:pPr>
        <w:pStyle w:val="Heading3"/>
        <w:rPr>
          <w:sz w:val="18"/>
          <w:szCs w:val="18"/>
        </w:rPr>
      </w:pPr>
      <w:r w:rsidRPr="00E116EC">
        <w:rPr>
          <w:sz w:val="18"/>
          <w:szCs w:val="18"/>
        </w:rPr>
        <w:t>Accounting Standards Early Adopted</w:t>
      </w:r>
    </w:p>
    <w:p w14:paraId="244D44C3" w14:textId="77777777" w:rsidR="002E375F" w:rsidRDefault="00EB2569" w:rsidP="00D16D72">
      <w:pPr>
        <w:autoSpaceDE w:val="0"/>
        <w:autoSpaceDN w:val="0"/>
        <w:adjustRightInd w:val="0"/>
        <w:spacing w:after="141" w:line="240" w:lineRule="auto"/>
        <w:rPr>
          <w:rFonts w:ascii="Arial" w:hAnsi="Arial" w:cs="Arial"/>
          <w:sz w:val="18"/>
          <w:szCs w:val="18"/>
        </w:rPr>
      </w:pPr>
      <w:r>
        <w:rPr>
          <w:rFonts w:ascii="Arial" w:hAnsi="Arial" w:cs="Arial"/>
          <w:sz w:val="18"/>
          <w:szCs w:val="18"/>
        </w:rPr>
        <w:t>No Australian Accounting Standards have been early adopted for 2019-20.</w:t>
      </w:r>
    </w:p>
    <w:p w14:paraId="4353B7D8" w14:textId="77777777" w:rsidR="00FE5E14" w:rsidRPr="00FE5E14" w:rsidRDefault="00A776CC" w:rsidP="00862FE1">
      <w:pPr>
        <w:pStyle w:val="Heading3"/>
        <w:rPr>
          <w:rFonts w:ascii="Times New Roman" w:hAnsi="Times New Roman" w:cs="Times New Roman"/>
        </w:rPr>
      </w:pPr>
      <w:r>
        <w:t xml:space="preserve">(1) </w:t>
      </w:r>
      <w:r w:rsidR="00FE5E14" w:rsidRPr="00FE5E14">
        <w:t>AASB 15 Revenue from Contracts with Customers</w:t>
      </w:r>
    </w:p>
    <w:p w14:paraId="7DC0AC7C" w14:textId="77777777" w:rsidR="002E375F" w:rsidRDefault="00EB2569">
      <w:pPr>
        <w:autoSpaceDE w:val="0"/>
        <w:autoSpaceDN w:val="0"/>
        <w:adjustRightInd w:val="0"/>
        <w:spacing w:after="141" w:line="240" w:lineRule="auto"/>
        <w:jc w:val="both"/>
        <w:rPr>
          <w:rFonts w:ascii="Times New Roman" w:hAnsi="Times New Roman" w:cs="Times New Roman"/>
          <w:sz w:val="24"/>
          <w:szCs w:val="24"/>
        </w:rPr>
      </w:pPr>
      <w:r>
        <w:rPr>
          <w:rFonts w:ascii="Arial" w:hAnsi="Arial" w:cs="Arial"/>
          <w:sz w:val="18"/>
          <w:szCs w:val="18"/>
        </w:rPr>
        <w:t xml:space="preserve">The department applied AASB 15 </w:t>
      </w:r>
      <w:r>
        <w:rPr>
          <w:rFonts w:ascii="Arial" w:hAnsi="Arial" w:cs="Arial"/>
          <w:i/>
          <w:iCs/>
          <w:sz w:val="18"/>
          <w:szCs w:val="18"/>
        </w:rPr>
        <w:t>Revenue from Contracts with Customers</w:t>
      </w:r>
      <w:r>
        <w:rPr>
          <w:rFonts w:ascii="Arial" w:hAnsi="Arial" w:cs="Arial"/>
          <w:sz w:val="18"/>
          <w:szCs w:val="18"/>
        </w:rPr>
        <w:t xml:space="preserve"> for the first time in 2019-20. The nature and effect of changes resulting from the adoption of AASB 15 is described below.</w:t>
      </w:r>
    </w:p>
    <w:p w14:paraId="63A61B23" w14:textId="77777777" w:rsidR="002E375F" w:rsidRPr="00E116EC" w:rsidRDefault="00EB2569" w:rsidP="00E116EC">
      <w:pPr>
        <w:pStyle w:val="Heading3"/>
        <w:rPr>
          <w:sz w:val="18"/>
          <w:szCs w:val="18"/>
        </w:rPr>
      </w:pPr>
      <w:r w:rsidRPr="00E116EC">
        <w:rPr>
          <w:sz w:val="18"/>
          <w:szCs w:val="18"/>
        </w:rPr>
        <w:t>1. New revenue recognition model</w:t>
      </w:r>
    </w:p>
    <w:p w14:paraId="766C04EC" w14:textId="77777777" w:rsidR="002E375F" w:rsidRDefault="00EB2569" w:rsidP="00D16D72">
      <w:pPr>
        <w:pStyle w:val="Heading3"/>
        <w:rPr>
          <w:rFonts w:ascii="Times New Roman" w:hAnsi="Times New Roman" w:cs="Times New Roman"/>
        </w:rPr>
      </w:pPr>
      <w:r>
        <w:rPr>
          <w:rFonts w:ascii="Arial" w:hAnsi="Arial" w:cs="Arial"/>
          <w:sz w:val="18"/>
          <w:szCs w:val="18"/>
        </w:rPr>
        <w:t>AASB 15 establishes a new five step model for determining how much and when revenue from contracts with customers is recognised. The five step model and significant judgements are detailed below.</w:t>
      </w:r>
    </w:p>
    <w:tbl>
      <w:tblPr>
        <w:tblW w:w="0" w:type="auto"/>
        <w:tblLayout w:type="fixed"/>
        <w:tblCellMar>
          <w:left w:w="0" w:type="dxa"/>
          <w:right w:w="0" w:type="dxa"/>
        </w:tblCellMar>
        <w:tblLook w:val="0000" w:firstRow="0" w:lastRow="0" w:firstColumn="0" w:lastColumn="0" w:noHBand="0" w:noVBand="0"/>
      </w:tblPr>
      <w:tblGrid>
        <w:gridCol w:w="2836"/>
        <w:gridCol w:w="5956"/>
      </w:tblGrid>
      <w:tr w:rsidR="00746A7C" w:rsidRPr="00A776CC" w14:paraId="021A409A" w14:textId="77777777">
        <w:tc>
          <w:tcPr>
            <w:tcW w:w="2836" w:type="dxa"/>
            <w:tcBorders>
              <w:top w:val="nil"/>
              <w:left w:val="nil"/>
              <w:bottom w:val="single" w:sz="2" w:space="0" w:color="auto"/>
              <w:right w:val="nil"/>
            </w:tcBorders>
            <w:shd w:val="clear" w:color="auto" w:fill="FFFFFF"/>
            <w:vAlign w:val="bottom"/>
          </w:tcPr>
          <w:p w14:paraId="2905D190" w14:textId="77777777" w:rsidR="00746A7C" w:rsidRPr="00862FE1" w:rsidRDefault="00746A7C" w:rsidP="00746A7C">
            <w:pPr>
              <w:pStyle w:val="Heading3"/>
              <w:rPr>
                <w:rFonts w:ascii="Arial" w:hAnsi="Arial" w:cs="Arial"/>
                <w:b/>
                <w:sz w:val="18"/>
                <w:szCs w:val="18"/>
              </w:rPr>
            </w:pPr>
            <w:r w:rsidRPr="00862FE1">
              <w:rPr>
                <w:rFonts w:ascii="Arial" w:hAnsi="Arial" w:cs="Arial"/>
                <w:b/>
                <w:sz w:val="18"/>
                <w:szCs w:val="18"/>
              </w:rPr>
              <w:t>Step Number</w:t>
            </w:r>
          </w:p>
        </w:tc>
        <w:tc>
          <w:tcPr>
            <w:tcW w:w="5956" w:type="dxa"/>
            <w:tcBorders>
              <w:top w:val="nil"/>
              <w:left w:val="single" w:sz="2" w:space="0" w:color="auto"/>
              <w:bottom w:val="single" w:sz="2" w:space="0" w:color="auto"/>
              <w:right w:val="nil"/>
            </w:tcBorders>
            <w:shd w:val="clear" w:color="auto" w:fill="FFFFFF"/>
            <w:vAlign w:val="bottom"/>
          </w:tcPr>
          <w:p w14:paraId="5F4556A7" w14:textId="77777777" w:rsidR="00746A7C" w:rsidRPr="00862FE1" w:rsidRDefault="00746A7C" w:rsidP="00746A7C">
            <w:pPr>
              <w:pStyle w:val="Heading3"/>
              <w:rPr>
                <w:rFonts w:ascii="Arial" w:hAnsi="Arial" w:cs="Arial"/>
                <w:b/>
                <w:sz w:val="18"/>
                <w:szCs w:val="18"/>
              </w:rPr>
            </w:pPr>
            <w:r w:rsidRPr="00862FE1">
              <w:rPr>
                <w:rFonts w:ascii="Arial" w:hAnsi="Arial" w:cs="Arial"/>
                <w:b/>
                <w:sz w:val="18"/>
                <w:szCs w:val="18"/>
              </w:rPr>
              <w:t>Step Description</w:t>
            </w:r>
          </w:p>
        </w:tc>
      </w:tr>
      <w:tr w:rsidR="002E375F" w14:paraId="624E0766" w14:textId="77777777" w:rsidTr="00862FE1">
        <w:tc>
          <w:tcPr>
            <w:tcW w:w="2836" w:type="dxa"/>
            <w:tcBorders>
              <w:top w:val="nil"/>
              <w:left w:val="nil"/>
              <w:bottom w:val="single" w:sz="2" w:space="0" w:color="auto"/>
              <w:right w:val="nil"/>
            </w:tcBorders>
            <w:shd w:val="clear" w:color="auto" w:fill="FFFFFF"/>
          </w:tcPr>
          <w:p w14:paraId="442D180E" w14:textId="77777777" w:rsidR="002E375F" w:rsidRDefault="00EB2569" w:rsidP="00A776CC">
            <w:pPr>
              <w:autoSpaceDE w:val="0"/>
              <w:autoSpaceDN w:val="0"/>
              <w:adjustRightInd w:val="0"/>
              <w:spacing w:before="20" w:after="0" w:line="240" w:lineRule="auto"/>
              <w:rPr>
                <w:rFonts w:ascii="Times New Roman" w:hAnsi="Times New Roman" w:cs="Times New Roman"/>
                <w:sz w:val="24"/>
                <w:szCs w:val="24"/>
              </w:rPr>
            </w:pPr>
            <w:r>
              <w:rPr>
                <w:rFonts w:ascii="Arial" w:hAnsi="Arial" w:cs="Arial"/>
                <w:sz w:val="18"/>
                <w:szCs w:val="18"/>
              </w:rPr>
              <w:t>Step 1 - Identify the contract with the customer</w:t>
            </w:r>
          </w:p>
        </w:tc>
        <w:tc>
          <w:tcPr>
            <w:tcW w:w="5956" w:type="dxa"/>
            <w:tcBorders>
              <w:top w:val="nil"/>
              <w:left w:val="single" w:sz="2" w:space="0" w:color="auto"/>
              <w:bottom w:val="single" w:sz="2" w:space="0" w:color="auto"/>
              <w:right w:val="nil"/>
            </w:tcBorders>
            <w:shd w:val="clear" w:color="auto" w:fill="FFFFFF"/>
            <w:vAlign w:val="bottom"/>
          </w:tcPr>
          <w:p w14:paraId="1100AF34" w14:textId="77777777" w:rsidR="002E375F" w:rsidRDefault="00EB2569">
            <w:pPr>
              <w:autoSpaceDE w:val="0"/>
              <w:autoSpaceDN w:val="0"/>
              <w:adjustRightInd w:val="0"/>
              <w:spacing w:before="20" w:after="0" w:line="240" w:lineRule="auto"/>
              <w:rPr>
                <w:rFonts w:ascii="Times New Roman" w:hAnsi="Times New Roman" w:cs="Times New Roman"/>
                <w:sz w:val="24"/>
                <w:szCs w:val="24"/>
              </w:rPr>
            </w:pPr>
            <w:r>
              <w:rPr>
                <w:rFonts w:ascii="Arial" w:hAnsi="Arial" w:cs="Arial"/>
                <w:sz w:val="18"/>
                <w:szCs w:val="18"/>
              </w:rPr>
              <w:t>Grant funding that the department receives may contain a contract with a customer and thus fall within the scope of AASB 15. This is the case where the funding agreement requires the department to transfer goods or services to third parties on behalf of the grantor, it is enforceable, and it contains sufficiently specific performance obligations.</w:t>
            </w:r>
          </w:p>
        </w:tc>
      </w:tr>
      <w:tr w:rsidR="002E375F" w14:paraId="41195778" w14:textId="77777777" w:rsidTr="00862FE1">
        <w:tc>
          <w:tcPr>
            <w:tcW w:w="2836" w:type="dxa"/>
            <w:tcBorders>
              <w:top w:val="nil"/>
              <w:left w:val="nil"/>
              <w:bottom w:val="single" w:sz="2" w:space="0" w:color="auto"/>
              <w:right w:val="nil"/>
            </w:tcBorders>
            <w:shd w:val="clear" w:color="auto" w:fill="FFFFFF"/>
          </w:tcPr>
          <w:p w14:paraId="667EC605" w14:textId="77777777" w:rsidR="002E375F" w:rsidRDefault="00EB2569" w:rsidP="00A776CC">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Step 2 - Identify the performance obligations in the contract</w:t>
            </w:r>
          </w:p>
        </w:tc>
        <w:tc>
          <w:tcPr>
            <w:tcW w:w="5956" w:type="dxa"/>
            <w:tcBorders>
              <w:top w:val="nil"/>
              <w:left w:val="single" w:sz="2" w:space="0" w:color="auto"/>
              <w:bottom w:val="single" w:sz="2" w:space="0" w:color="auto"/>
              <w:right w:val="nil"/>
            </w:tcBorders>
            <w:shd w:val="clear" w:color="auto" w:fill="FFFFFF"/>
            <w:vAlign w:val="bottom"/>
          </w:tcPr>
          <w:p w14:paraId="287F923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This step involves identifying all the activities the department is required to perform under the contract, and determining which activities transfer goods or services to the customer. Where there are multiple goods or services transferred, the department must assess whether each good or service is a distinct performance obligation or should be combined with other goods or services to form a single performance obligation. To be within the scope of AASB 15, the performance obligations must be 'sufficiently specific' such that the department is able to measure how far along it is in meeting the performance obligations.</w:t>
            </w:r>
          </w:p>
        </w:tc>
      </w:tr>
      <w:tr w:rsidR="002E375F" w14:paraId="2F9D45E2" w14:textId="77777777" w:rsidTr="00862FE1">
        <w:tc>
          <w:tcPr>
            <w:tcW w:w="2836" w:type="dxa"/>
            <w:tcBorders>
              <w:top w:val="nil"/>
              <w:left w:val="nil"/>
              <w:bottom w:val="single" w:sz="2" w:space="0" w:color="auto"/>
              <w:right w:val="nil"/>
            </w:tcBorders>
            <w:shd w:val="clear" w:color="auto" w:fill="FFFFFF"/>
          </w:tcPr>
          <w:p w14:paraId="043D6A5E" w14:textId="77777777" w:rsidR="002E375F" w:rsidRDefault="00EB2569" w:rsidP="00A776CC">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Step 3 - Determine the transaction price</w:t>
            </w:r>
          </w:p>
        </w:tc>
        <w:tc>
          <w:tcPr>
            <w:tcW w:w="5956" w:type="dxa"/>
            <w:tcBorders>
              <w:top w:val="nil"/>
              <w:left w:val="single" w:sz="2" w:space="0" w:color="auto"/>
              <w:bottom w:val="single" w:sz="2" w:space="0" w:color="auto"/>
              <w:right w:val="nil"/>
            </w:tcBorders>
            <w:shd w:val="clear" w:color="auto" w:fill="FFFFFF"/>
            <w:vAlign w:val="bottom"/>
          </w:tcPr>
          <w:p w14:paraId="43264E7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When the consideration in the contract includes a variable amount, the department needs to estimate the variable consideration to which it is entitled and only recognise revenue to the extent that it is highly probable that a significant reversal of the revenue will not occur. This includes sales with a right of return, where the amount expected to be refunded is estimated and recognised as a refund liability instead of revenue.</w:t>
            </w:r>
          </w:p>
        </w:tc>
      </w:tr>
      <w:tr w:rsidR="002E375F" w14:paraId="1AE56459" w14:textId="77777777" w:rsidTr="00862FE1">
        <w:tc>
          <w:tcPr>
            <w:tcW w:w="2836" w:type="dxa"/>
            <w:tcBorders>
              <w:top w:val="nil"/>
              <w:left w:val="nil"/>
              <w:bottom w:val="single" w:sz="2" w:space="0" w:color="auto"/>
              <w:right w:val="nil"/>
            </w:tcBorders>
            <w:shd w:val="clear" w:color="auto" w:fill="FFFFFF"/>
          </w:tcPr>
          <w:p w14:paraId="3F8EC558" w14:textId="77777777" w:rsidR="002E375F" w:rsidRDefault="00EB2569" w:rsidP="00A776CC">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Step 4 - Allocate the transaction price to the performance obligations</w:t>
            </w:r>
          </w:p>
        </w:tc>
        <w:tc>
          <w:tcPr>
            <w:tcW w:w="5956" w:type="dxa"/>
            <w:tcBorders>
              <w:top w:val="nil"/>
              <w:left w:val="single" w:sz="2" w:space="0" w:color="auto"/>
              <w:bottom w:val="single" w:sz="2" w:space="0" w:color="auto"/>
              <w:right w:val="nil"/>
            </w:tcBorders>
            <w:shd w:val="clear" w:color="auto" w:fill="FFFFFF"/>
            <w:vAlign w:val="bottom"/>
          </w:tcPr>
          <w:p w14:paraId="63359D6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When there is more than one performance obligation in a contract, the transaction price must be allocated to each performance obligation, generally this needs to be done on a relative stand-alone selling basis.</w:t>
            </w:r>
          </w:p>
        </w:tc>
      </w:tr>
      <w:tr w:rsidR="002E375F" w14:paraId="41BE6CAF" w14:textId="77777777" w:rsidTr="00862FE1">
        <w:tc>
          <w:tcPr>
            <w:tcW w:w="2836" w:type="dxa"/>
            <w:tcBorders>
              <w:top w:val="nil"/>
              <w:left w:val="nil"/>
              <w:bottom w:val="single" w:sz="2" w:space="0" w:color="auto"/>
              <w:right w:val="nil"/>
            </w:tcBorders>
            <w:shd w:val="clear" w:color="auto" w:fill="FFFFFF"/>
          </w:tcPr>
          <w:p w14:paraId="6D476692" w14:textId="77777777" w:rsidR="002E375F" w:rsidRDefault="00EB2569" w:rsidP="00A776CC">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Step 5 - Recognise revenue when or as the department satisfies performance obligations</w:t>
            </w:r>
          </w:p>
        </w:tc>
        <w:tc>
          <w:tcPr>
            <w:tcW w:w="5956" w:type="dxa"/>
            <w:tcBorders>
              <w:top w:val="nil"/>
              <w:left w:val="single" w:sz="2" w:space="0" w:color="auto"/>
              <w:bottom w:val="single" w:sz="2" w:space="0" w:color="auto"/>
              <w:right w:val="nil"/>
            </w:tcBorders>
            <w:shd w:val="clear" w:color="auto" w:fill="FFFFFF"/>
            <w:vAlign w:val="bottom"/>
          </w:tcPr>
          <w:p w14:paraId="6736F0B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Revenue is recognised when the department transfers control of the good or service to the customer. A key judgement is whether a performance obligation is satisfied over time or at a point in time. And where it is satisfied over time, the department must also develop a method for measuring progress towards satisfying the obligation.</w:t>
            </w:r>
          </w:p>
        </w:tc>
      </w:tr>
    </w:tbl>
    <w:p w14:paraId="415C503D" w14:textId="77777777" w:rsidR="002E375F" w:rsidRPr="00E116EC" w:rsidRDefault="00EB2569" w:rsidP="00862FE1">
      <w:pPr>
        <w:pStyle w:val="Heading3"/>
        <w:spacing w:before="240"/>
        <w:rPr>
          <w:sz w:val="18"/>
          <w:szCs w:val="18"/>
        </w:rPr>
      </w:pPr>
      <w:r w:rsidRPr="00E116EC">
        <w:rPr>
          <w:sz w:val="18"/>
          <w:szCs w:val="18"/>
        </w:rPr>
        <w:t>2. Other changes arising from AASB 15</w:t>
      </w:r>
    </w:p>
    <w:p w14:paraId="0D7F05C3"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 has a number of grant arrangements with the Commonwealth that relate to funding of activity-based services. One of these arrangements is for the Continuity of Support (</w:t>
      </w:r>
      <w:proofErr w:type="spellStart"/>
      <w:r>
        <w:rPr>
          <w:rFonts w:ascii="Arial" w:hAnsi="Arial" w:cs="Arial"/>
          <w:sz w:val="18"/>
          <w:szCs w:val="18"/>
        </w:rPr>
        <w:t>CoS</w:t>
      </w:r>
      <w:proofErr w:type="spellEnd"/>
      <w:r>
        <w:rPr>
          <w:rFonts w:ascii="Arial" w:hAnsi="Arial" w:cs="Arial"/>
          <w:sz w:val="18"/>
          <w:szCs w:val="18"/>
        </w:rPr>
        <w:t>) program, which includes accommodation support and other grants, which the department has determined is eligible to have the revenue recognition requirements in AASB 15 applied to it.</w:t>
      </w:r>
    </w:p>
    <w:p w14:paraId="5D0CB5E5"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AASB 15 also specifies the accounting for incremental costs of obtaining a contract and costs directly relating related to fulfilling a contract.</w:t>
      </w:r>
    </w:p>
    <w:p w14:paraId="4BAB0AE7" w14:textId="77777777" w:rsidR="002E375F" w:rsidRDefault="002E375F" w:rsidP="006F0FBE">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7BCE0B4B"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2A94321C"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12532B60"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1BB3B521"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58386FC1" w14:textId="77777777" w:rsidR="00DE6DCF" w:rsidRDefault="00DE6DCF" w:rsidP="00DE6DCF">
      <w:pPr>
        <w:pStyle w:val="Heading3"/>
        <w:rPr>
          <w:sz w:val="18"/>
          <w:szCs w:val="18"/>
        </w:rPr>
      </w:pPr>
      <w:r>
        <w:t>D4 Current and Future Year Impacts of Accounting Standards Changes (continued)</w:t>
      </w:r>
    </w:p>
    <w:p w14:paraId="082424DF" w14:textId="77777777" w:rsidR="00DE6DCF" w:rsidRDefault="00DE6DCF" w:rsidP="00DE6DCF">
      <w:pPr>
        <w:pStyle w:val="Heading3"/>
        <w:rPr>
          <w:rFonts w:ascii="Arial" w:hAnsi="Arial" w:cs="Arial"/>
        </w:rPr>
      </w:pPr>
      <w:r>
        <w:t xml:space="preserve">D4-1 </w:t>
      </w:r>
      <w:r w:rsidRPr="00E116EC">
        <w:t>First Year Application of New Accounting Standards or Change in Accounting Policy (continued)</w:t>
      </w:r>
    </w:p>
    <w:p w14:paraId="6DA725BF" w14:textId="77777777" w:rsidR="00DE6DCF" w:rsidRPr="00DE6DCF" w:rsidRDefault="00DE6DCF" w:rsidP="00DE6DCF">
      <w:pPr>
        <w:pStyle w:val="Heading3"/>
        <w:rPr>
          <w:rFonts w:ascii="Arial" w:hAnsi="Arial" w:cs="Arial"/>
        </w:rPr>
      </w:pPr>
      <w:r w:rsidRPr="00DE6DCF">
        <w:t>AASB 15 Revenue from Contracts with Customers (continued)</w:t>
      </w:r>
    </w:p>
    <w:p w14:paraId="40600D11"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standard requires contract assets (accrued revenue) and contract liabilities (unearned revenue) to be shown separately and requires contract assets to be distinguished from receivables.</w:t>
      </w:r>
    </w:p>
    <w:p w14:paraId="3FE2289B"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There are extensive new disclosures, which have been included in Notes B1-2 and C8.</w:t>
      </w:r>
    </w:p>
    <w:p w14:paraId="623C9D92" w14:textId="77777777" w:rsidR="002E375F" w:rsidRPr="00E116EC" w:rsidRDefault="00EB2569" w:rsidP="00E116EC">
      <w:pPr>
        <w:pStyle w:val="Heading3"/>
        <w:rPr>
          <w:sz w:val="18"/>
          <w:szCs w:val="18"/>
        </w:rPr>
      </w:pPr>
      <w:r w:rsidRPr="00E116EC">
        <w:rPr>
          <w:sz w:val="18"/>
          <w:szCs w:val="18"/>
        </w:rPr>
        <w:t>3. Transitional impact</w:t>
      </w:r>
    </w:p>
    <w:p w14:paraId="4A75CD05" w14:textId="77777777" w:rsidR="002E375F" w:rsidRDefault="00EB2569" w:rsidP="006F0FBE">
      <w:pPr>
        <w:autoSpaceDE w:val="0"/>
        <w:autoSpaceDN w:val="0"/>
        <w:adjustRightInd w:val="0"/>
        <w:spacing w:after="141" w:line="240" w:lineRule="auto"/>
        <w:rPr>
          <w:rFonts w:ascii="Arial" w:hAnsi="Arial" w:cs="Arial"/>
          <w:sz w:val="18"/>
          <w:szCs w:val="18"/>
        </w:rPr>
      </w:pPr>
      <w:r>
        <w:rPr>
          <w:rFonts w:ascii="Arial" w:hAnsi="Arial" w:cs="Arial"/>
          <w:sz w:val="18"/>
          <w:szCs w:val="18"/>
        </w:rPr>
        <w:t>Transitional policies adopted are as follows:</w:t>
      </w:r>
    </w:p>
    <w:p w14:paraId="244710A2" w14:textId="77777777" w:rsidR="00DE6DCF" w:rsidRPr="00DE6DCF" w:rsidRDefault="00DE6DCF" w:rsidP="006F0FBE">
      <w:pPr>
        <w:pStyle w:val="ListParagraph"/>
        <w:numPr>
          <w:ilvl w:val="0"/>
          <w:numId w:val="23"/>
        </w:numPr>
        <w:autoSpaceDE w:val="0"/>
        <w:autoSpaceDN w:val="0"/>
        <w:adjustRightInd w:val="0"/>
        <w:spacing w:after="141" w:line="240" w:lineRule="auto"/>
        <w:rPr>
          <w:rFonts w:ascii="Arial" w:hAnsi="Arial" w:cs="Arial"/>
          <w:sz w:val="18"/>
          <w:szCs w:val="18"/>
        </w:rPr>
      </w:pPr>
      <w:r w:rsidRPr="00DE6DCF">
        <w:rPr>
          <w:rFonts w:ascii="Arial" w:hAnsi="Arial" w:cs="Arial"/>
          <w:sz w:val="18"/>
          <w:szCs w:val="18"/>
        </w:rPr>
        <w:t xml:space="preserve">The department applied the modified retrospective transition method and has not restated comparative information for 2018-19, which continue to be reported under AASB 118 </w:t>
      </w:r>
      <w:r w:rsidRPr="00DE6DCF">
        <w:rPr>
          <w:rFonts w:ascii="Arial" w:hAnsi="Arial" w:cs="Arial"/>
          <w:i/>
          <w:iCs/>
          <w:sz w:val="18"/>
          <w:szCs w:val="18"/>
        </w:rPr>
        <w:t>Revenue</w:t>
      </w:r>
      <w:r w:rsidRPr="00DE6DCF">
        <w:rPr>
          <w:rFonts w:ascii="Arial" w:hAnsi="Arial" w:cs="Arial"/>
          <w:sz w:val="18"/>
          <w:szCs w:val="18"/>
        </w:rPr>
        <w:t>, and related interpretations.</w:t>
      </w:r>
    </w:p>
    <w:p w14:paraId="5555EC32" w14:textId="77777777" w:rsidR="00DE6DCF" w:rsidRPr="00DE6DCF" w:rsidRDefault="00DE6DCF" w:rsidP="006F0FBE">
      <w:pPr>
        <w:pStyle w:val="ListParagraph"/>
        <w:numPr>
          <w:ilvl w:val="0"/>
          <w:numId w:val="23"/>
        </w:numPr>
        <w:autoSpaceDE w:val="0"/>
        <w:autoSpaceDN w:val="0"/>
        <w:adjustRightInd w:val="0"/>
        <w:spacing w:after="141" w:line="240" w:lineRule="auto"/>
        <w:rPr>
          <w:rFonts w:ascii="Arial" w:hAnsi="Arial" w:cs="Arial"/>
          <w:sz w:val="18"/>
          <w:szCs w:val="18"/>
        </w:rPr>
      </w:pPr>
      <w:r w:rsidRPr="00DE6DCF">
        <w:rPr>
          <w:rFonts w:ascii="Arial" w:hAnsi="Arial" w:cs="Arial"/>
          <w:sz w:val="18"/>
          <w:szCs w:val="18"/>
        </w:rPr>
        <w:t>The department elected to apply the standard retrospectively to all contracts, including completed contracts, at 1 July 2019. Completed contracts include contracts where the department had recognised all of the revenue in prior periods under AASB 1004 Contributions.</w:t>
      </w:r>
    </w:p>
    <w:p w14:paraId="5C530FBB" w14:textId="77777777" w:rsidR="002E375F" w:rsidRDefault="00EB2569" w:rsidP="006F0FBE">
      <w:pPr>
        <w:autoSpaceDE w:val="0"/>
        <w:autoSpaceDN w:val="0"/>
        <w:adjustRightInd w:val="0"/>
        <w:spacing w:after="141" w:line="240" w:lineRule="auto"/>
        <w:rPr>
          <w:rFonts w:ascii="Arial" w:hAnsi="Arial" w:cs="Arial"/>
          <w:sz w:val="18"/>
          <w:szCs w:val="18"/>
        </w:rPr>
      </w:pPr>
      <w:r>
        <w:rPr>
          <w:rFonts w:ascii="Arial" w:hAnsi="Arial" w:cs="Arial"/>
          <w:sz w:val="18"/>
          <w:szCs w:val="18"/>
        </w:rPr>
        <w:t>At 30 June 2019, grant monies totalling $13.009M were recognised as unearned revenue (refer to C8) as this was directly attributable to supporting clients in the 2019-20 financial year. At the 1 July 2019 transitional date to AASB 15, the department continued to recognise the $13.009M as unearned revenue (contract liability). This approach has resulted in a nil aggregate impact on transition to AASB 15.</w:t>
      </w:r>
    </w:p>
    <w:p w14:paraId="798F6367" w14:textId="77777777" w:rsidR="00FE5E14" w:rsidRDefault="00FE5E14" w:rsidP="00FE5E14">
      <w:pPr>
        <w:pStyle w:val="Heading3"/>
        <w:rPr>
          <w:rFonts w:ascii="Times New Roman" w:hAnsi="Times New Roman" w:cs="Times New Roman"/>
        </w:rPr>
      </w:pPr>
      <w:r>
        <w:t>(2)</w:t>
      </w:r>
      <w:r w:rsidR="00A776CC">
        <w:t xml:space="preserve"> </w:t>
      </w:r>
      <w:r w:rsidRPr="00E116EC">
        <w:t>AASB 1058 Income of Not-for-Profit Entities</w:t>
      </w:r>
    </w:p>
    <w:p w14:paraId="0CE56AE5"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 applied AASB 1058</w:t>
      </w:r>
      <w:r>
        <w:rPr>
          <w:rFonts w:ascii="Arial" w:hAnsi="Arial" w:cs="Arial"/>
          <w:i/>
          <w:iCs/>
          <w:sz w:val="18"/>
          <w:szCs w:val="18"/>
        </w:rPr>
        <w:t xml:space="preserve"> Income of Not-for-Profit Entities</w:t>
      </w:r>
      <w:r>
        <w:rPr>
          <w:rFonts w:ascii="Arial" w:hAnsi="Arial" w:cs="Arial"/>
          <w:sz w:val="18"/>
          <w:szCs w:val="18"/>
        </w:rPr>
        <w:t xml:space="preserve"> for the first time in 2019-20. The nature and effect of changes resulting from the adoption of AASB 1058 is described below.</w:t>
      </w:r>
    </w:p>
    <w:p w14:paraId="58428C10" w14:textId="77777777" w:rsidR="002E375F" w:rsidRPr="00E116EC" w:rsidRDefault="00EB2569" w:rsidP="00E116EC">
      <w:pPr>
        <w:pStyle w:val="Heading3"/>
        <w:rPr>
          <w:sz w:val="18"/>
          <w:szCs w:val="18"/>
        </w:rPr>
      </w:pPr>
      <w:r w:rsidRPr="00E116EC">
        <w:rPr>
          <w:sz w:val="18"/>
          <w:szCs w:val="18"/>
        </w:rPr>
        <w:t>1. Scope and revenue recognition under AASB 1058</w:t>
      </w:r>
    </w:p>
    <w:p w14:paraId="0C04167C"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AASB 1058 applies to transactions where the department acquires an asset for significantly less than fair value principally to enable the department to further its objectives, and to the receipt of volunteer services.</w:t>
      </w:r>
    </w:p>
    <w:p w14:paraId="13DF5044"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department's revenue line items recognised under this standard from 1 July 2019 include appropriation revenue, most grants and other contributions, and some other revenue.</w:t>
      </w:r>
    </w:p>
    <w:p w14:paraId="79170389" w14:textId="77777777" w:rsidR="002E375F" w:rsidRDefault="00EB2569" w:rsidP="00FE5E14">
      <w:pPr>
        <w:pStyle w:val="Heading3"/>
        <w:rPr>
          <w:rFonts w:ascii="Times New Roman" w:hAnsi="Times New Roman" w:cs="Times New Roman"/>
        </w:rPr>
      </w:pPr>
      <w:r>
        <w:t>General revenue recognition framework</w:t>
      </w:r>
    </w:p>
    <w:p w14:paraId="02EF9FE0" w14:textId="77777777" w:rsidR="002E375F" w:rsidRPr="00FE5E14" w:rsidRDefault="00EB2569" w:rsidP="006F0FBE">
      <w:pPr>
        <w:pStyle w:val="ListParagraph"/>
        <w:numPr>
          <w:ilvl w:val="0"/>
          <w:numId w:val="13"/>
        </w:numPr>
        <w:autoSpaceDE w:val="0"/>
        <w:autoSpaceDN w:val="0"/>
        <w:adjustRightInd w:val="0"/>
        <w:spacing w:after="141" w:line="240" w:lineRule="auto"/>
        <w:ind w:left="714" w:hanging="357"/>
        <w:rPr>
          <w:rFonts w:ascii="Arial" w:hAnsi="Arial" w:cs="Arial"/>
          <w:sz w:val="18"/>
          <w:szCs w:val="18"/>
        </w:rPr>
      </w:pPr>
      <w:r w:rsidRPr="00FE5E14">
        <w:rPr>
          <w:rFonts w:ascii="Arial" w:hAnsi="Arial" w:cs="Arial"/>
          <w:sz w:val="18"/>
          <w:szCs w:val="18"/>
        </w:rPr>
        <w:t>The revenue recognition framework for in scope transactions, other than specific-purpose capital grants, is as follows.</w:t>
      </w:r>
    </w:p>
    <w:p w14:paraId="3DD506A7" w14:textId="77777777" w:rsidR="00FE5E14" w:rsidRPr="00FE5E14" w:rsidRDefault="00FE5E14" w:rsidP="006F0FBE">
      <w:pPr>
        <w:pStyle w:val="ListParagraph"/>
        <w:numPr>
          <w:ilvl w:val="0"/>
          <w:numId w:val="13"/>
        </w:numPr>
        <w:autoSpaceDE w:val="0"/>
        <w:autoSpaceDN w:val="0"/>
        <w:adjustRightInd w:val="0"/>
        <w:spacing w:after="141" w:line="240" w:lineRule="auto"/>
        <w:ind w:left="714" w:hanging="357"/>
        <w:rPr>
          <w:rFonts w:ascii="Arial" w:hAnsi="Arial" w:cs="Arial"/>
          <w:sz w:val="18"/>
          <w:szCs w:val="18"/>
        </w:rPr>
      </w:pPr>
      <w:r w:rsidRPr="00FE5E14">
        <w:rPr>
          <w:rFonts w:ascii="Arial" w:hAnsi="Arial" w:cs="Arial"/>
          <w:sz w:val="18"/>
          <w:szCs w:val="18"/>
        </w:rPr>
        <w:t>Recognise the asset - e.g. cash, receivables, PP&amp;E, a right-of-use asset or an intangible asset.</w:t>
      </w:r>
    </w:p>
    <w:p w14:paraId="306D09F1" w14:textId="77777777" w:rsidR="00FE5E14" w:rsidRPr="00FE5E14" w:rsidRDefault="00FE5E14" w:rsidP="006F0FBE">
      <w:pPr>
        <w:pStyle w:val="ListParagraph"/>
        <w:numPr>
          <w:ilvl w:val="0"/>
          <w:numId w:val="13"/>
        </w:numPr>
        <w:autoSpaceDE w:val="0"/>
        <w:autoSpaceDN w:val="0"/>
        <w:adjustRightInd w:val="0"/>
        <w:spacing w:after="141" w:line="240" w:lineRule="auto"/>
        <w:ind w:left="714" w:hanging="357"/>
        <w:rPr>
          <w:rFonts w:ascii="Arial" w:hAnsi="Arial" w:cs="Arial"/>
          <w:sz w:val="18"/>
          <w:szCs w:val="18"/>
        </w:rPr>
      </w:pPr>
      <w:r w:rsidRPr="00FE5E14">
        <w:rPr>
          <w:rFonts w:ascii="Arial" w:hAnsi="Arial" w:cs="Arial"/>
          <w:sz w:val="18"/>
          <w:szCs w:val="18"/>
        </w:rPr>
        <w:t>Recognise related amounts - e.g. contributed equity, a financial liability, a lease liability, a contract liability or a provision; (grants and donations in many cases can have nil related amounts). Recognise the difference as income upfront.</w:t>
      </w:r>
    </w:p>
    <w:p w14:paraId="622321CA" w14:textId="77777777" w:rsidR="002E375F" w:rsidRDefault="00EB2569" w:rsidP="008405EE">
      <w:pPr>
        <w:pStyle w:val="Heading3"/>
        <w:rPr>
          <w:rFonts w:ascii="Times New Roman" w:hAnsi="Times New Roman" w:cs="Times New Roman"/>
        </w:rPr>
      </w:pPr>
      <w:r>
        <w:t>Specific-purpose capital grants</w:t>
      </w:r>
    </w:p>
    <w:p w14:paraId="78D427E8" w14:textId="77777777" w:rsidR="002E375F" w:rsidRDefault="00EB2569" w:rsidP="006F0FBE">
      <w:pPr>
        <w:autoSpaceDE w:val="0"/>
        <w:autoSpaceDN w:val="0"/>
        <w:adjustRightInd w:val="0"/>
        <w:spacing w:after="141" w:line="240" w:lineRule="auto"/>
        <w:rPr>
          <w:rFonts w:ascii="Arial" w:hAnsi="Arial" w:cs="Arial"/>
          <w:sz w:val="18"/>
          <w:szCs w:val="18"/>
        </w:rPr>
      </w:pPr>
      <w:r>
        <w:rPr>
          <w:rFonts w:ascii="Arial" w:hAnsi="Arial" w:cs="Arial"/>
          <w:sz w:val="18"/>
          <w:szCs w:val="18"/>
        </w:rPr>
        <w:t>In contrast with previous standards such as AASB 1004,</w:t>
      </w:r>
      <w:r w:rsidR="00BD728B">
        <w:rPr>
          <w:rFonts w:ascii="Arial" w:hAnsi="Arial" w:cs="Arial"/>
          <w:sz w:val="18"/>
          <w:szCs w:val="18"/>
        </w:rPr>
        <w:t xml:space="preserve"> AASB 1058 allows deferral of</w:t>
      </w:r>
      <w:r>
        <w:rPr>
          <w:rFonts w:ascii="Arial" w:hAnsi="Arial" w:cs="Arial"/>
          <w:sz w:val="18"/>
          <w:szCs w:val="18"/>
        </w:rPr>
        <w:t xml:space="preserve"> income from capital grants where:</w:t>
      </w:r>
    </w:p>
    <w:p w14:paraId="7E0BF433" w14:textId="77777777" w:rsidR="00FE5E14" w:rsidRPr="00FE5E14" w:rsidRDefault="00FE5E14" w:rsidP="006F0FBE">
      <w:pPr>
        <w:pStyle w:val="ListParagraph"/>
        <w:numPr>
          <w:ilvl w:val="0"/>
          <w:numId w:val="14"/>
        </w:numPr>
        <w:autoSpaceDE w:val="0"/>
        <w:autoSpaceDN w:val="0"/>
        <w:adjustRightInd w:val="0"/>
        <w:spacing w:after="141" w:line="240" w:lineRule="auto"/>
        <w:rPr>
          <w:rFonts w:ascii="Arial" w:hAnsi="Arial" w:cs="Arial"/>
          <w:sz w:val="18"/>
          <w:szCs w:val="18"/>
        </w:rPr>
      </w:pPr>
      <w:r w:rsidRPr="00FE5E14">
        <w:rPr>
          <w:rFonts w:ascii="Arial" w:hAnsi="Arial" w:cs="Arial"/>
          <w:sz w:val="18"/>
          <w:szCs w:val="18"/>
        </w:rPr>
        <w:t xml:space="preserve">the grant requires the department to use the funds to acquire or construct a recognisable non-financial asset (such as </w:t>
      </w:r>
      <w:proofErr w:type="spellStart"/>
      <w:r w:rsidRPr="00FE5E14">
        <w:rPr>
          <w:rFonts w:ascii="Arial" w:hAnsi="Arial" w:cs="Arial"/>
          <w:sz w:val="18"/>
          <w:szCs w:val="18"/>
        </w:rPr>
        <w:t>as</w:t>
      </w:r>
      <w:proofErr w:type="spellEnd"/>
      <w:r w:rsidRPr="00FE5E14">
        <w:rPr>
          <w:rFonts w:ascii="Arial" w:hAnsi="Arial" w:cs="Arial"/>
          <w:sz w:val="18"/>
          <w:szCs w:val="18"/>
        </w:rPr>
        <w:t xml:space="preserve"> a building) to identified specifications;</w:t>
      </w:r>
    </w:p>
    <w:p w14:paraId="2BA451B9" w14:textId="77777777" w:rsidR="00FE5E14" w:rsidRPr="00FE5E14" w:rsidRDefault="00FE5E14" w:rsidP="006F0FBE">
      <w:pPr>
        <w:pStyle w:val="ListParagraph"/>
        <w:numPr>
          <w:ilvl w:val="0"/>
          <w:numId w:val="14"/>
        </w:numPr>
        <w:autoSpaceDE w:val="0"/>
        <w:autoSpaceDN w:val="0"/>
        <w:adjustRightInd w:val="0"/>
        <w:spacing w:after="141" w:line="240" w:lineRule="auto"/>
        <w:rPr>
          <w:rFonts w:ascii="Arial" w:hAnsi="Arial" w:cs="Arial"/>
          <w:sz w:val="18"/>
          <w:szCs w:val="18"/>
        </w:rPr>
      </w:pPr>
      <w:r w:rsidRPr="00FE5E14">
        <w:rPr>
          <w:rFonts w:ascii="Arial" w:hAnsi="Arial" w:cs="Arial"/>
          <w:sz w:val="18"/>
          <w:szCs w:val="18"/>
        </w:rPr>
        <w:t>the grant does not require the department to transfer the asset to other parties; and</w:t>
      </w:r>
    </w:p>
    <w:p w14:paraId="59DFF029" w14:textId="77777777" w:rsidR="00FE5E14" w:rsidRPr="00FE5E14" w:rsidRDefault="00FE5E14" w:rsidP="006F0FBE">
      <w:pPr>
        <w:pStyle w:val="ListParagraph"/>
        <w:numPr>
          <w:ilvl w:val="0"/>
          <w:numId w:val="14"/>
        </w:numPr>
        <w:autoSpaceDE w:val="0"/>
        <w:autoSpaceDN w:val="0"/>
        <w:adjustRightInd w:val="0"/>
        <w:spacing w:after="141" w:line="240" w:lineRule="auto"/>
        <w:rPr>
          <w:rFonts w:ascii="Arial" w:hAnsi="Arial" w:cs="Arial"/>
          <w:sz w:val="18"/>
          <w:szCs w:val="18"/>
        </w:rPr>
      </w:pPr>
      <w:r w:rsidRPr="00FE5E14">
        <w:rPr>
          <w:rFonts w:ascii="Arial" w:hAnsi="Arial" w:cs="Arial"/>
          <w:sz w:val="18"/>
          <w:szCs w:val="18"/>
        </w:rPr>
        <w:t>the grant agreement is enforceable.</w:t>
      </w:r>
    </w:p>
    <w:p w14:paraId="7F0D3972"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For these capital grants, the funding received is initially deferred in an unearned revenue liability and subsequently recognised as revenue as or when the department satisfies the obligations under the agreement.</w:t>
      </w:r>
    </w:p>
    <w:p w14:paraId="3961C17A" w14:textId="77777777" w:rsidR="002E375F" w:rsidRDefault="002E375F" w:rsidP="006F0FBE">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764830EC"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4A89B223"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1F83D1D7"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1F15F8E1"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28F98610" w14:textId="77777777" w:rsidR="00FE5E14" w:rsidRPr="00255F08" w:rsidRDefault="00FE5E14" w:rsidP="00255F08">
      <w:pPr>
        <w:pStyle w:val="Heading3"/>
      </w:pPr>
      <w:r w:rsidRPr="00255F08">
        <w:t>D4 Current and Future Year Impacts of Accounting Standards Changes (continued)</w:t>
      </w:r>
    </w:p>
    <w:p w14:paraId="0798E1BE" w14:textId="77777777" w:rsidR="00FE5E14" w:rsidRPr="00255F08" w:rsidRDefault="00FE5E14" w:rsidP="00255F08">
      <w:pPr>
        <w:pStyle w:val="Heading3"/>
      </w:pPr>
      <w:r w:rsidRPr="00255F08">
        <w:t>D4-1 First Year Application of New Accounting Standards or Change in Accounting Policy (continued)</w:t>
      </w:r>
    </w:p>
    <w:p w14:paraId="0F18E5E8" w14:textId="77777777" w:rsidR="002E375F" w:rsidRPr="00E116EC" w:rsidRDefault="00EB2569" w:rsidP="00E116EC">
      <w:pPr>
        <w:pStyle w:val="Heading3"/>
        <w:rPr>
          <w:sz w:val="18"/>
          <w:szCs w:val="18"/>
        </w:rPr>
      </w:pPr>
      <w:r w:rsidRPr="00E116EC">
        <w:rPr>
          <w:sz w:val="18"/>
          <w:szCs w:val="18"/>
        </w:rPr>
        <w:t>Volunteer Services</w:t>
      </w:r>
    </w:p>
    <w:p w14:paraId="4938AB61"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Under AASB 1058, the department will continue to recognise volunteer services only when the services would have been purchased if they had not been donated, and the fair value of the services can be measured reliably. This treatment is the same as in prior years.</w:t>
      </w:r>
    </w:p>
    <w:p w14:paraId="1E1387A0"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Refer to Note A4 for further information on the volunteer services the department has received from other state government agencies during the financial year.</w:t>
      </w:r>
    </w:p>
    <w:p w14:paraId="6E46C15D" w14:textId="77777777" w:rsidR="002E375F" w:rsidRPr="00E116EC" w:rsidRDefault="00EB2569" w:rsidP="00E116EC">
      <w:pPr>
        <w:pStyle w:val="Heading3"/>
        <w:rPr>
          <w:sz w:val="18"/>
          <w:szCs w:val="18"/>
        </w:rPr>
      </w:pPr>
      <w:r w:rsidRPr="00E116EC">
        <w:rPr>
          <w:sz w:val="18"/>
          <w:szCs w:val="18"/>
        </w:rPr>
        <w:t>2. Transitional impact</w:t>
      </w:r>
    </w:p>
    <w:p w14:paraId="2B750E7D" w14:textId="77777777" w:rsidR="002E375F" w:rsidRDefault="00EB2569" w:rsidP="006F0FBE">
      <w:pPr>
        <w:autoSpaceDE w:val="0"/>
        <w:autoSpaceDN w:val="0"/>
        <w:adjustRightInd w:val="0"/>
        <w:spacing w:after="141" w:line="240" w:lineRule="auto"/>
        <w:rPr>
          <w:rFonts w:ascii="Arial" w:hAnsi="Arial" w:cs="Arial"/>
          <w:sz w:val="18"/>
          <w:szCs w:val="18"/>
        </w:rPr>
      </w:pPr>
      <w:r>
        <w:rPr>
          <w:rFonts w:ascii="Arial" w:hAnsi="Arial" w:cs="Arial"/>
          <w:sz w:val="18"/>
          <w:szCs w:val="18"/>
        </w:rPr>
        <w:t>Transitional policies adopted are as follows:</w:t>
      </w:r>
    </w:p>
    <w:p w14:paraId="44B99512" w14:textId="77777777" w:rsidR="00FE5E14" w:rsidRPr="00FE5E14" w:rsidRDefault="00FE5E14" w:rsidP="006F0FBE">
      <w:pPr>
        <w:pStyle w:val="ListParagraph"/>
        <w:numPr>
          <w:ilvl w:val="0"/>
          <w:numId w:val="15"/>
        </w:numPr>
        <w:autoSpaceDE w:val="0"/>
        <w:autoSpaceDN w:val="0"/>
        <w:adjustRightInd w:val="0"/>
        <w:spacing w:after="141" w:line="240" w:lineRule="auto"/>
        <w:rPr>
          <w:rFonts w:ascii="Arial" w:hAnsi="Arial" w:cs="Arial"/>
          <w:sz w:val="18"/>
          <w:szCs w:val="18"/>
        </w:rPr>
      </w:pPr>
      <w:r w:rsidRPr="00FE5E14">
        <w:rPr>
          <w:rFonts w:ascii="Arial" w:hAnsi="Arial" w:cs="Arial"/>
          <w:sz w:val="18"/>
          <w:szCs w:val="18"/>
        </w:rPr>
        <w:t>The department applied the modified retrospective transition method and has not restated comparative information for 2018-19. They continue to be reported under relevant standards applicable in 2018-19, such as AASB 1004.</w:t>
      </w:r>
    </w:p>
    <w:p w14:paraId="1E98AE34" w14:textId="77777777" w:rsidR="00FE5E14" w:rsidRPr="00FE5E14" w:rsidRDefault="00FE5E14" w:rsidP="006F0FBE">
      <w:pPr>
        <w:pStyle w:val="ListParagraph"/>
        <w:numPr>
          <w:ilvl w:val="0"/>
          <w:numId w:val="15"/>
        </w:numPr>
        <w:autoSpaceDE w:val="0"/>
        <w:autoSpaceDN w:val="0"/>
        <w:adjustRightInd w:val="0"/>
        <w:spacing w:after="141" w:line="240" w:lineRule="auto"/>
        <w:rPr>
          <w:rFonts w:ascii="Arial" w:hAnsi="Arial" w:cs="Arial"/>
          <w:sz w:val="18"/>
          <w:szCs w:val="18"/>
        </w:rPr>
      </w:pPr>
      <w:r w:rsidRPr="00FE5E14">
        <w:rPr>
          <w:rFonts w:ascii="Arial" w:hAnsi="Arial" w:cs="Arial"/>
          <w:sz w:val="18"/>
          <w:szCs w:val="18"/>
        </w:rPr>
        <w:t>The department elected to apply the standard retrospectively to all contracts, including completed contracts, at 1 July 2019. Completed contracts are contracts where the department had recognised all of the revenue in prior periods under AASB 1004.</w:t>
      </w:r>
    </w:p>
    <w:p w14:paraId="625FD27C"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Revenue recognition for the department's appropriations, taxes, royalties and most grants and contributions will not change under AASB 1058, as compared to AASB 1004. Revenue will continue to be recognised when the department gains control of the asset (e.g. cash or receivable) in most instances.</w:t>
      </w:r>
    </w:p>
    <w:p w14:paraId="111AD7D6" w14:textId="77777777" w:rsidR="002E375F" w:rsidRDefault="00EB2569" w:rsidP="006F0FBE">
      <w:pPr>
        <w:autoSpaceDE w:val="0"/>
        <w:autoSpaceDN w:val="0"/>
        <w:adjustRightInd w:val="0"/>
        <w:spacing w:after="141" w:line="240" w:lineRule="auto"/>
        <w:rPr>
          <w:rFonts w:ascii="Arial" w:hAnsi="Arial" w:cs="Arial"/>
          <w:sz w:val="18"/>
          <w:szCs w:val="18"/>
        </w:rPr>
      </w:pPr>
      <w:r>
        <w:rPr>
          <w:rFonts w:ascii="Arial" w:hAnsi="Arial" w:cs="Arial"/>
          <w:sz w:val="18"/>
          <w:szCs w:val="18"/>
        </w:rPr>
        <w:t>A few of the department's grants will fall within the scope of AASB 15</w:t>
      </w:r>
      <w:r>
        <w:rPr>
          <w:rFonts w:ascii="Arial" w:hAnsi="Arial" w:cs="Arial"/>
          <w:i/>
          <w:iCs/>
          <w:sz w:val="18"/>
          <w:szCs w:val="18"/>
        </w:rPr>
        <w:t xml:space="preserve"> Revenue from Contracts with Customers</w:t>
      </w:r>
      <w:r>
        <w:rPr>
          <w:rFonts w:ascii="Arial" w:hAnsi="Arial" w:cs="Arial"/>
          <w:sz w:val="18"/>
          <w:szCs w:val="18"/>
        </w:rPr>
        <w:t>, the transitional impacts of which are disclosed above.</w:t>
      </w:r>
    </w:p>
    <w:p w14:paraId="4DD6D8B9" w14:textId="77777777" w:rsidR="00FE5E14" w:rsidRDefault="00FE5E14" w:rsidP="00FE5E14">
      <w:pPr>
        <w:pStyle w:val="Heading3"/>
        <w:rPr>
          <w:rFonts w:ascii="Times New Roman" w:hAnsi="Times New Roman" w:cs="Times New Roman"/>
        </w:rPr>
      </w:pPr>
      <w:r>
        <w:t>(3)</w:t>
      </w:r>
      <w:r w:rsidR="00BD4AB9">
        <w:t xml:space="preserve"> </w:t>
      </w:r>
      <w:r w:rsidRPr="00E116EC">
        <w:t>AASB 16 Leases</w:t>
      </w:r>
    </w:p>
    <w:p w14:paraId="464522F3"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The department applied AASB 16 </w:t>
      </w:r>
      <w:r>
        <w:rPr>
          <w:rFonts w:ascii="Arial" w:hAnsi="Arial" w:cs="Arial"/>
          <w:i/>
          <w:iCs/>
          <w:sz w:val="18"/>
          <w:szCs w:val="18"/>
        </w:rPr>
        <w:t>Leases</w:t>
      </w:r>
      <w:r>
        <w:rPr>
          <w:rFonts w:ascii="Arial" w:hAnsi="Arial" w:cs="Arial"/>
          <w:sz w:val="18"/>
          <w:szCs w:val="18"/>
        </w:rPr>
        <w:t xml:space="preserve"> for the first time in 2019-20. The department applied the modified retrospective transition method and has not restated comparative information for 2018-19, which continues to be reported under AASB 117 </w:t>
      </w:r>
      <w:r>
        <w:rPr>
          <w:rFonts w:ascii="Arial" w:hAnsi="Arial" w:cs="Arial"/>
          <w:i/>
          <w:iCs/>
          <w:sz w:val="18"/>
          <w:szCs w:val="18"/>
        </w:rPr>
        <w:t>Leases</w:t>
      </w:r>
      <w:r>
        <w:rPr>
          <w:rFonts w:ascii="Arial" w:hAnsi="Arial" w:cs="Arial"/>
          <w:sz w:val="18"/>
          <w:szCs w:val="18"/>
        </w:rPr>
        <w:t xml:space="preserve"> and related interpretations.</w:t>
      </w:r>
    </w:p>
    <w:p w14:paraId="655A93C6"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nature and effect of changes resulting from the adoption of AASB 16 are described below.</w:t>
      </w:r>
    </w:p>
    <w:p w14:paraId="5EE4086A" w14:textId="77777777" w:rsidR="002E375F" w:rsidRPr="00E116EC" w:rsidRDefault="00EB2569" w:rsidP="00E116EC">
      <w:pPr>
        <w:pStyle w:val="Heading3"/>
        <w:rPr>
          <w:sz w:val="18"/>
          <w:szCs w:val="18"/>
        </w:rPr>
      </w:pPr>
      <w:r w:rsidRPr="00E116EC">
        <w:rPr>
          <w:sz w:val="18"/>
          <w:szCs w:val="18"/>
        </w:rPr>
        <w:t>1. Definition of a lease</w:t>
      </w:r>
    </w:p>
    <w:p w14:paraId="6D23C384"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AASB 16 introduced new guidance on the definition of a lease.</w:t>
      </w:r>
    </w:p>
    <w:p w14:paraId="10108635"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For leases and lease-like arrangements existing at 30 June 2019, the department elected to apply the practical expedient to grandfather the previous assessments made under AASB 117 and Interpretation 4 </w:t>
      </w:r>
      <w:r>
        <w:rPr>
          <w:rFonts w:ascii="Arial" w:hAnsi="Arial" w:cs="Arial"/>
          <w:i/>
          <w:iCs/>
          <w:sz w:val="18"/>
          <w:szCs w:val="18"/>
        </w:rPr>
        <w:t xml:space="preserve">Determining whether an Arrangement contains a Lease </w:t>
      </w:r>
      <w:r>
        <w:rPr>
          <w:rFonts w:ascii="Arial" w:hAnsi="Arial" w:cs="Arial"/>
          <w:sz w:val="18"/>
          <w:szCs w:val="18"/>
        </w:rPr>
        <w:t>about whether those contracts contained leases. However, arrangements were reassessed under AASB 16 where no formal assessment had been done in the past or where lease agreements were modified on 1 July 2019.</w:t>
      </w:r>
    </w:p>
    <w:p w14:paraId="64F95E6B" w14:textId="77777777" w:rsidR="002E375F" w:rsidRPr="00E116EC" w:rsidRDefault="00EB2569" w:rsidP="00E116EC">
      <w:pPr>
        <w:pStyle w:val="Heading3"/>
        <w:rPr>
          <w:sz w:val="18"/>
          <w:szCs w:val="18"/>
        </w:rPr>
      </w:pPr>
      <w:r w:rsidRPr="00E116EC">
        <w:rPr>
          <w:sz w:val="18"/>
          <w:szCs w:val="18"/>
        </w:rPr>
        <w:t>Amendments to former operating leases for office accommodation</w:t>
      </w:r>
    </w:p>
    <w:p w14:paraId="4DA80D6E"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In 2018-19, the department held operating leases under AASB 117 from the Department of Housing and Public Works for non-specialised commercial office accommodation through the Queensland Government Accommodation Office (QGAO). Effective 1 July 2019, the framework agreements that govern QGAO were amended with the result that these arrangements would not meet the definition of a lease under AASB 16 and therefore are exempt from lease accounting.</w:t>
      </w:r>
    </w:p>
    <w:p w14:paraId="431817A4"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From 2019-20 onward, the costs for these services are expensed as supplies and services when incurred. The new accounting treatment is due to a change in the contractual arrangements rather than a change in accounting policy.</w:t>
      </w:r>
    </w:p>
    <w:p w14:paraId="0E4FD0E3" w14:textId="77777777" w:rsidR="002E375F" w:rsidRDefault="002E375F" w:rsidP="006F0FBE">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270D53EE" w14:textId="77777777" w:rsidR="008571E3" w:rsidRDefault="00EB2569" w:rsidP="008405EE">
      <w:pPr>
        <w:pStyle w:val="Heading2"/>
        <w:spacing w:before="0"/>
      </w:pPr>
      <w:r>
        <w:lastRenderedPageBreak/>
        <w:t>Department of Communities, Disability Services and Seniors</w:t>
      </w:r>
    </w:p>
    <w:p w14:paraId="4559A588"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1B30249B"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20F90BC1"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0D449C7F" w14:textId="77777777" w:rsidR="00746A7C" w:rsidRDefault="00746A7C" w:rsidP="00746A7C">
      <w:pPr>
        <w:pStyle w:val="Heading3"/>
      </w:pPr>
      <w:r>
        <w:t>D4 Current and Future Year Impacts of Accounting Standards Changes (continued)</w:t>
      </w:r>
    </w:p>
    <w:p w14:paraId="1C345C27" w14:textId="77777777" w:rsidR="00746A7C" w:rsidRDefault="00746A7C" w:rsidP="00746A7C">
      <w:pPr>
        <w:pStyle w:val="Heading3"/>
      </w:pPr>
      <w:r>
        <w:t>D4-1 First Year Application of New Accounting Standards or Change in Accounting Policy (continued)</w:t>
      </w:r>
    </w:p>
    <w:p w14:paraId="1FBFF77F" w14:textId="77777777" w:rsidR="002E375F" w:rsidRPr="00E116EC" w:rsidRDefault="00EB2569" w:rsidP="00E116EC">
      <w:pPr>
        <w:pStyle w:val="Heading3"/>
        <w:rPr>
          <w:sz w:val="18"/>
          <w:szCs w:val="18"/>
        </w:rPr>
      </w:pPr>
      <w:r w:rsidRPr="00E116EC">
        <w:rPr>
          <w:sz w:val="18"/>
          <w:szCs w:val="18"/>
        </w:rPr>
        <w:t>2. Changes to lessee accounting</w:t>
      </w:r>
    </w:p>
    <w:p w14:paraId="228686E0"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Previously, the department classified its leases as operating or finance leases based on whether the lease transferred significantly all of the risks and rewards incidental to ownership of the asset to the lessee.</w:t>
      </w:r>
    </w:p>
    <w:p w14:paraId="1DF0FAA5"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This distinction between operating and finance leases no longer exists for lessee accounting under AASB 16. From 1 July 2019, all leases, other than short-term leases and leases of low value assets, are now recognised on balance sheet as lease liabilities and right-of-use assets.</w:t>
      </w:r>
    </w:p>
    <w:p w14:paraId="40CC596B" w14:textId="77777777" w:rsidR="002E375F" w:rsidRPr="00E116EC" w:rsidRDefault="00EB2569" w:rsidP="00E116EC">
      <w:pPr>
        <w:pStyle w:val="Heading3"/>
        <w:rPr>
          <w:sz w:val="18"/>
          <w:szCs w:val="18"/>
        </w:rPr>
      </w:pPr>
      <w:r w:rsidRPr="00E116EC">
        <w:rPr>
          <w:sz w:val="18"/>
          <w:szCs w:val="18"/>
        </w:rPr>
        <w:t>Lease liabilities</w:t>
      </w:r>
    </w:p>
    <w:p w14:paraId="7A8F30AA" w14:textId="77777777" w:rsidR="002E375F" w:rsidRDefault="00EB2569" w:rsidP="006F0FBE">
      <w:pPr>
        <w:autoSpaceDE w:val="0"/>
        <w:autoSpaceDN w:val="0"/>
        <w:adjustRightInd w:val="0"/>
        <w:spacing w:after="141" w:line="240" w:lineRule="auto"/>
        <w:rPr>
          <w:rFonts w:ascii="Arial" w:hAnsi="Arial" w:cs="Arial"/>
          <w:sz w:val="18"/>
          <w:szCs w:val="18"/>
        </w:rPr>
      </w:pPr>
      <w:r>
        <w:rPr>
          <w:rFonts w:ascii="Arial" w:hAnsi="Arial" w:cs="Arial"/>
          <w:sz w:val="18"/>
          <w:szCs w:val="18"/>
        </w:rPr>
        <w:t>Lease liabilities are initially recognised at the present value of lease payments over the lease term that are not yet paid. The lease term includes any extension or renewal options that the department is reasonably certain to exercise. The future lease payments included in the calculation of the lease liability comprise the following:</w:t>
      </w:r>
    </w:p>
    <w:p w14:paraId="624ADEF2" w14:textId="77777777" w:rsidR="00746A7C" w:rsidRPr="004D2A69" w:rsidRDefault="00746A7C" w:rsidP="004D2A69">
      <w:pPr>
        <w:pStyle w:val="ListParagraph"/>
        <w:numPr>
          <w:ilvl w:val="0"/>
          <w:numId w:val="28"/>
        </w:numPr>
        <w:autoSpaceDE w:val="0"/>
        <w:autoSpaceDN w:val="0"/>
        <w:adjustRightInd w:val="0"/>
        <w:spacing w:after="141" w:line="240" w:lineRule="auto"/>
        <w:rPr>
          <w:rFonts w:ascii="Arial" w:hAnsi="Arial" w:cs="Arial"/>
          <w:sz w:val="18"/>
          <w:szCs w:val="18"/>
        </w:rPr>
      </w:pPr>
      <w:r w:rsidRPr="004D2A69">
        <w:rPr>
          <w:rFonts w:ascii="Arial" w:hAnsi="Arial" w:cs="Arial"/>
          <w:sz w:val="18"/>
          <w:szCs w:val="18"/>
        </w:rPr>
        <w:t>fixed payments (including in-substance fixed payments), less any lease incentives receivable</w:t>
      </w:r>
    </w:p>
    <w:p w14:paraId="6D57C70C" w14:textId="77777777" w:rsidR="00746A7C" w:rsidRPr="004D2A69" w:rsidRDefault="00746A7C" w:rsidP="004D2A69">
      <w:pPr>
        <w:pStyle w:val="ListParagraph"/>
        <w:numPr>
          <w:ilvl w:val="0"/>
          <w:numId w:val="28"/>
        </w:numPr>
        <w:autoSpaceDE w:val="0"/>
        <w:autoSpaceDN w:val="0"/>
        <w:adjustRightInd w:val="0"/>
        <w:spacing w:after="141" w:line="240" w:lineRule="auto"/>
        <w:rPr>
          <w:rFonts w:ascii="Arial" w:hAnsi="Arial" w:cs="Arial"/>
          <w:sz w:val="18"/>
          <w:szCs w:val="18"/>
        </w:rPr>
      </w:pPr>
      <w:r w:rsidRPr="004D2A69">
        <w:rPr>
          <w:rFonts w:ascii="Arial" w:hAnsi="Arial" w:cs="Arial"/>
          <w:sz w:val="18"/>
          <w:szCs w:val="18"/>
        </w:rPr>
        <w:t>variable lease payments that depend on an index or rate, initially measured using the index or rate as at the commencement date</w:t>
      </w:r>
    </w:p>
    <w:p w14:paraId="5B7C0F18" w14:textId="77777777" w:rsidR="00746A7C" w:rsidRPr="004D2A69" w:rsidRDefault="00746A7C" w:rsidP="004D2A69">
      <w:pPr>
        <w:pStyle w:val="ListParagraph"/>
        <w:numPr>
          <w:ilvl w:val="0"/>
          <w:numId w:val="28"/>
        </w:numPr>
        <w:autoSpaceDE w:val="0"/>
        <w:autoSpaceDN w:val="0"/>
        <w:adjustRightInd w:val="0"/>
        <w:spacing w:after="141" w:line="240" w:lineRule="auto"/>
        <w:rPr>
          <w:rFonts w:ascii="Arial" w:hAnsi="Arial" w:cs="Arial"/>
          <w:sz w:val="18"/>
          <w:szCs w:val="18"/>
        </w:rPr>
      </w:pPr>
      <w:r w:rsidRPr="004D2A69">
        <w:rPr>
          <w:rFonts w:ascii="Arial" w:hAnsi="Arial" w:cs="Arial"/>
          <w:sz w:val="18"/>
          <w:szCs w:val="18"/>
        </w:rPr>
        <w:t>amounts expected to be payable by the department under residual value guarantees</w:t>
      </w:r>
    </w:p>
    <w:p w14:paraId="415BEFC0" w14:textId="77777777" w:rsidR="00746A7C" w:rsidRPr="004D2A69" w:rsidRDefault="00746A7C" w:rsidP="004D2A69">
      <w:pPr>
        <w:pStyle w:val="ListParagraph"/>
        <w:numPr>
          <w:ilvl w:val="0"/>
          <w:numId w:val="28"/>
        </w:numPr>
        <w:autoSpaceDE w:val="0"/>
        <w:autoSpaceDN w:val="0"/>
        <w:adjustRightInd w:val="0"/>
        <w:spacing w:after="141" w:line="240" w:lineRule="auto"/>
        <w:rPr>
          <w:rFonts w:ascii="Arial" w:hAnsi="Arial" w:cs="Arial"/>
          <w:sz w:val="18"/>
          <w:szCs w:val="18"/>
        </w:rPr>
      </w:pPr>
      <w:r w:rsidRPr="004D2A69">
        <w:rPr>
          <w:rFonts w:ascii="Arial" w:hAnsi="Arial" w:cs="Arial"/>
          <w:sz w:val="18"/>
          <w:szCs w:val="18"/>
        </w:rPr>
        <w:t>the exercise price of a purchase option that the department is reasonably certain to exercise</w:t>
      </w:r>
    </w:p>
    <w:p w14:paraId="7F095F07" w14:textId="77777777" w:rsidR="00746A7C" w:rsidRPr="004D2A69" w:rsidRDefault="00746A7C" w:rsidP="004D2A69">
      <w:pPr>
        <w:pStyle w:val="ListParagraph"/>
        <w:numPr>
          <w:ilvl w:val="0"/>
          <w:numId w:val="28"/>
        </w:numPr>
        <w:autoSpaceDE w:val="0"/>
        <w:autoSpaceDN w:val="0"/>
        <w:adjustRightInd w:val="0"/>
        <w:spacing w:after="141" w:line="240" w:lineRule="auto"/>
        <w:rPr>
          <w:rFonts w:ascii="Arial" w:hAnsi="Arial" w:cs="Arial"/>
          <w:sz w:val="18"/>
          <w:szCs w:val="18"/>
        </w:rPr>
      </w:pPr>
      <w:r w:rsidRPr="004D2A69">
        <w:rPr>
          <w:rFonts w:ascii="Arial" w:hAnsi="Arial" w:cs="Arial"/>
          <w:sz w:val="18"/>
          <w:szCs w:val="18"/>
        </w:rPr>
        <w:t>payments for termination penalties, if the lease term reflects the early termination</w:t>
      </w:r>
    </w:p>
    <w:p w14:paraId="258F9E49"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discount rate used is the interest rate implicit in the lease, or the department's incremental borrowing rate if the implicit rate cannot be readily determined.</w:t>
      </w:r>
    </w:p>
    <w:p w14:paraId="11B80B0C"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Subsequently, the lease liabilities are increased by the interest charge and reduced by the amount of lease payments. Lease liabilities are also remeasured in certain situations such as a change in variable lease payments that depend on an index or rate (e.g. a market rent review), or a change in the lease term.</w:t>
      </w:r>
    </w:p>
    <w:p w14:paraId="5C8C8B7F" w14:textId="77777777" w:rsidR="002E375F" w:rsidRPr="00E116EC" w:rsidRDefault="00EB2569" w:rsidP="00E116EC">
      <w:pPr>
        <w:pStyle w:val="Heading3"/>
        <w:rPr>
          <w:sz w:val="18"/>
          <w:szCs w:val="18"/>
        </w:rPr>
      </w:pPr>
      <w:r w:rsidRPr="00E116EC">
        <w:rPr>
          <w:sz w:val="18"/>
          <w:szCs w:val="18"/>
        </w:rPr>
        <w:t>Right-of-use assets</w:t>
      </w:r>
    </w:p>
    <w:p w14:paraId="16D07390" w14:textId="77777777" w:rsidR="002E375F" w:rsidRDefault="00EB2569" w:rsidP="006F0FBE">
      <w:pPr>
        <w:autoSpaceDE w:val="0"/>
        <w:autoSpaceDN w:val="0"/>
        <w:adjustRightInd w:val="0"/>
        <w:spacing w:after="141" w:line="240" w:lineRule="auto"/>
        <w:rPr>
          <w:rFonts w:ascii="Arial" w:hAnsi="Arial" w:cs="Arial"/>
          <w:sz w:val="18"/>
          <w:szCs w:val="18"/>
        </w:rPr>
      </w:pPr>
      <w:r>
        <w:rPr>
          <w:rFonts w:ascii="Arial" w:hAnsi="Arial" w:cs="Arial"/>
          <w:sz w:val="18"/>
          <w:szCs w:val="18"/>
        </w:rPr>
        <w:t>Right-of-use assets are initially recognised at cost comprising the following:</w:t>
      </w:r>
    </w:p>
    <w:p w14:paraId="55EE086B" w14:textId="77777777" w:rsidR="004D2A69" w:rsidRPr="004D2A69" w:rsidRDefault="004D2A69" w:rsidP="004D2A69">
      <w:pPr>
        <w:pStyle w:val="ListParagraph"/>
        <w:numPr>
          <w:ilvl w:val="0"/>
          <w:numId w:val="29"/>
        </w:numPr>
        <w:autoSpaceDE w:val="0"/>
        <w:autoSpaceDN w:val="0"/>
        <w:adjustRightInd w:val="0"/>
        <w:spacing w:after="141" w:line="240" w:lineRule="auto"/>
        <w:rPr>
          <w:rFonts w:ascii="Arial" w:hAnsi="Arial" w:cs="Arial"/>
          <w:sz w:val="18"/>
          <w:szCs w:val="18"/>
        </w:rPr>
      </w:pPr>
      <w:r w:rsidRPr="004D2A69">
        <w:rPr>
          <w:rFonts w:ascii="Arial" w:hAnsi="Arial" w:cs="Arial"/>
          <w:sz w:val="18"/>
          <w:szCs w:val="18"/>
        </w:rPr>
        <w:t>the amount of the initial measurement of the lease liability</w:t>
      </w:r>
    </w:p>
    <w:p w14:paraId="27C5D80D" w14:textId="77777777" w:rsidR="004D2A69" w:rsidRPr="004D2A69" w:rsidRDefault="004D2A69" w:rsidP="004D2A69">
      <w:pPr>
        <w:pStyle w:val="ListParagraph"/>
        <w:numPr>
          <w:ilvl w:val="0"/>
          <w:numId w:val="29"/>
        </w:numPr>
        <w:autoSpaceDE w:val="0"/>
        <w:autoSpaceDN w:val="0"/>
        <w:adjustRightInd w:val="0"/>
        <w:spacing w:after="141" w:line="240" w:lineRule="auto"/>
        <w:rPr>
          <w:rFonts w:ascii="Arial" w:hAnsi="Arial" w:cs="Arial"/>
          <w:sz w:val="18"/>
          <w:szCs w:val="18"/>
        </w:rPr>
      </w:pPr>
      <w:r w:rsidRPr="004D2A69">
        <w:rPr>
          <w:rFonts w:ascii="Arial" w:hAnsi="Arial" w:cs="Arial"/>
          <w:sz w:val="18"/>
          <w:szCs w:val="18"/>
        </w:rPr>
        <w:t>lease payments made at or before the commencement date, less any lease incentives received</w:t>
      </w:r>
    </w:p>
    <w:p w14:paraId="6BFE22C4" w14:textId="77777777" w:rsidR="004D2A69" w:rsidRPr="004D2A69" w:rsidRDefault="004D2A69" w:rsidP="004D2A69">
      <w:pPr>
        <w:pStyle w:val="ListParagraph"/>
        <w:numPr>
          <w:ilvl w:val="0"/>
          <w:numId w:val="29"/>
        </w:numPr>
        <w:autoSpaceDE w:val="0"/>
        <w:autoSpaceDN w:val="0"/>
        <w:adjustRightInd w:val="0"/>
        <w:spacing w:after="141" w:line="240" w:lineRule="auto"/>
        <w:rPr>
          <w:rFonts w:ascii="Arial" w:hAnsi="Arial" w:cs="Arial"/>
          <w:sz w:val="18"/>
          <w:szCs w:val="18"/>
        </w:rPr>
      </w:pPr>
      <w:r w:rsidRPr="004D2A69">
        <w:rPr>
          <w:rFonts w:ascii="Arial" w:hAnsi="Arial" w:cs="Arial"/>
          <w:sz w:val="18"/>
          <w:szCs w:val="18"/>
        </w:rPr>
        <w:t>initial direct costs incurred, and</w:t>
      </w:r>
    </w:p>
    <w:p w14:paraId="0F88B450" w14:textId="77777777" w:rsidR="004D2A69" w:rsidRPr="004D2A69" w:rsidRDefault="004D2A69" w:rsidP="004D2A69">
      <w:pPr>
        <w:pStyle w:val="ListParagraph"/>
        <w:numPr>
          <w:ilvl w:val="0"/>
          <w:numId w:val="29"/>
        </w:numPr>
        <w:autoSpaceDE w:val="0"/>
        <w:autoSpaceDN w:val="0"/>
        <w:adjustRightInd w:val="0"/>
        <w:spacing w:after="141" w:line="240" w:lineRule="auto"/>
        <w:rPr>
          <w:rFonts w:ascii="Arial" w:hAnsi="Arial" w:cs="Arial"/>
          <w:sz w:val="18"/>
          <w:szCs w:val="18"/>
        </w:rPr>
      </w:pPr>
      <w:r w:rsidRPr="004D2A69">
        <w:rPr>
          <w:rFonts w:ascii="Arial" w:hAnsi="Arial" w:cs="Arial"/>
          <w:sz w:val="18"/>
          <w:szCs w:val="18"/>
        </w:rPr>
        <w:t>the initial estimate of restoration costs</w:t>
      </w:r>
    </w:p>
    <w:p w14:paraId="0A7A2553"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Right-of-use assets will subsequently give rise to a depreciation expense and be subject to impairment.</w:t>
      </w:r>
    </w:p>
    <w:p w14:paraId="0AF6A6D7"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Right-of-use assets differ in substance from leased assets previously recognised under finance leases in that the asset represents the intangible right to use the underlying asset, rather than the underlying asset itself.</w:t>
      </w:r>
    </w:p>
    <w:p w14:paraId="336B36BC" w14:textId="77777777" w:rsidR="002E375F" w:rsidRPr="00E116EC" w:rsidRDefault="00EB2569" w:rsidP="00E116EC">
      <w:pPr>
        <w:pStyle w:val="Heading3"/>
        <w:rPr>
          <w:sz w:val="18"/>
          <w:szCs w:val="18"/>
        </w:rPr>
      </w:pPr>
      <w:r w:rsidRPr="00E116EC">
        <w:rPr>
          <w:sz w:val="18"/>
          <w:szCs w:val="18"/>
        </w:rPr>
        <w:t>Short term leases and leases of low value assets</w:t>
      </w:r>
    </w:p>
    <w:p w14:paraId="331F9FB7"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 has elected to recognise lease payments for short term leases and leases of low value assets as expenses on a straight-line basis over the lease term, rather than accounting for them on balance sheet. This accounting treatment is similar to that used for operating leases under AASB 117.</w:t>
      </w:r>
    </w:p>
    <w:p w14:paraId="5F3F0C04" w14:textId="77777777" w:rsidR="002E375F" w:rsidRPr="00E116EC" w:rsidRDefault="00EB2569" w:rsidP="00E116EC">
      <w:pPr>
        <w:pStyle w:val="Heading3"/>
        <w:rPr>
          <w:sz w:val="18"/>
          <w:szCs w:val="18"/>
        </w:rPr>
      </w:pPr>
      <w:r w:rsidRPr="00E116EC">
        <w:rPr>
          <w:sz w:val="18"/>
          <w:szCs w:val="18"/>
        </w:rPr>
        <w:t>3. Transitional impact</w:t>
      </w:r>
    </w:p>
    <w:p w14:paraId="10BCDBCF" w14:textId="77777777" w:rsidR="002E375F" w:rsidRDefault="00EB2569" w:rsidP="00E116EC">
      <w:pPr>
        <w:pStyle w:val="Heading3"/>
        <w:rPr>
          <w:sz w:val="18"/>
          <w:szCs w:val="18"/>
        </w:rPr>
      </w:pPr>
      <w:r w:rsidRPr="00E116EC">
        <w:rPr>
          <w:sz w:val="18"/>
          <w:szCs w:val="18"/>
        </w:rPr>
        <w:t>Former operating leases as lessee</w:t>
      </w:r>
    </w:p>
    <w:p w14:paraId="38494C52" w14:textId="77777777" w:rsidR="006F0FBE" w:rsidRPr="006F0FBE" w:rsidRDefault="006F0FBE" w:rsidP="006F0FBE">
      <w:pPr>
        <w:pStyle w:val="ListParagraph"/>
        <w:numPr>
          <w:ilvl w:val="0"/>
          <w:numId w:val="26"/>
        </w:numPr>
        <w:rPr>
          <w:rFonts w:ascii="Arial" w:hAnsi="Arial" w:cs="Arial"/>
          <w:sz w:val="18"/>
          <w:szCs w:val="18"/>
        </w:rPr>
      </w:pPr>
      <w:r w:rsidRPr="006F0FBE">
        <w:rPr>
          <w:rFonts w:ascii="Arial" w:hAnsi="Arial" w:cs="Arial"/>
          <w:sz w:val="18"/>
          <w:szCs w:val="18"/>
        </w:rPr>
        <w:t>After extensive review one former operating lease, other than the exempt QGAO leases, is now recognised on balance sheet as a right-of-use asset and lease liability.</w:t>
      </w:r>
    </w:p>
    <w:p w14:paraId="6F01C180" w14:textId="77777777" w:rsidR="006F0FBE" w:rsidRPr="006F0FBE" w:rsidRDefault="006F0FBE" w:rsidP="006F0FBE">
      <w:pPr>
        <w:pStyle w:val="ListParagraph"/>
        <w:numPr>
          <w:ilvl w:val="0"/>
          <w:numId w:val="26"/>
        </w:numPr>
        <w:rPr>
          <w:rFonts w:ascii="Arial" w:hAnsi="Arial" w:cs="Arial"/>
          <w:sz w:val="18"/>
          <w:szCs w:val="18"/>
        </w:rPr>
      </w:pPr>
      <w:r w:rsidRPr="006F0FBE">
        <w:rPr>
          <w:rFonts w:ascii="Arial" w:hAnsi="Arial" w:cs="Arial"/>
          <w:sz w:val="18"/>
          <w:szCs w:val="18"/>
        </w:rPr>
        <w:t>On transition, the lease liability was measured at the present value of the remaining lease payments discounted at the department's incremental borrowing rate at 1 July 2019.</w:t>
      </w:r>
    </w:p>
    <w:p w14:paraId="316931EE" w14:textId="77777777" w:rsidR="006F0FBE" w:rsidRPr="006F0FBE" w:rsidRDefault="006F0FBE" w:rsidP="006F0FBE">
      <w:pPr>
        <w:pStyle w:val="ListParagraph"/>
        <w:numPr>
          <w:ilvl w:val="0"/>
          <w:numId w:val="26"/>
        </w:numPr>
        <w:rPr>
          <w:rFonts w:ascii="Arial" w:hAnsi="Arial" w:cs="Arial"/>
          <w:sz w:val="18"/>
          <w:szCs w:val="18"/>
        </w:rPr>
      </w:pPr>
      <w:r w:rsidRPr="006F0FBE">
        <w:rPr>
          <w:rFonts w:ascii="Arial" w:hAnsi="Arial" w:cs="Arial"/>
          <w:sz w:val="18"/>
          <w:szCs w:val="18"/>
        </w:rPr>
        <w:t>The department's weighted average incremental borrowing rate on 1 July 2019 was 1.619%.</w:t>
      </w:r>
    </w:p>
    <w:p w14:paraId="2BAD36A1"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2F1576B0"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6576FA41"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206B71EC"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54FE2A33"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35A5BA99" w14:textId="77777777" w:rsidR="004D2A69" w:rsidRDefault="004D2A69" w:rsidP="004D2A69">
      <w:pPr>
        <w:pStyle w:val="Heading3"/>
      </w:pPr>
      <w:r>
        <w:t>D4 Current and Future Year Impacts of Accounting Standards Changes (continued)</w:t>
      </w:r>
    </w:p>
    <w:p w14:paraId="31F451C8" w14:textId="77777777" w:rsidR="004D2A69" w:rsidRDefault="004D2A69" w:rsidP="004D2A69">
      <w:pPr>
        <w:pStyle w:val="Heading3"/>
      </w:pPr>
      <w:r>
        <w:t>D4-1 First Year Application of New Accounting Standards or Change in Accounting Policy (continued)</w:t>
      </w:r>
    </w:p>
    <w:p w14:paraId="04F2231A" w14:textId="77777777" w:rsidR="00BD4AB9" w:rsidRPr="00862FE1" w:rsidRDefault="00BD4AB9" w:rsidP="00862FE1">
      <w:pPr>
        <w:pStyle w:val="ListParagraph"/>
        <w:numPr>
          <w:ilvl w:val="0"/>
          <w:numId w:val="26"/>
        </w:numPr>
        <w:rPr>
          <w:rFonts w:ascii="Arial" w:hAnsi="Arial" w:cs="Arial"/>
          <w:sz w:val="18"/>
          <w:szCs w:val="18"/>
        </w:rPr>
      </w:pPr>
      <w:r>
        <w:rPr>
          <w:rFonts w:ascii="Arial" w:hAnsi="Arial" w:cs="Arial"/>
          <w:sz w:val="18"/>
          <w:szCs w:val="18"/>
        </w:rPr>
        <w:t>The right-of-use assets was measured at an amount equal to the lease liability, adjusted by the amount of any prepaid or accrued lease payments.</w:t>
      </w:r>
    </w:p>
    <w:p w14:paraId="58394DD2" w14:textId="77777777" w:rsidR="00BD4AB9" w:rsidRPr="00862FE1" w:rsidRDefault="00BD4AB9" w:rsidP="00862FE1">
      <w:pPr>
        <w:pStyle w:val="ListParagraph"/>
        <w:numPr>
          <w:ilvl w:val="0"/>
          <w:numId w:val="26"/>
        </w:numPr>
        <w:rPr>
          <w:rFonts w:ascii="Arial" w:hAnsi="Arial" w:cs="Arial"/>
          <w:sz w:val="18"/>
          <w:szCs w:val="18"/>
        </w:rPr>
      </w:pPr>
      <w:r>
        <w:rPr>
          <w:rFonts w:ascii="Arial" w:hAnsi="Arial" w:cs="Arial"/>
          <w:sz w:val="18"/>
          <w:szCs w:val="18"/>
        </w:rPr>
        <w:t>The new right-of-use asset was tested for impairment on transition and was found not to be impaired.</w:t>
      </w:r>
    </w:p>
    <w:p w14:paraId="296B6607" w14:textId="77777777" w:rsidR="00BD4AB9" w:rsidRPr="00862FE1" w:rsidRDefault="00BD4AB9" w:rsidP="00862FE1">
      <w:pPr>
        <w:pStyle w:val="ListParagraph"/>
        <w:numPr>
          <w:ilvl w:val="0"/>
          <w:numId w:val="26"/>
        </w:numPr>
        <w:rPr>
          <w:rFonts w:ascii="Arial" w:hAnsi="Arial" w:cs="Arial"/>
          <w:sz w:val="18"/>
          <w:szCs w:val="18"/>
        </w:rPr>
      </w:pPr>
      <w:r>
        <w:rPr>
          <w:rFonts w:ascii="Arial" w:hAnsi="Arial" w:cs="Arial"/>
          <w:sz w:val="18"/>
          <w:szCs w:val="18"/>
        </w:rPr>
        <w:t>On transition the department used practical expedients to:</w:t>
      </w:r>
    </w:p>
    <w:p w14:paraId="1835F43C" w14:textId="77777777" w:rsidR="00BD4AB9" w:rsidRPr="00862FE1" w:rsidRDefault="00BD4AB9" w:rsidP="00862FE1">
      <w:pPr>
        <w:pStyle w:val="ListParagraph"/>
        <w:numPr>
          <w:ilvl w:val="1"/>
          <w:numId w:val="26"/>
        </w:numPr>
        <w:rPr>
          <w:rFonts w:ascii="Arial" w:hAnsi="Arial" w:cs="Arial"/>
          <w:sz w:val="18"/>
          <w:szCs w:val="18"/>
        </w:rPr>
      </w:pPr>
      <w:r>
        <w:rPr>
          <w:rFonts w:ascii="Arial" w:hAnsi="Arial" w:cs="Arial"/>
          <w:sz w:val="18"/>
          <w:szCs w:val="18"/>
        </w:rPr>
        <w:t>not recognise right-of-use assets and lease liabilities for leases that end within 12 months of the date of initial application and leases of low value assets;</w:t>
      </w:r>
    </w:p>
    <w:p w14:paraId="68E76588" w14:textId="77777777" w:rsidR="00BD4AB9" w:rsidRPr="00862FE1" w:rsidRDefault="00BD4AB9" w:rsidP="00862FE1">
      <w:pPr>
        <w:pStyle w:val="ListParagraph"/>
        <w:numPr>
          <w:ilvl w:val="1"/>
          <w:numId w:val="26"/>
        </w:numPr>
        <w:rPr>
          <w:rFonts w:ascii="Arial" w:hAnsi="Arial" w:cs="Arial"/>
          <w:sz w:val="18"/>
          <w:szCs w:val="18"/>
        </w:rPr>
      </w:pPr>
      <w:r>
        <w:rPr>
          <w:rFonts w:ascii="Arial" w:hAnsi="Arial" w:cs="Arial"/>
          <w:sz w:val="18"/>
          <w:szCs w:val="18"/>
        </w:rPr>
        <w:t>exclude initial direct costs from the measurement of right-of-use assets; and</w:t>
      </w:r>
    </w:p>
    <w:p w14:paraId="102EF40B" w14:textId="77777777" w:rsidR="00BD4AB9" w:rsidRPr="00862FE1" w:rsidRDefault="00BD4AB9" w:rsidP="00862FE1">
      <w:pPr>
        <w:pStyle w:val="ListParagraph"/>
        <w:numPr>
          <w:ilvl w:val="1"/>
          <w:numId w:val="26"/>
        </w:numPr>
        <w:rPr>
          <w:rFonts w:ascii="Arial" w:hAnsi="Arial" w:cs="Arial"/>
          <w:sz w:val="18"/>
          <w:szCs w:val="18"/>
        </w:rPr>
      </w:pPr>
      <w:r>
        <w:rPr>
          <w:rFonts w:ascii="Arial" w:hAnsi="Arial" w:cs="Arial"/>
          <w:sz w:val="18"/>
          <w:szCs w:val="18"/>
        </w:rPr>
        <w:t>use hindsight when determining the lease term.</w:t>
      </w:r>
    </w:p>
    <w:p w14:paraId="7454F11B"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transitional impact of all qualifying lease arrangements that were recognised on balance sheet, under AASB 16 were:</w:t>
      </w:r>
    </w:p>
    <w:p w14:paraId="79B291F7" w14:textId="77777777" w:rsidR="00BD4AB9" w:rsidRPr="00862FE1" w:rsidRDefault="00BD4AB9" w:rsidP="00862FE1">
      <w:pPr>
        <w:pStyle w:val="ListParagraph"/>
        <w:numPr>
          <w:ilvl w:val="0"/>
          <w:numId w:val="26"/>
        </w:numPr>
        <w:rPr>
          <w:rFonts w:ascii="Arial" w:hAnsi="Arial" w:cs="Arial"/>
          <w:sz w:val="18"/>
          <w:szCs w:val="18"/>
        </w:rPr>
      </w:pPr>
      <w:r>
        <w:rPr>
          <w:rFonts w:ascii="Arial" w:hAnsi="Arial" w:cs="Arial"/>
          <w:sz w:val="18"/>
          <w:szCs w:val="18"/>
        </w:rPr>
        <w:t>balance sheet impact on 1 July 2019:</w:t>
      </w:r>
    </w:p>
    <w:p w14:paraId="5296A5FE" w14:textId="77777777" w:rsidR="00BD4AB9" w:rsidRPr="00862FE1" w:rsidRDefault="00BD4AB9" w:rsidP="00862FE1">
      <w:pPr>
        <w:pStyle w:val="ListParagraph"/>
        <w:numPr>
          <w:ilvl w:val="1"/>
          <w:numId w:val="26"/>
        </w:numPr>
        <w:rPr>
          <w:rFonts w:ascii="Arial" w:hAnsi="Arial" w:cs="Arial"/>
          <w:sz w:val="18"/>
          <w:szCs w:val="18"/>
        </w:rPr>
      </w:pPr>
      <w:r>
        <w:rPr>
          <w:rFonts w:ascii="Arial" w:hAnsi="Arial" w:cs="Arial"/>
          <w:sz w:val="18"/>
          <w:szCs w:val="18"/>
        </w:rPr>
        <w:t>$0.102M increase in lease liabilities;</w:t>
      </w:r>
    </w:p>
    <w:p w14:paraId="786AE573" w14:textId="77777777" w:rsidR="00BD4AB9" w:rsidRPr="00862FE1" w:rsidRDefault="00BD4AB9" w:rsidP="00862FE1">
      <w:pPr>
        <w:pStyle w:val="ListParagraph"/>
        <w:numPr>
          <w:ilvl w:val="1"/>
          <w:numId w:val="26"/>
        </w:numPr>
        <w:rPr>
          <w:rFonts w:ascii="Arial" w:hAnsi="Arial" w:cs="Arial"/>
          <w:sz w:val="18"/>
          <w:szCs w:val="18"/>
        </w:rPr>
      </w:pPr>
      <w:r>
        <w:rPr>
          <w:rFonts w:ascii="Arial" w:hAnsi="Arial" w:cs="Arial"/>
          <w:sz w:val="18"/>
          <w:szCs w:val="18"/>
        </w:rPr>
        <w:t>$0.102M increase in right-of-use assets;</w:t>
      </w:r>
    </w:p>
    <w:p w14:paraId="37F1675C" w14:textId="77777777" w:rsidR="00BD4AB9" w:rsidRPr="00862FE1" w:rsidRDefault="00BD4AB9" w:rsidP="00862FE1">
      <w:pPr>
        <w:pStyle w:val="ListParagraph"/>
        <w:numPr>
          <w:ilvl w:val="1"/>
          <w:numId w:val="26"/>
        </w:numPr>
        <w:rPr>
          <w:rFonts w:ascii="Arial" w:hAnsi="Arial" w:cs="Arial"/>
          <w:sz w:val="18"/>
          <w:szCs w:val="18"/>
        </w:rPr>
      </w:pPr>
      <w:r>
        <w:rPr>
          <w:rFonts w:ascii="Arial" w:hAnsi="Arial" w:cs="Arial"/>
          <w:sz w:val="18"/>
          <w:szCs w:val="18"/>
        </w:rPr>
        <w:t>nil impact to opening accumulated surplus.</w:t>
      </w:r>
    </w:p>
    <w:p w14:paraId="4317148E" w14:textId="77777777" w:rsidR="00BD4AB9" w:rsidRPr="00862FE1" w:rsidRDefault="00BD4AB9" w:rsidP="00862FE1">
      <w:pPr>
        <w:pStyle w:val="ListParagraph"/>
        <w:numPr>
          <w:ilvl w:val="0"/>
          <w:numId w:val="26"/>
        </w:numPr>
        <w:rPr>
          <w:rFonts w:ascii="Arial" w:hAnsi="Arial" w:cs="Arial"/>
          <w:sz w:val="18"/>
          <w:szCs w:val="18"/>
        </w:rPr>
      </w:pPr>
      <w:r>
        <w:rPr>
          <w:rFonts w:ascii="Arial" w:hAnsi="Arial" w:cs="Arial"/>
          <w:sz w:val="18"/>
          <w:szCs w:val="18"/>
        </w:rPr>
        <w:t>income statement impact for the 2019-20 financial year, as compared to 2018-19:</w:t>
      </w:r>
    </w:p>
    <w:p w14:paraId="677C6725" w14:textId="77777777" w:rsidR="00BD4AB9" w:rsidRPr="00862FE1" w:rsidRDefault="00BD4AB9" w:rsidP="00862FE1">
      <w:pPr>
        <w:pStyle w:val="ListParagraph"/>
        <w:numPr>
          <w:ilvl w:val="1"/>
          <w:numId w:val="26"/>
        </w:numPr>
        <w:rPr>
          <w:rFonts w:ascii="Arial" w:hAnsi="Arial" w:cs="Arial"/>
          <w:sz w:val="18"/>
          <w:szCs w:val="18"/>
        </w:rPr>
      </w:pPr>
      <w:r>
        <w:rPr>
          <w:rFonts w:ascii="Arial" w:hAnsi="Arial" w:cs="Arial"/>
          <w:sz w:val="18"/>
          <w:szCs w:val="18"/>
        </w:rPr>
        <w:t>$0.051M increase in depreciation and amortisation expense;</w:t>
      </w:r>
    </w:p>
    <w:p w14:paraId="2A8DF54C" w14:textId="77777777" w:rsidR="00BD4AB9" w:rsidRPr="00862FE1" w:rsidRDefault="00BD4AB9" w:rsidP="00862FE1">
      <w:pPr>
        <w:pStyle w:val="ListParagraph"/>
        <w:numPr>
          <w:ilvl w:val="1"/>
          <w:numId w:val="26"/>
        </w:numPr>
        <w:rPr>
          <w:rFonts w:ascii="Arial" w:hAnsi="Arial" w:cs="Arial"/>
          <w:sz w:val="18"/>
          <w:szCs w:val="18"/>
        </w:rPr>
      </w:pPr>
      <w:r>
        <w:rPr>
          <w:rFonts w:ascii="Arial" w:hAnsi="Arial" w:cs="Arial"/>
          <w:sz w:val="18"/>
          <w:szCs w:val="18"/>
        </w:rPr>
        <w:t>$0.001M increase in interest expense;</w:t>
      </w:r>
    </w:p>
    <w:p w14:paraId="23082BF1" w14:textId="77777777" w:rsidR="00BD4AB9" w:rsidRPr="00862FE1" w:rsidRDefault="00BD4AB9" w:rsidP="00862FE1">
      <w:pPr>
        <w:pStyle w:val="ListParagraph"/>
        <w:numPr>
          <w:ilvl w:val="1"/>
          <w:numId w:val="26"/>
        </w:numPr>
        <w:rPr>
          <w:rFonts w:ascii="Arial" w:hAnsi="Arial" w:cs="Arial"/>
          <w:sz w:val="18"/>
          <w:szCs w:val="18"/>
        </w:rPr>
      </w:pPr>
      <w:r>
        <w:rPr>
          <w:rFonts w:ascii="Arial" w:hAnsi="Arial" w:cs="Arial"/>
          <w:sz w:val="18"/>
          <w:szCs w:val="18"/>
        </w:rPr>
        <w:t>$0.051M decrease in supplies and services expense;</w:t>
      </w:r>
    </w:p>
    <w:p w14:paraId="0B8A9365" w14:textId="77777777" w:rsidR="00BD4AB9" w:rsidRPr="00862FE1" w:rsidRDefault="00BD4AB9" w:rsidP="00862FE1">
      <w:pPr>
        <w:pStyle w:val="ListParagraph"/>
        <w:numPr>
          <w:ilvl w:val="1"/>
          <w:numId w:val="26"/>
        </w:numPr>
        <w:rPr>
          <w:rFonts w:ascii="Arial" w:hAnsi="Arial" w:cs="Arial"/>
          <w:sz w:val="18"/>
          <w:szCs w:val="18"/>
        </w:rPr>
      </w:pPr>
      <w:r>
        <w:rPr>
          <w:rFonts w:ascii="Arial" w:hAnsi="Arial" w:cs="Arial"/>
          <w:sz w:val="18"/>
          <w:szCs w:val="18"/>
        </w:rPr>
        <w:t>This results in a net increase of $0.001M in total expenses.</w:t>
      </w:r>
    </w:p>
    <w:p w14:paraId="5E45512C" w14:textId="77777777" w:rsidR="00FE5E14" w:rsidRDefault="00FE5E14" w:rsidP="00FE5E14">
      <w:pPr>
        <w:pStyle w:val="Heading3"/>
      </w:pPr>
      <w:r>
        <w:t>D4-2 Future Impact of Accounting Standards Not Yet Effective</w:t>
      </w:r>
    </w:p>
    <w:p w14:paraId="2447E9C4"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At the date of authorisation of the financial report, the expected impacts of new or amended Australian Accounting Standards issued with future effective dates are set out below:</w:t>
      </w:r>
    </w:p>
    <w:p w14:paraId="75DFC371" w14:textId="77777777" w:rsidR="002E375F" w:rsidRPr="00E116EC" w:rsidRDefault="00EB2569" w:rsidP="00E116EC">
      <w:pPr>
        <w:pStyle w:val="Heading3"/>
        <w:rPr>
          <w:sz w:val="18"/>
          <w:szCs w:val="18"/>
        </w:rPr>
      </w:pPr>
      <w:r w:rsidRPr="00E116EC">
        <w:rPr>
          <w:sz w:val="18"/>
          <w:szCs w:val="18"/>
        </w:rPr>
        <w:t>AASB 1059 Service Concession Arrangements: Grantors</w:t>
      </w:r>
    </w:p>
    <w:p w14:paraId="2459AB95"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AASB 1059 will first apply to the department's financial statements in 2020-21. This standard defines service concession arrangements and applies a new control concept to the recognition of service concession assets and related liabilities.</w:t>
      </w:r>
    </w:p>
    <w:p w14:paraId="1F182B67"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As the department does not have any service concession arrangements in operation now, or plans to have them in the future, the impact of adoption of the standard is expected to be immaterial.</w:t>
      </w:r>
    </w:p>
    <w:p w14:paraId="7D45D1B3" w14:textId="77777777" w:rsidR="00FE5E14" w:rsidRPr="00255F08" w:rsidRDefault="00FE5E14" w:rsidP="00255F08">
      <w:pPr>
        <w:pStyle w:val="Heading3"/>
      </w:pPr>
      <w:r w:rsidRPr="00255F08">
        <w:t>E1 Budgetary Reporting Disclosures</w:t>
      </w:r>
    </w:p>
    <w:p w14:paraId="7A8AC492" w14:textId="77777777" w:rsidR="00FE5E14" w:rsidRPr="00255F08" w:rsidRDefault="00FE5E14" w:rsidP="00255F08">
      <w:pPr>
        <w:pStyle w:val="Heading3"/>
      </w:pPr>
      <w:r w:rsidRPr="00255F08">
        <w:t>E1-1 Explanation of Major Variances – Income Statement</w:t>
      </w:r>
    </w:p>
    <w:p w14:paraId="38A421AE" w14:textId="77777777" w:rsidR="002E375F" w:rsidRPr="00E116EC" w:rsidRDefault="00EB2569" w:rsidP="00E116EC">
      <w:pPr>
        <w:pStyle w:val="Heading3"/>
        <w:rPr>
          <w:sz w:val="18"/>
          <w:szCs w:val="18"/>
        </w:rPr>
      </w:pPr>
      <w:r w:rsidRPr="00E116EC">
        <w:rPr>
          <w:sz w:val="18"/>
          <w:szCs w:val="18"/>
        </w:rPr>
        <w:t>Appropriation revenue</w:t>
      </w:r>
    </w:p>
    <w:p w14:paraId="0BACE7CE"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appropriation revenue balance at year end is $2.827M (0.8%) lower than budget of $361.571M mainly due to the Community Drought Support program, the reallocation of funding for the COVID-19 International Students Support package from the Department of State Development, Tourism and Innovation, the Royal Commission into violence, abuse, neglect and exploitation of people with disability, and enterprise bargaining outcomes, additional funding for voluntary redundancy payouts for National Disability Insurance Scheme (NDIS) transitioning staff, as well as funds from the Commonwealth for the NDIS Assessment and Referral Team and Outreach programs. Funding adjustments for these programs is offset by end of year appropriation deferrals for programs with commitments continuing into the 2020-21 financial year.</w:t>
      </w:r>
    </w:p>
    <w:p w14:paraId="03458A47"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1DD6815D" w14:textId="77777777" w:rsidR="002E375F" w:rsidRDefault="00EB2569" w:rsidP="008571E3">
      <w:pPr>
        <w:pStyle w:val="Heading2"/>
        <w:rPr>
          <w:rFonts w:ascii="Times New Roman" w:hAnsi="Times New Roman" w:cs="Times New Roman"/>
          <w:sz w:val="24"/>
          <w:szCs w:val="24"/>
        </w:rPr>
      </w:pPr>
      <w:r>
        <w:lastRenderedPageBreak/>
        <w:t>Department of Communities, Disability Services and Seniors</w:t>
      </w:r>
    </w:p>
    <w:p w14:paraId="492D8FC6" w14:textId="77777777" w:rsidR="002E375F" w:rsidRDefault="00EB2569" w:rsidP="008571E3">
      <w:pPr>
        <w:pStyle w:val="Heading2"/>
        <w:rPr>
          <w:rFonts w:ascii="Times New Roman" w:hAnsi="Times New Roman" w:cs="Times New Roman"/>
          <w:sz w:val="24"/>
          <w:szCs w:val="24"/>
        </w:rPr>
      </w:pPr>
      <w:r>
        <w:t>Notes to the Financial Statements</w:t>
      </w:r>
    </w:p>
    <w:p w14:paraId="73F1783E" w14:textId="77777777" w:rsidR="002E375F" w:rsidRDefault="00EB2569" w:rsidP="008571E3">
      <w:pPr>
        <w:pStyle w:val="Heading2"/>
        <w:rPr>
          <w:rFonts w:ascii="Times New Roman" w:hAnsi="Times New Roman" w:cs="Times New Roman"/>
          <w:sz w:val="24"/>
          <w:szCs w:val="24"/>
        </w:rPr>
      </w:pPr>
      <w:r>
        <w:t>for the year ended 30 June 2020</w:t>
      </w:r>
    </w:p>
    <w:p w14:paraId="119ED026"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14A3EB65" w14:textId="77777777" w:rsidR="00FE5E14" w:rsidRPr="00255F08" w:rsidRDefault="00FE5E14" w:rsidP="00255F08">
      <w:pPr>
        <w:pStyle w:val="Heading3"/>
      </w:pPr>
      <w:r w:rsidRPr="00255F08">
        <w:t>E1 Budgetary Reporting Disclosures (continued)</w:t>
      </w:r>
    </w:p>
    <w:p w14:paraId="6F8A2DE6" w14:textId="77777777" w:rsidR="00FE5E14" w:rsidRPr="00255F08" w:rsidRDefault="00FE5E14" w:rsidP="00255F08">
      <w:pPr>
        <w:pStyle w:val="Heading3"/>
      </w:pPr>
      <w:r w:rsidRPr="00255F08">
        <w:t>E1-1 Explanation of Major Variances – Income Statement (continued)</w:t>
      </w:r>
    </w:p>
    <w:p w14:paraId="230FB0D7" w14:textId="77777777" w:rsidR="002E375F" w:rsidRPr="00E116EC" w:rsidRDefault="00EB2569" w:rsidP="00E116EC">
      <w:pPr>
        <w:pStyle w:val="Heading3"/>
        <w:rPr>
          <w:sz w:val="18"/>
          <w:szCs w:val="18"/>
        </w:rPr>
      </w:pPr>
      <w:r w:rsidRPr="00E116EC">
        <w:rPr>
          <w:sz w:val="18"/>
          <w:szCs w:val="18"/>
        </w:rPr>
        <w:t>User charges and fees</w:t>
      </w:r>
    </w:p>
    <w:p w14:paraId="2BFFEB51"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increase in revenue of $0.467M (6.7%) compared to budget $6.957M is mainly due to funding received from the NDIS for specialist disability accommodation and higher than anticipated revenue received from user charges by the department, offset by reductions relating to ceasing inter-departmental billing arrangements.</w:t>
      </w:r>
    </w:p>
    <w:p w14:paraId="13F359A5" w14:textId="77777777" w:rsidR="002E375F" w:rsidRPr="00E116EC" w:rsidRDefault="00EB2569" w:rsidP="00E116EC">
      <w:pPr>
        <w:pStyle w:val="Heading3"/>
        <w:rPr>
          <w:sz w:val="18"/>
          <w:szCs w:val="18"/>
        </w:rPr>
      </w:pPr>
      <w:r w:rsidRPr="00E116EC">
        <w:rPr>
          <w:sz w:val="18"/>
          <w:szCs w:val="18"/>
        </w:rPr>
        <w:t>Grants and other contributions</w:t>
      </w:r>
    </w:p>
    <w:p w14:paraId="79C2D2E6" w14:textId="77777777" w:rsidR="00215788" w:rsidRDefault="00EB2569" w:rsidP="006F0FBE">
      <w:pPr>
        <w:autoSpaceDE w:val="0"/>
        <w:autoSpaceDN w:val="0"/>
        <w:adjustRightInd w:val="0"/>
        <w:spacing w:after="141" w:line="240" w:lineRule="auto"/>
        <w:rPr>
          <w:rFonts w:ascii="Arial" w:hAnsi="Arial" w:cs="Arial"/>
          <w:sz w:val="18"/>
          <w:szCs w:val="18"/>
        </w:rPr>
      </w:pPr>
      <w:r>
        <w:rPr>
          <w:rFonts w:ascii="Arial" w:hAnsi="Arial" w:cs="Arial"/>
          <w:sz w:val="18"/>
          <w:szCs w:val="18"/>
        </w:rPr>
        <w:t xml:space="preserve">The increase in grants and other contributions revenue is $2.832 (23.4%) above budget of $12.088M due to additional revenue received from the Commonwealth for refurbishment of residential supported accommodation for </w:t>
      </w:r>
      <w:proofErr w:type="spellStart"/>
      <w:r>
        <w:rPr>
          <w:rFonts w:ascii="Arial" w:hAnsi="Arial" w:cs="Arial"/>
          <w:sz w:val="18"/>
          <w:szCs w:val="18"/>
        </w:rPr>
        <w:t>CoS</w:t>
      </w:r>
      <w:proofErr w:type="spellEnd"/>
      <w:r>
        <w:rPr>
          <w:rFonts w:ascii="Arial" w:hAnsi="Arial" w:cs="Arial"/>
          <w:sz w:val="18"/>
          <w:szCs w:val="18"/>
        </w:rPr>
        <w:t xml:space="preserve"> clients (capital expenditure).</w:t>
      </w:r>
    </w:p>
    <w:p w14:paraId="4221B817" w14:textId="77777777" w:rsidR="002E375F" w:rsidRPr="00E116EC" w:rsidRDefault="00EB2569" w:rsidP="00E116EC">
      <w:pPr>
        <w:pStyle w:val="Heading3"/>
        <w:rPr>
          <w:sz w:val="18"/>
          <w:szCs w:val="18"/>
        </w:rPr>
      </w:pPr>
      <w:r w:rsidRPr="00E116EC">
        <w:rPr>
          <w:sz w:val="18"/>
          <w:szCs w:val="18"/>
        </w:rPr>
        <w:t>Reversal of revaluation decrement</w:t>
      </w:r>
    </w:p>
    <w:p w14:paraId="22A031FC"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The reversal of the revaluation decrement balance at </w:t>
      </w:r>
      <w:proofErr w:type="spellStart"/>
      <w:r>
        <w:rPr>
          <w:rFonts w:ascii="Arial" w:hAnsi="Arial" w:cs="Arial"/>
          <w:sz w:val="18"/>
          <w:szCs w:val="18"/>
        </w:rPr>
        <w:t>year end</w:t>
      </w:r>
      <w:proofErr w:type="spellEnd"/>
      <w:r>
        <w:rPr>
          <w:rFonts w:ascii="Arial" w:hAnsi="Arial" w:cs="Arial"/>
          <w:sz w:val="18"/>
          <w:szCs w:val="18"/>
        </w:rPr>
        <w:t xml:space="preserve"> of $6.410M is due to the increment on the annual revaluation of land and buildings assets being adjusted against the historical revaluation decrement. A budget was not provided for this item due to the difficulty in forecasting revaluation movements across the asset portfolio.</w:t>
      </w:r>
    </w:p>
    <w:p w14:paraId="76AA4C09" w14:textId="77777777" w:rsidR="002E375F" w:rsidRPr="00E116EC" w:rsidRDefault="00EB2569" w:rsidP="00E116EC">
      <w:pPr>
        <w:pStyle w:val="Heading3"/>
        <w:rPr>
          <w:sz w:val="18"/>
          <w:szCs w:val="18"/>
        </w:rPr>
      </w:pPr>
      <w:r w:rsidRPr="00E116EC">
        <w:rPr>
          <w:sz w:val="18"/>
          <w:szCs w:val="18"/>
        </w:rPr>
        <w:t>Other revenue</w:t>
      </w:r>
    </w:p>
    <w:p w14:paraId="7E33FE03"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Other revenue received includes return of $15.197M unspent grant monies from prior years. These funds were not included within the original budget due to the difficulty in forecasting the magnitude of unspent funds as a result of the transition of disability services to the NDIA. Other revenue also includes a contribution of $3.239M received from the Commonwealth via Queensland Health for 50% reimbursement of COVID-19 pandemic expenses.</w:t>
      </w:r>
    </w:p>
    <w:p w14:paraId="2BA4A5F6" w14:textId="77777777" w:rsidR="002E375F" w:rsidRPr="00E116EC" w:rsidRDefault="00EB2569" w:rsidP="00E116EC">
      <w:pPr>
        <w:pStyle w:val="Heading3"/>
        <w:rPr>
          <w:sz w:val="18"/>
          <w:szCs w:val="18"/>
        </w:rPr>
      </w:pPr>
      <w:r w:rsidRPr="00E116EC">
        <w:rPr>
          <w:sz w:val="18"/>
          <w:szCs w:val="18"/>
        </w:rPr>
        <w:t>Employee expenses</w:t>
      </w:r>
    </w:p>
    <w:p w14:paraId="667FA55B"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increase in employee expenses of $4.116M (2.2%) compared to budget of $189.666M is mainly due to NDIS related incentive payments and ongoing staffing to support the slower than anticipated transition of specialist disability services’ clients to the NDIS, and the engagement of staff for delivery of the NDIS Assessment and Referral Team and Outreach programs funded by the Commonwealth.</w:t>
      </w:r>
    </w:p>
    <w:p w14:paraId="49F78FD7" w14:textId="77777777" w:rsidR="002E375F" w:rsidRPr="00E116EC" w:rsidRDefault="00EB2569" w:rsidP="00E116EC">
      <w:pPr>
        <w:pStyle w:val="Heading3"/>
        <w:rPr>
          <w:sz w:val="18"/>
          <w:szCs w:val="18"/>
        </w:rPr>
      </w:pPr>
      <w:r w:rsidRPr="00E116EC">
        <w:rPr>
          <w:sz w:val="18"/>
          <w:szCs w:val="18"/>
        </w:rPr>
        <w:t>Supplies and services</w:t>
      </w:r>
    </w:p>
    <w:p w14:paraId="395607A5"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Supplies and services expenses were $3.475M (2.1%) lower than the budget of $167.326M due to a number of outsourced service delivery programs being delayed, in some cases due to the COVID-19 pandemic, and as a result of reclassification of several programs from supplies and services to grants and subsidies in accordance with accounting policy.</w:t>
      </w:r>
    </w:p>
    <w:p w14:paraId="347004EE" w14:textId="77777777" w:rsidR="002E375F" w:rsidRPr="00E116EC" w:rsidRDefault="00EB2569" w:rsidP="00E116EC">
      <w:pPr>
        <w:pStyle w:val="Heading3"/>
        <w:rPr>
          <w:sz w:val="18"/>
          <w:szCs w:val="18"/>
        </w:rPr>
      </w:pPr>
      <w:r w:rsidRPr="00E116EC">
        <w:rPr>
          <w:sz w:val="18"/>
          <w:szCs w:val="18"/>
        </w:rPr>
        <w:t>Grants and subsidies</w:t>
      </w:r>
    </w:p>
    <w:p w14:paraId="4879FCF2"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increase in grants and subsidies expenses of $17.854M (134%) compared to a budget of $13.258M is due to the receipt and reprioritisation of funds for various initiatives and provided as economic stimulus in response to the COVID-19 pandemic. The department also sourced centrally held funds of $5.000M for the Community Drought Support Program announced in the 2019-20 State Budget. The reclassification of several programs from supplies and services to grants and subsidies in accordance with accounting policy also added to the increase.</w:t>
      </w:r>
    </w:p>
    <w:p w14:paraId="0AE9ABA1" w14:textId="77777777" w:rsidR="002E375F" w:rsidRPr="00E116EC" w:rsidRDefault="00EB2569" w:rsidP="00E116EC">
      <w:pPr>
        <w:pStyle w:val="Heading3"/>
        <w:rPr>
          <w:sz w:val="18"/>
          <w:szCs w:val="18"/>
        </w:rPr>
      </w:pPr>
      <w:r w:rsidRPr="00E116EC">
        <w:rPr>
          <w:sz w:val="18"/>
          <w:szCs w:val="18"/>
        </w:rPr>
        <w:t>Depreciation and amortisation</w:t>
      </w:r>
    </w:p>
    <w:p w14:paraId="4169FF8D"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Depreciation and amortisation expenses were $3.859M (39.5%) lower than budget of $9.766M. The original budget included an allowance for anticipated asset transfers from other agencies, and estimated outcomes from the comprehensive revaluation of assets undertaking during the year. Following completion of the revaluation the budget was revised down as a better reflection of actual depreciation. Expenses have also reduced as a result of plant and equipment assets reaching the end of their useful lives.</w:t>
      </w:r>
    </w:p>
    <w:p w14:paraId="1A7DA9AE"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61E32970"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62B9947D"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04826158"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18DD2FF5"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78858C50" w14:textId="77777777" w:rsidR="00EF76D4" w:rsidRPr="00255F08" w:rsidRDefault="00EF76D4" w:rsidP="00255F08">
      <w:pPr>
        <w:pStyle w:val="Heading3"/>
      </w:pPr>
      <w:r w:rsidRPr="00255F08">
        <w:t>E1 Budgetary Reporting Disclosures (continued)</w:t>
      </w:r>
    </w:p>
    <w:p w14:paraId="3664CFC0" w14:textId="77777777" w:rsidR="00EF76D4" w:rsidRPr="00255F08" w:rsidRDefault="00EF76D4" w:rsidP="00255F08">
      <w:pPr>
        <w:pStyle w:val="Heading3"/>
      </w:pPr>
      <w:r w:rsidRPr="00255F08">
        <w:t>E1-1 Explanation of Major Variances – Income Statement (continued)</w:t>
      </w:r>
    </w:p>
    <w:p w14:paraId="5482C7CC" w14:textId="77777777" w:rsidR="002E375F" w:rsidRPr="00E116EC" w:rsidRDefault="00EB2569" w:rsidP="00E116EC">
      <w:pPr>
        <w:pStyle w:val="Heading3"/>
        <w:rPr>
          <w:sz w:val="18"/>
          <w:szCs w:val="18"/>
        </w:rPr>
      </w:pPr>
      <w:r w:rsidRPr="00E116EC">
        <w:rPr>
          <w:sz w:val="18"/>
          <w:szCs w:val="18"/>
        </w:rPr>
        <w:t>Impairment losses</w:t>
      </w:r>
    </w:p>
    <w:p w14:paraId="3837CF27"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Impairment losses of $1.498M have been recognised based on a review of outstanding debts. A number of these debts are long-standing, and relate to funds previously provided to non-government organisations providing disability services that have subsequently transitioned to the NDIS. The recovery of these debts is considered doubtful given their age, absence of recent payments and/or adherence to repayment plans, and protracted engagement with debtors in respect to recovery of the related funds.</w:t>
      </w:r>
    </w:p>
    <w:p w14:paraId="5012D02D" w14:textId="77777777" w:rsidR="002E375F" w:rsidRPr="00E116EC" w:rsidRDefault="00EB2569" w:rsidP="00E116EC">
      <w:pPr>
        <w:pStyle w:val="Heading3"/>
        <w:rPr>
          <w:sz w:val="18"/>
          <w:szCs w:val="18"/>
        </w:rPr>
      </w:pPr>
      <w:r w:rsidRPr="00E116EC">
        <w:rPr>
          <w:sz w:val="18"/>
          <w:szCs w:val="18"/>
        </w:rPr>
        <w:t>Other expenses</w:t>
      </w:r>
    </w:p>
    <w:p w14:paraId="7CC93359" w14:textId="77777777" w:rsidR="002E375F" w:rsidRDefault="00EB2569" w:rsidP="006F0FBE">
      <w:pPr>
        <w:autoSpaceDE w:val="0"/>
        <w:autoSpaceDN w:val="0"/>
        <w:adjustRightInd w:val="0"/>
        <w:spacing w:after="141" w:line="240" w:lineRule="auto"/>
        <w:rPr>
          <w:rFonts w:ascii="Arial" w:hAnsi="Arial" w:cs="Arial"/>
          <w:sz w:val="18"/>
          <w:szCs w:val="18"/>
        </w:rPr>
      </w:pPr>
      <w:r>
        <w:rPr>
          <w:rFonts w:ascii="Arial" w:hAnsi="Arial" w:cs="Arial"/>
          <w:sz w:val="18"/>
          <w:szCs w:val="18"/>
        </w:rPr>
        <w:t>The other expenses of $2.410M include losses on disposal of assets of $1.328M due to the write-off of assets based on the outcome of native title claims and demolition works undertaken on two properties. These expenses were not budgeted.</w:t>
      </w:r>
    </w:p>
    <w:p w14:paraId="4DC3D7D7" w14:textId="77777777" w:rsidR="00EF76D4" w:rsidRPr="00255F08" w:rsidRDefault="00EF76D4" w:rsidP="00255F08">
      <w:pPr>
        <w:pStyle w:val="Heading3"/>
      </w:pPr>
      <w:r w:rsidRPr="00255F08">
        <w:t>E1-2 Explanation of Major Variances – Balance Sheet</w:t>
      </w:r>
    </w:p>
    <w:p w14:paraId="6D3C2C58" w14:textId="77777777" w:rsidR="002E375F" w:rsidRPr="00E116EC" w:rsidRDefault="00EB2569" w:rsidP="00E116EC">
      <w:pPr>
        <w:pStyle w:val="Heading3"/>
        <w:rPr>
          <w:sz w:val="18"/>
          <w:szCs w:val="18"/>
        </w:rPr>
      </w:pPr>
      <w:r w:rsidRPr="00E116EC">
        <w:rPr>
          <w:sz w:val="18"/>
          <w:szCs w:val="18"/>
        </w:rPr>
        <w:t>Cash and cash equivalents</w:t>
      </w:r>
    </w:p>
    <w:p w14:paraId="387E129F"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Cash and cash equivalents at year end were $49.994M (226.7%) higher than budget of $22.047M due to alignment with the 2018-19 audited closing balance updating the 2019-20 opening balance, the receipt of new funds for the Royal Commission into violence, abuse, neglect and exploitation of people with disability, the Community Drought Support program, COVID-19 pandemic economic stimulus packages including the International Students Support package from the Department of State Development, Tourism and Innovation and the seniors support and volunteer initiative, and enterprise bargaining outcomes; the receipt of funds from the Commonwealth for the NDIS Assessment and Referral Team and Outreach programs; the department was also reimbursed for incentive payments provided to staff for NDIS transition; and there were reduced payments as a result of delays in the delivery of the capital works program.</w:t>
      </w:r>
    </w:p>
    <w:p w14:paraId="579D31E8" w14:textId="77777777" w:rsidR="002E375F" w:rsidRPr="00E116EC" w:rsidRDefault="00EB2569" w:rsidP="00E116EC">
      <w:pPr>
        <w:pStyle w:val="Heading3"/>
        <w:rPr>
          <w:sz w:val="18"/>
          <w:szCs w:val="18"/>
        </w:rPr>
      </w:pPr>
      <w:r w:rsidRPr="00E116EC">
        <w:rPr>
          <w:sz w:val="18"/>
          <w:szCs w:val="18"/>
        </w:rPr>
        <w:t>Receivables (current)</w:t>
      </w:r>
    </w:p>
    <w:p w14:paraId="44906A72"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Current receivables at year end were $12.452M (72.0%) lower than budget ($17.293M) due to alignment with the 2018-19 audited closing balance updating the 2019-20 opening balance, a general reduction in receivables related to disability services that have transitioned to the NDIS, and an increase in impaired receivables for long-standing debts related to funds previously provided to non-government organisations providing disability services that have subsequently transitioned to the NDIS.</w:t>
      </w:r>
    </w:p>
    <w:p w14:paraId="73507718" w14:textId="77777777" w:rsidR="002E375F" w:rsidRPr="00E116EC" w:rsidRDefault="00EB2569" w:rsidP="00E116EC">
      <w:pPr>
        <w:pStyle w:val="Heading3"/>
        <w:rPr>
          <w:sz w:val="18"/>
          <w:szCs w:val="18"/>
        </w:rPr>
      </w:pPr>
      <w:r w:rsidRPr="00E116EC">
        <w:rPr>
          <w:sz w:val="18"/>
          <w:szCs w:val="18"/>
        </w:rPr>
        <w:t>Other current assets</w:t>
      </w:r>
    </w:p>
    <w:p w14:paraId="70F5D232"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Other current assets of $2.377M are due to the prepayment of salaries at financial year end based on the timing of the final pay run for the financial year.</w:t>
      </w:r>
    </w:p>
    <w:p w14:paraId="218DB962" w14:textId="77777777" w:rsidR="002E375F" w:rsidRPr="00E116EC" w:rsidRDefault="00EB2569" w:rsidP="00E116EC">
      <w:pPr>
        <w:pStyle w:val="Heading3"/>
        <w:rPr>
          <w:sz w:val="18"/>
          <w:szCs w:val="18"/>
        </w:rPr>
      </w:pPr>
      <w:r w:rsidRPr="00E116EC">
        <w:rPr>
          <w:sz w:val="18"/>
          <w:szCs w:val="18"/>
        </w:rPr>
        <w:t>Property, plant and equipment</w:t>
      </w:r>
    </w:p>
    <w:p w14:paraId="550DA9C2"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property, plant and equipment balance at year end is $6.550M (2.3%) higher than budget of $277.375M due to the unbudgeted $6.410M revaluation increment on land and buildings, and alignment of the 2018-19 audited closing balance updating the 2019-20 opening balance.</w:t>
      </w:r>
    </w:p>
    <w:p w14:paraId="08366A6C" w14:textId="77777777" w:rsidR="002E375F" w:rsidRPr="00E116EC" w:rsidRDefault="00EB2569" w:rsidP="00E116EC">
      <w:pPr>
        <w:pStyle w:val="Heading3"/>
        <w:rPr>
          <w:sz w:val="18"/>
          <w:szCs w:val="18"/>
        </w:rPr>
      </w:pPr>
      <w:r w:rsidRPr="00E116EC">
        <w:rPr>
          <w:sz w:val="18"/>
          <w:szCs w:val="18"/>
        </w:rPr>
        <w:t>Intangibles</w:t>
      </w:r>
    </w:p>
    <w:p w14:paraId="2A9D56C6"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Intangibles at year end are $1.061M (24.7%) lower than budget of 4.287M due to alignment of the 2018-19 audited closing balance updating the 2019-20 opening balance, and the retirement of software that has reached the end of its useful life.</w:t>
      </w:r>
    </w:p>
    <w:p w14:paraId="7116C3D7"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11640E1D"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467E1D84"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6F3F2685"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64B5A6CA"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27CC7192" w14:textId="77777777" w:rsidR="00EF76D4" w:rsidRPr="00255F08" w:rsidRDefault="00EF76D4" w:rsidP="00255F08">
      <w:pPr>
        <w:pStyle w:val="Heading3"/>
      </w:pPr>
      <w:r w:rsidRPr="00255F08">
        <w:t>E1 Budgetary Reporting Disclosures (continued)</w:t>
      </w:r>
    </w:p>
    <w:p w14:paraId="692DADE0" w14:textId="77777777" w:rsidR="00EF76D4" w:rsidRPr="00255F08" w:rsidRDefault="00EF76D4" w:rsidP="00255F08">
      <w:pPr>
        <w:pStyle w:val="Heading3"/>
      </w:pPr>
      <w:r w:rsidRPr="00255F08">
        <w:t>E1-2 Explanation of Major Variances – Balance Sheet (continued)</w:t>
      </w:r>
    </w:p>
    <w:p w14:paraId="1874614A" w14:textId="77777777" w:rsidR="002E375F" w:rsidRPr="00E116EC" w:rsidRDefault="00EB2569" w:rsidP="006F0FBE">
      <w:pPr>
        <w:pStyle w:val="Heading3"/>
        <w:rPr>
          <w:sz w:val="18"/>
          <w:szCs w:val="18"/>
        </w:rPr>
      </w:pPr>
      <w:r w:rsidRPr="00E116EC">
        <w:rPr>
          <w:sz w:val="18"/>
          <w:szCs w:val="18"/>
        </w:rPr>
        <w:t>Right-of-use assets</w:t>
      </w:r>
    </w:p>
    <w:p w14:paraId="43C51179"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Right-of-use assets represent the right to use leased premises and are recognised for the first time in 2019-20 due to application of AASB16 </w:t>
      </w:r>
      <w:r>
        <w:rPr>
          <w:rFonts w:ascii="Arial" w:hAnsi="Arial" w:cs="Arial"/>
          <w:i/>
          <w:iCs/>
          <w:sz w:val="18"/>
          <w:szCs w:val="18"/>
        </w:rPr>
        <w:t>Leases</w:t>
      </w:r>
      <w:r>
        <w:rPr>
          <w:rFonts w:ascii="Arial" w:hAnsi="Arial" w:cs="Arial"/>
          <w:sz w:val="18"/>
          <w:szCs w:val="18"/>
        </w:rPr>
        <w:t>.</w:t>
      </w:r>
    </w:p>
    <w:p w14:paraId="7A3C34A2" w14:textId="77777777" w:rsidR="002E375F" w:rsidRPr="00E116EC" w:rsidRDefault="00EB2569" w:rsidP="006F0FBE">
      <w:pPr>
        <w:pStyle w:val="Heading3"/>
        <w:rPr>
          <w:sz w:val="18"/>
          <w:szCs w:val="18"/>
        </w:rPr>
      </w:pPr>
      <w:r w:rsidRPr="00E116EC">
        <w:rPr>
          <w:sz w:val="18"/>
          <w:szCs w:val="18"/>
        </w:rPr>
        <w:t>Payables (current)</w:t>
      </w:r>
    </w:p>
    <w:p w14:paraId="72BC1758"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Current payables at year end are $16.368M (100.8%) higher than budget of $16.231M due to alignment with the 2018-19 audited closing balance updating the 2019-20 opening balance, and the recognition of end of year appropriation deferrals within the departmental appropriation payable account at financial year end for programs with commitments continuing into 2020-21.</w:t>
      </w:r>
    </w:p>
    <w:p w14:paraId="34D88BC6" w14:textId="77777777" w:rsidR="002E375F" w:rsidRPr="00E116EC" w:rsidRDefault="00EB2569" w:rsidP="006F0FBE">
      <w:pPr>
        <w:pStyle w:val="Heading3"/>
        <w:rPr>
          <w:sz w:val="18"/>
          <w:szCs w:val="18"/>
        </w:rPr>
      </w:pPr>
      <w:r w:rsidRPr="00E116EC">
        <w:rPr>
          <w:sz w:val="18"/>
          <w:szCs w:val="18"/>
        </w:rPr>
        <w:t>Accrued employee benefits</w:t>
      </w:r>
    </w:p>
    <w:p w14:paraId="7276E7B2"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Accrued employee benefits at year end are $1.944M (20.3%) below budget of $9.563M due to alignment of the 2018-19 audited closing balance updating the 2019-20 opening balance, and the payment of benefits to staff who have received incentive payments related to the NDIS transition.</w:t>
      </w:r>
    </w:p>
    <w:p w14:paraId="56A37D6A" w14:textId="77777777" w:rsidR="002E375F" w:rsidRPr="00E116EC" w:rsidRDefault="00EB2569" w:rsidP="006F0FBE">
      <w:pPr>
        <w:pStyle w:val="Heading3"/>
        <w:rPr>
          <w:sz w:val="18"/>
          <w:szCs w:val="18"/>
        </w:rPr>
      </w:pPr>
      <w:r w:rsidRPr="00E116EC">
        <w:rPr>
          <w:sz w:val="18"/>
          <w:szCs w:val="18"/>
        </w:rPr>
        <w:t>Provisions (current)</w:t>
      </w:r>
    </w:p>
    <w:p w14:paraId="590F3F1F"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Provisions (current) at year end are $2.021M higher than budget of $0.480M due to alignment of the 2018-19 audited closing balance updating the 2019-20 opening balance, and the continued retention of funds at year end related to a funding agreement with a non-government organisation that were anticipated to be paid during the year.</w:t>
      </w:r>
    </w:p>
    <w:p w14:paraId="38F56C84" w14:textId="77777777" w:rsidR="002E375F" w:rsidRPr="00E116EC" w:rsidRDefault="00EB2569" w:rsidP="006F0FBE">
      <w:pPr>
        <w:pStyle w:val="Heading3"/>
        <w:rPr>
          <w:sz w:val="18"/>
          <w:szCs w:val="18"/>
        </w:rPr>
      </w:pPr>
      <w:r w:rsidRPr="00E116EC">
        <w:rPr>
          <w:sz w:val="18"/>
          <w:szCs w:val="18"/>
        </w:rPr>
        <w:t>Other current liabilities</w:t>
      </w:r>
    </w:p>
    <w:p w14:paraId="3A50DF24"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Other current liabilities at year end were nil, compared to a $0.497M budget, due to alignment of the 2018-19 audited closing balance updating the 2019-20 opening balance, and the recognition of revenue for balances previously recognised as unearned revenue as at 30 June 2019.</w:t>
      </w:r>
    </w:p>
    <w:p w14:paraId="4B8D4417" w14:textId="77777777" w:rsidR="002E375F" w:rsidRPr="00E116EC" w:rsidRDefault="00EB2569" w:rsidP="006F0FBE">
      <w:pPr>
        <w:pStyle w:val="Heading3"/>
        <w:rPr>
          <w:sz w:val="18"/>
          <w:szCs w:val="18"/>
        </w:rPr>
      </w:pPr>
      <w:r w:rsidRPr="00E116EC">
        <w:rPr>
          <w:sz w:val="18"/>
          <w:szCs w:val="18"/>
        </w:rPr>
        <w:t>Lease liabilities</w:t>
      </w:r>
    </w:p>
    <w:p w14:paraId="057A024C"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Lease liabilities are for leased premises recognised for the first time in 2019-20 due to application of AASB16 </w:t>
      </w:r>
      <w:r>
        <w:rPr>
          <w:rFonts w:ascii="Arial" w:hAnsi="Arial" w:cs="Arial"/>
          <w:i/>
          <w:iCs/>
          <w:sz w:val="18"/>
          <w:szCs w:val="18"/>
        </w:rPr>
        <w:t>Leases</w:t>
      </w:r>
      <w:r>
        <w:rPr>
          <w:rFonts w:ascii="Arial" w:hAnsi="Arial" w:cs="Arial"/>
          <w:sz w:val="18"/>
          <w:szCs w:val="18"/>
        </w:rPr>
        <w:t>.</w:t>
      </w:r>
    </w:p>
    <w:p w14:paraId="34B6CC37" w14:textId="77777777" w:rsidR="002E375F" w:rsidRPr="00E116EC" w:rsidRDefault="00EB2569" w:rsidP="006F0FBE">
      <w:pPr>
        <w:pStyle w:val="Heading3"/>
        <w:rPr>
          <w:sz w:val="18"/>
          <w:szCs w:val="18"/>
        </w:rPr>
      </w:pPr>
      <w:r w:rsidRPr="00E116EC">
        <w:rPr>
          <w:sz w:val="18"/>
          <w:szCs w:val="18"/>
        </w:rPr>
        <w:t>Payables (non-current)</w:t>
      </w:r>
    </w:p>
    <w:p w14:paraId="63C53311"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Payables (non-current) were nil, compared to a $3.850M budget, due to the change in accounting treatment applied to leased premises as a result of the application of AASB16 </w:t>
      </w:r>
      <w:r>
        <w:rPr>
          <w:rFonts w:ascii="Arial" w:hAnsi="Arial" w:cs="Arial"/>
          <w:i/>
          <w:iCs/>
          <w:sz w:val="18"/>
          <w:szCs w:val="18"/>
        </w:rPr>
        <w:t>Leases</w:t>
      </w:r>
      <w:r>
        <w:rPr>
          <w:rFonts w:ascii="Arial" w:hAnsi="Arial" w:cs="Arial"/>
          <w:sz w:val="18"/>
          <w:szCs w:val="18"/>
        </w:rPr>
        <w:t xml:space="preserve"> in 2019-20.</w:t>
      </w:r>
    </w:p>
    <w:p w14:paraId="1F451242" w14:textId="77777777" w:rsidR="002E375F" w:rsidRPr="00E116EC" w:rsidRDefault="00EB2569" w:rsidP="006F0FBE">
      <w:pPr>
        <w:pStyle w:val="Heading3"/>
        <w:rPr>
          <w:sz w:val="18"/>
          <w:szCs w:val="18"/>
        </w:rPr>
      </w:pPr>
      <w:r w:rsidRPr="00E116EC">
        <w:rPr>
          <w:sz w:val="18"/>
          <w:szCs w:val="18"/>
        </w:rPr>
        <w:t>Provisions (non-current)</w:t>
      </w:r>
    </w:p>
    <w:p w14:paraId="37DA23DA"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Provisions (non-current) at year end were nil, compared to a $0.403M budget, due to alignment of the 2018-19 audited closing balance updating the 2019-20 opening balance.</w:t>
      </w:r>
    </w:p>
    <w:p w14:paraId="469E2CAD" w14:textId="77777777" w:rsidR="002E375F" w:rsidRPr="00E116EC" w:rsidRDefault="00EB2569" w:rsidP="006F0FBE">
      <w:pPr>
        <w:pStyle w:val="Heading3"/>
        <w:rPr>
          <w:sz w:val="18"/>
          <w:szCs w:val="18"/>
        </w:rPr>
      </w:pPr>
      <w:r w:rsidRPr="00E116EC">
        <w:rPr>
          <w:sz w:val="18"/>
          <w:szCs w:val="18"/>
        </w:rPr>
        <w:t>Equity</w:t>
      </w:r>
    </w:p>
    <w:p w14:paraId="3D24B174"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Actual reported equity at financial year end is $33.713M (11.6%) higher than budget of $289.978M due to alignment with the 2018-19 audited closing balance updating the 2019-20 opening balance, and the recognition of a gain on reversal of prior year revaluation decrement for property, plant and equipment.</w:t>
      </w:r>
    </w:p>
    <w:p w14:paraId="43B8895B" w14:textId="77777777" w:rsidR="002E375F" w:rsidRDefault="002E375F" w:rsidP="006F0FBE">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197A3636"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007E7A68"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0F2A9185"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6F1D5576"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53647369" w14:textId="77777777" w:rsidR="00EF76D4" w:rsidRPr="00255F08" w:rsidRDefault="00EF76D4" w:rsidP="00255F08">
      <w:pPr>
        <w:pStyle w:val="Heading3"/>
      </w:pPr>
      <w:r w:rsidRPr="00255F08">
        <w:t>E1 Budgetary Reporting Disclosures (continued)</w:t>
      </w:r>
    </w:p>
    <w:p w14:paraId="4FAC55CA" w14:textId="77777777" w:rsidR="00EF76D4" w:rsidRPr="00255F08" w:rsidRDefault="00EF76D4" w:rsidP="00255F08">
      <w:pPr>
        <w:pStyle w:val="Heading3"/>
      </w:pPr>
      <w:r w:rsidRPr="00255F08">
        <w:t>E1-3 Explanation of Major Variances – Statement of Cash Flows</w:t>
      </w:r>
    </w:p>
    <w:p w14:paraId="21640DA3" w14:textId="77777777" w:rsidR="002E375F" w:rsidRPr="00E116EC" w:rsidRDefault="00EB2569" w:rsidP="006F0FBE">
      <w:pPr>
        <w:pStyle w:val="Heading3"/>
        <w:rPr>
          <w:sz w:val="18"/>
          <w:szCs w:val="18"/>
        </w:rPr>
      </w:pPr>
      <w:r w:rsidRPr="00E116EC">
        <w:rPr>
          <w:sz w:val="18"/>
          <w:szCs w:val="18"/>
        </w:rPr>
        <w:t>User charges and fees</w:t>
      </w:r>
    </w:p>
    <w:p w14:paraId="166BE53B"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Cash inflows from user charges and fees are $0.989M (12.1%) below budget of $8.170M due to the cessation of a billing arrangement for departmental services provided to another government department.</w:t>
      </w:r>
    </w:p>
    <w:p w14:paraId="4445D90E" w14:textId="77777777" w:rsidR="002E375F" w:rsidRPr="00E116EC" w:rsidRDefault="00EB2569" w:rsidP="006F0FBE">
      <w:pPr>
        <w:pStyle w:val="Heading3"/>
        <w:rPr>
          <w:sz w:val="18"/>
          <w:szCs w:val="18"/>
        </w:rPr>
      </w:pPr>
      <w:r w:rsidRPr="00E116EC">
        <w:rPr>
          <w:sz w:val="18"/>
          <w:szCs w:val="18"/>
        </w:rPr>
        <w:t>Grants and other contributions</w:t>
      </w:r>
    </w:p>
    <w:p w14:paraId="46A4D902"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Cash inflow from grants and other contributions are $1.223M (10.1%) above budget of $12.088M due to additional revenue received from the Commonwealth for refurbishment of residential supported accommodation for </w:t>
      </w:r>
      <w:proofErr w:type="spellStart"/>
      <w:r>
        <w:rPr>
          <w:rFonts w:ascii="Arial" w:hAnsi="Arial" w:cs="Arial"/>
          <w:sz w:val="18"/>
          <w:szCs w:val="18"/>
        </w:rPr>
        <w:t>CoS</w:t>
      </w:r>
      <w:proofErr w:type="spellEnd"/>
      <w:r>
        <w:rPr>
          <w:rFonts w:ascii="Arial" w:hAnsi="Arial" w:cs="Arial"/>
          <w:sz w:val="18"/>
          <w:szCs w:val="18"/>
        </w:rPr>
        <w:t xml:space="preserve"> clients (capital expenditure).</w:t>
      </w:r>
    </w:p>
    <w:p w14:paraId="3D260349" w14:textId="77777777" w:rsidR="002E375F" w:rsidRPr="00E116EC" w:rsidRDefault="00EB2569" w:rsidP="006F0FBE">
      <w:pPr>
        <w:pStyle w:val="Heading3"/>
        <w:rPr>
          <w:sz w:val="18"/>
          <w:szCs w:val="18"/>
        </w:rPr>
      </w:pPr>
      <w:r w:rsidRPr="00E116EC">
        <w:rPr>
          <w:sz w:val="18"/>
          <w:szCs w:val="18"/>
        </w:rPr>
        <w:t>GST inflows</w:t>
      </w:r>
    </w:p>
    <w:p w14:paraId="7658CE06"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Actual total cash inflows of $22.559M, compared to a nil budget, relate to the receipt of GST input tax credits from the ATO and collected from customers, classified and rolled up under the budget line item for ‘Other Inflows’.</w:t>
      </w:r>
    </w:p>
    <w:p w14:paraId="47E4B976" w14:textId="77777777" w:rsidR="002E375F" w:rsidRPr="00E116EC" w:rsidRDefault="00EB2569" w:rsidP="006F0FBE">
      <w:pPr>
        <w:pStyle w:val="Heading3"/>
        <w:rPr>
          <w:sz w:val="18"/>
          <w:szCs w:val="18"/>
        </w:rPr>
      </w:pPr>
      <w:r w:rsidRPr="00E116EC">
        <w:rPr>
          <w:sz w:val="18"/>
          <w:szCs w:val="18"/>
        </w:rPr>
        <w:t>Other inflows</w:t>
      </w:r>
    </w:p>
    <w:p w14:paraId="2CABB252"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Other cash inflows are $260.548M (93.5%) below budget of $278.586M due to GST inflows being classified and rolled up under within the identified budget for ‘Other Inflows’, and due to the reduction of disability services revenues, including return of unspent funds, following transition to the NDIA.</w:t>
      </w:r>
    </w:p>
    <w:p w14:paraId="51E4AE15" w14:textId="77777777" w:rsidR="002E375F" w:rsidRPr="00E116EC" w:rsidRDefault="00EB2569" w:rsidP="006F0FBE">
      <w:pPr>
        <w:pStyle w:val="Heading3"/>
        <w:rPr>
          <w:sz w:val="18"/>
          <w:szCs w:val="18"/>
        </w:rPr>
      </w:pPr>
      <w:r w:rsidRPr="00E116EC">
        <w:rPr>
          <w:sz w:val="18"/>
          <w:szCs w:val="18"/>
        </w:rPr>
        <w:t>Equity injections</w:t>
      </w:r>
    </w:p>
    <w:p w14:paraId="4CF7419B"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Equity Injections are $5.565M, compared to a nil budget, due to planned equity injections being classified and rolled up under the identified budget for ‘Equity withdrawals’ and relates to impacts on available funding for planned capital projects.</w:t>
      </w:r>
    </w:p>
    <w:p w14:paraId="449CB951" w14:textId="77777777" w:rsidR="002E375F" w:rsidRPr="00E116EC" w:rsidRDefault="00EB2569" w:rsidP="006F0FBE">
      <w:pPr>
        <w:pStyle w:val="Heading3"/>
        <w:rPr>
          <w:sz w:val="18"/>
          <w:szCs w:val="18"/>
        </w:rPr>
      </w:pPr>
      <w:r w:rsidRPr="00E116EC">
        <w:rPr>
          <w:sz w:val="18"/>
          <w:szCs w:val="18"/>
        </w:rPr>
        <w:t>Employee expenses</w:t>
      </w:r>
    </w:p>
    <w:p w14:paraId="4B7E2261"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Cash outflows for employee expenses are $16.195M (8.5%) above budget of $189.666M due to NDIS related incentive payments and ongoing staffing to support the slower than anticipated transition of specialist disability services’ clients to the NDIS, and the engagement of staff for delivery of the NDIS Assessment and Referral Team and Outreach programs funded by the Commonwealth.</w:t>
      </w:r>
    </w:p>
    <w:p w14:paraId="40F9C7CB" w14:textId="77777777" w:rsidR="002E375F" w:rsidRPr="00E116EC" w:rsidRDefault="00EB2569" w:rsidP="006F0FBE">
      <w:pPr>
        <w:pStyle w:val="Heading3"/>
        <w:rPr>
          <w:sz w:val="18"/>
          <w:szCs w:val="18"/>
        </w:rPr>
      </w:pPr>
      <w:r w:rsidRPr="00E116EC">
        <w:rPr>
          <w:sz w:val="18"/>
          <w:szCs w:val="18"/>
        </w:rPr>
        <w:t>Supplies and Services</w:t>
      </w:r>
    </w:p>
    <w:p w14:paraId="49728772"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Cash outflows for supplies and services are $274.509M (61.6%) below budget of $445.949M due to GST outflows being classified and rolled up under within the identified budget for ‘Supplies and services’, and due to the overall reduction in expenditure following the transition of disability services to the NDIA.</w:t>
      </w:r>
    </w:p>
    <w:p w14:paraId="49C2EBF1" w14:textId="77777777" w:rsidR="002E375F" w:rsidRPr="00E116EC" w:rsidRDefault="00EB2569" w:rsidP="006F0FBE">
      <w:pPr>
        <w:pStyle w:val="Heading3"/>
        <w:rPr>
          <w:sz w:val="18"/>
          <w:szCs w:val="18"/>
        </w:rPr>
      </w:pPr>
      <w:r w:rsidRPr="00E116EC">
        <w:rPr>
          <w:sz w:val="18"/>
          <w:szCs w:val="18"/>
        </w:rPr>
        <w:t>Grants and subsidies</w:t>
      </w:r>
    </w:p>
    <w:p w14:paraId="55E259FC"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Cash outflows for grants and subsidies are $14.766M (111.4%) above budget of $13.258M due to increased economic stimulus payments in response to the COVID-19 pandemic, including the International Students Support package provided on behalf of the Department of State Development, Tourism and Innovation and other internally funded emergency relief support packages aligned to departmental objectives.</w:t>
      </w:r>
    </w:p>
    <w:p w14:paraId="67A305CA" w14:textId="77777777" w:rsidR="002E375F" w:rsidRPr="00E116EC" w:rsidRDefault="00EB2569" w:rsidP="006F0FBE">
      <w:pPr>
        <w:pStyle w:val="Heading3"/>
        <w:rPr>
          <w:sz w:val="18"/>
          <w:szCs w:val="18"/>
        </w:rPr>
      </w:pPr>
      <w:r w:rsidRPr="00E116EC">
        <w:rPr>
          <w:sz w:val="18"/>
          <w:szCs w:val="18"/>
        </w:rPr>
        <w:t>GST outflows</w:t>
      </w:r>
    </w:p>
    <w:p w14:paraId="74221023"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Actual total cash outflows of $22.706M, compared to a nil budget, relate to GST paid to suppliers and remitted to the ATO, classified and rolled up under the budget line item for ‘Supplies and Services’.</w:t>
      </w:r>
    </w:p>
    <w:p w14:paraId="59D21549" w14:textId="77777777" w:rsidR="002E375F" w:rsidRDefault="002E375F" w:rsidP="006F0FBE">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6B87740C"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467BEB18"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1AF6BF94"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07204BAA"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7D036363" w14:textId="77777777" w:rsidR="00EF76D4" w:rsidRPr="00255F08" w:rsidRDefault="00EF76D4" w:rsidP="00255F08">
      <w:pPr>
        <w:pStyle w:val="Heading3"/>
      </w:pPr>
      <w:r w:rsidRPr="00255F08">
        <w:t>E1 Budgetary Reporting Disclosures (continued)</w:t>
      </w:r>
    </w:p>
    <w:p w14:paraId="0608DABC" w14:textId="77777777" w:rsidR="00EF76D4" w:rsidRPr="00255F08" w:rsidRDefault="00EF76D4" w:rsidP="00255F08">
      <w:pPr>
        <w:pStyle w:val="Heading3"/>
      </w:pPr>
      <w:r w:rsidRPr="00255F08">
        <w:t>E1-3 Explanation of Major Variances – Statement of Cash Flows (continued)</w:t>
      </w:r>
    </w:p>
    <w:p w14:paraId="1CBC04E3" w14:textId="77777777" w:rsidR="002E375F" w:rsidRPr="00E116EC" w:rsidRDefault="00EB2569" w:rsidP="006F0FBE">
      <w:pPr>
        <w:pStyle w:val="Heading3"/>
        <w:rPr>
          <w:sz w:val="18"/>
          <w:szCs w:val="18"/>
        </w:rPr>
      </w:pPr>
      <w:r w:rsidRPr="00E116EC">
        <w:rPr>
          <w:sz w:val="18"/>
          <w:szCs w:val="18"/>
        </w:rPr>
        <w:t>Other outflows</w:t>
      </w:r>
    </w:p>
    <w:p w14:paraId="741440D8"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Other cash outflows are $1.035M (49.7%) below budget of $2.083M due to the outflows for QGIF insurance, FBT liability and audit fees being overstated within the budgeted cash flow statement, based on estimated impacts arising from the transition of disability services to the NDIS.</w:t>
      </w:r>
    </w:p>
    <w:p w14:paraId="48088A24" w14:textId="77777777" w:rsidR="002E375F" w:rsidRPr="00E116EC" w:rsidRDefault="00EB2569" w:rsidP="006F0FBE">
      <w:pPr>
        <w:pStyle w:val="Heading3"/>
        <w:rPr>
          <w:sz w:val="18"/>
          <w:szCs w:val="18"/>
        </w:rPr>
      </w:pPr>
      <w:r w:rsidRPr="00E116EC">
        <w:rPr>
          <w:sz w:val="18"/>
          <w:szCs w:val="18"/>
        </w:rPr>
        <w:t>Payments for property, plant and equipment</w:t>
      </w:r>
    </w:p>
    <w:p w14:paraId="0AA861AC"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Payments for property, plant and equipment are $7.895M (39.5%) below budget of $20.010M due to expenditure on capital projects being carried forward to next year.</w:t>
      </w:r>
    </w:p>
    <w:p w14:paraId="78B7A7BF" w14:textId="77777777" w:rsidR="002E375F" w:rsidRPr="00E116EC" w:rsidRDefault="00EB2569" w:rsidP="006F0FBE">
      <w:pPr>
        <w:pStyle w:val="Heading3"/>
        <w:rPr>
          <w:sz w:val="18"/>
          <w:szCs w:val="18"/>
        </w:rPr>
      </w:pPr>
      <w:r w:rsidRPr="00E116EC">
        <w:rPr>
          <w:sz w:val="18"/>
          <w:szCs w:val="18"/>
        </w:rPr>
        <w:t>Equity withdrawals</w:t>
      </w:r>
    </w:p>
    <w:p w14:paraId="38AB474B"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Equity withdrawals were nil, compared to a budget of $3.259M, due to planned equity injections being classified and rolled up under the identified budget for ‘Equity withdrawals’, and relates to impacts on available funding for planned capital projects.</w:t>
      </w:r>
    </w:p>
    <w:p w14:paraId="1DDADA4C"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6FF5451C"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2F694985"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75364104"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3D691E28"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04B6A6FF" w14:textId="77777777" w:rsidR="00EF76D4" w:rsidRDefault="00EF76D4" w:rsidP="00EF76D4">
      <w:pPr>
        <w:pStyle w:val="Heading3"/>
        <w:rPr>
          <w:sz w:val="18"/>
          <w:szCs w:val="18"/>
        </w:rPr>
      </w:pPr>
      <w:r>
        <w:t>F1 Key Management Personnel Disclosures</w:t>
      </w:r>
    </w:p>
    <w:p w14:paraId="6E313C88" w14:textId="77777777" w:rsidR="00EF76D4" w:rsidRDefault="00EF76D4" w:rsidP="00EF76D4">
      <w:pPr>
        <w:pStyle w:val="Heading3"/>
      </w:pPr>
      <w:r>
        <w:t>F1-1 Details of Key Management Personnel and Remuneration Expense</w:t>
      </w:r>
    </w:p>
    <w:p w14:paraId="71EC1A93"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The department’s responsible Minister is the Honourable Coralee O’Rourke MP. The responsible Minister has been identified as part of the department’s key management personnel (KMP), consistent with AASB 124 </w:t>
      </w:r>
      <w:r>
        <w:rPr>
          <w:rFonts w:ascii="Arial" w:hAnsi="Arial" w:cs="Arial"/>
          <w:i/>
          <w:iCs/>
          <w:sz w:val="18"/>
          <w:szCs w:val="18"/>
        </w:rPr>
        <w:t>Related Party Disclosures</w:t>
      </w:r>
      <w:r>
        <w:rPr>
          <w:rFonts w:ascii="Arial" w:hAnsi="Arial" w:cs="Arial"/>
          <w:sz w:val="18"/>
          <w:szCs w:val="18"/>
        </w:rPr>
        <w:t>.</w:t>
      </w:r>
    </w:p>
    <w:p w14:paraId="09C46C45"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following details for non-Ministerial KMP reflect those departmental positions that had authority and responsibility for planning, directing and controlling the activities of the department during 2019-20 and 2018-19. Further information about these positions can be found in the body of the Annual Report under the section relating to Executive Management.</w:t>
      </w:r>
    </w:p>
    <w:p w14:paraId="4F7A5813"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following disclosures focus on the expenses incurred by the department attributable to non-Ministerial KMP during the respective reporting periods. The amounts disclosed are determined on the same basis as expenses recognised in the Income Statement. The remuneration expenses disclosed include the substantive KMP's remuneration expenses as well as remuneration earned while he/she has acted in another KMP position throughout the financial year on a short term basis. It does not include non-KMPs acting in the position less than six months.</w:t>
      </w:r>
    </w:p>
    <w:tbl>
      <w:tblPr>
        <w:tblW w:w="0" w:type="auto"/>
        <w:tblLayout w:type="fixed"/>
        <w:tblCellMar>
          <w:left w:w="0" w:type="dxa"/>
          <w:right w:w="0" w:type="dxa"/>
        </w:tblCellMar>
        <w:tblLook w:val="0000" w:firstRow="0" w:lastRow="0" w:firstColumn="0" w:lastColumn="0" w:noHBand="0" w:noVBand="0"/>
      </w:tblPr>
      <w:tblGrid>
        <w:gridCol w:w="7835"/>
        <w:gridCol w:w="1021"/>
        <w:gridCol w:w="1021"/>
        <w:gridCol w:w="1021"/>
        <w:gridCol w:w="1021"/>
        <w:gridCol w:w="1021"/>
        <w:gridCol w:w="1021"/>
      </w:tblGrid>
      <w:tr w:rsidR="002E375F" w:rsidRPr="0000218C" w14:paraId="28507FCC" w14:textId="77777777">
        <w:tc>
          <w:tcPr>
            <w:tcW w:w="7835" w:type="dxa"/>
            <w:tcBorders>
              <w:top w:val="nil"/>
              <w:left w:val="nil"/>
              <w:bottom w:val="nil"/>
              <w:right w:val="nil"/>
            </w:tcBorders>
            <w:shd w:val="clear" w:color="auto" w:fill="FFFFFF"/>
            <w:vAlign w:val="bottom"/>
          </w:tcPr>
          <w:p w14:paraId="2391B5E8" w14:textId="77777777" w:rsidR="002E375F" w:rsidRPr="00862FE1" w:rsidRDefault="00EB2569" w:rsidP="00943EF1">
            <w:pPr>
              <w:pStyle w:val="Heading3"/>
              <w:rPr>
                <w:rFonts w:ascii="Arial" w:hAnsi="Arial" w:cs="Arial"/>
                <w:b/>
                <w:sz w:val="18"/>
                <w:szCs w:val="18"/>
              </w:rPr>
            </w:pPr>
            <w:r w:rsidRPr="00862FE1">
              <w:rPr>
                <w:rFonts w:ascii="Arial" w:hAnsi="Arial" w:cs="Arial"/>
                <w:b/>
                <w:sz w:val="18"/>
                <w:szCs w:val="18"/>
              </w:rPr>
              <w:t>1 July 2019 - 30 June 2020</w:t>
            </w:r>
          </w:p>
        </w:tc>
        <w:tc>
          <w:tcPr>
            <w:tcW w:w="2042" w:type="dxa"/>
            <w:gridSpan w:val="2"/>
            <w:tcBorders>
              <w:top w:val="nil"/>
              <w:left w:val="nil"/>
              <w:bottom w:val="nil"/>
              <w:right w:val="nil"/>
            </w:tcBorders>
            <w:shd w:val="clear" w:color="auto" w:fill="FFFFFF"/>
            <w:vAlign w:val="bottom"/>
          </w:tcPr>
          <w:p w14:paraId="27FC596D" w14:textId="77777777" w:rsidR="002E375F" w:rsidRPr="00862FE1" w:rsidRDefault="00EB2569" w:rsidP="00862FE1">
            <w:pPr>
              <w:pStyle w:val="Heading3"/>
              <w:jc w:val="center"/>
              <w:rPr>
                <w:rFonts w:ascii="Arial" w:hAnsi="Arial" w:cs="Arial"/>
                <w:b/>
                <w:sz w:val="18"/>
                <w:szCs w:val="18"/>
              </w:rPr>
            </w:pPr>
            <w:r w:rsidRPr="00862FE1">
              <w:rPr>
                <w:rFonts w:ascii="Arial" w:hAnsi="Arial" w:cs="Arial"/>
                <w:b/>
                <w:sz w:val="18"/>
                <w:szCs w:val="18"/>
              </w:rPr>
              <w:t>Short Term Employee Expenses</w:t>
            </w:r>
          </w:p>
        </w:tc>
        <w:tc>
          <w:tcPr>
            <w:tcW w:w="3063" w:type="dxa"/>
            <w:gridSpan w:val="3"/>
            <w:tcBorders>
              <w:top w:val="nil"/>
              <w:left w:val="nil"/>
              <w:bottom w:val="nil"/>
              <w:right w:val="nil"/>
            </w:tcBorders>
            <w:shd w:val="clear" w:color="auto" w:fill="FFFFFF"/>
            <w:vAlign w:val="bottom"/>
          </w:tcPr>
          <w:p w14:paraId="16FF83C4" w14:textId="77777777" w:rsidR="002E375F" w:rsidRPr="00862FE1" w:rsidRDefault="00EB2569" w:rsidP="00862FE1">
            <w:pPr>
              <w:pStyle w:val="Heading3"/>
              <w:jc w:val="center"/>
              <w:rPr>
                <w:rFonts w:ascii="Arial" w:hAnsi="Arial" w:cs="Arial"/>
                <w:b/>
                <w:sz w:val="18"/>
                <w:szCs w:val="18"/>
              </w:rPr>
            </w:pPr>
            <w:r w:rsidRPr="00862FE1">
              <w:rPr>
                <w:rFonts w:ascii="Arial" w:hAnsi="Arial" w:cs="Arial"/>
                <w:b/>
                <w:sz w:val="18"/>
                <w:szCs w:val="18"/>
              </w:rPr>
              <w:t>Other Employee Benefits</w:t>
            </w:r>
          </w:p>
        </w:tc>
        <w:tc>
          <w:tcPr>
            <w:tcW w:w="1021" w:type="dxa"/>
            <w:tcBorders>
              <w:top w:val="nil"/>
              <w:left w:val="nil"/>
              <w:bottom w:val="nil"/>
              <w:right w:val="nil"/>
            </w:tcBorders>
            <w:shd w:val="clear" w:color="auto" w:fill="FFFFFF"/>
            <w:vAlign w:val="bottom"/>
          </w:tcPr>
          <w:p w14:paraId="636EAF85" w14:textId="77777777" w:rsidR="002E375F" w:rsidRPr="00862FE1" w:rsidRDefault="002E375F" w:rsidP="00862FE1">
            <w:pPr>
              <w:pStyle w:val="Heading3"/>
              <w:jc w:val="center"/>
              <w:rPr>
                <w:rFonts w:ascii="Arial" w:hAnsi="Arial" w:cs="Arial"/>
                <w:b/>
                <w:sz w:val="18"/>
                <w:szCs w:val="18"/>
              </w:rPr>
            </w:pPr>
          </w:p>
        </w:tc>
      </w:tr>
      <w:tr w:rsidR="002E375F" w:rsidRPr="0000218C" w14:paraId="27D8CBB8" w14:textId="77777777">
        <w:tc>
          <w:tcPr>
            <w:tcW w:w="7835" w:type="dxa"/>
            <w:tcBorders>
              <w:top w:val="nil"/>
              <w:left w:val="nil"/>
              <w:bottom w:val="nil"/>
              <w:right w:val="nil"/>
            </w:tcBorders>
            <w:shd w:val="clear" w:color="auto" w:fill="FFFFFF"/>
            <w:vAlign w:val="bottom"/>
          </w:tcPr>
          <w:p w14:paraId="33437FF7" w14:textId="77777777" w:rsidR="002E375F" w:rsidRPr="00862FE1" w:rsidRDefault="00EB2569" w:rsidP="00943EF1">
            <w:pPr>
              <w:pStyle w:val="Heading3"/>
              <w:rPr>
                <w:rFonts w:ascii="Arial" w:hAnsi="Arial" w:cs="Arial"/>
                <w:b/>
                <w:sz w:val="18"/>
                <w:szCs w:val="18"/>
              </w:rPr>
            </w:pPr>
            <w:r w:rsidRPr="00862FE1">
              <w:rPr>
                <w:rFonts w:ascii="Arial" w:hAnsi="Arial" w:cs="Arial"/>
                <w:b/>
                <w:sz w:val="18"/>
                <w:szCs w:val="18"/>
              </w:rPr>
              <w:t>Position Title</w:t>
            </w:r>
          </w:p>
        </w:tc>
        <w:tc>
          <w:tcPr>
            <w:tcW w:w="1021" w:type="dxa"/>
            <w:tcBorders>
              <w:top w:val="nil"/>
              <w:left w:val="nil"/>
              <w:bottom w:val="nil"/>
              <w:right w:val="nil"/>
            </w:tcBorders>
            <w:shd w:val="clear" w:color="auto" w:fill="FFFFFF"/>
            <w:vAlign w:val="bottom"/>
          </w:tcPr>
          <w:p w14:paraId="3F90EBD1"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Monetary Expenses</w:t>
            </w:r>
          </w:p>
        </w:tc>
        <w:tc>
          <w:tcPr>
            <w:tcW w:w="1021" w:type="dxa"/>
            <w:tcBorders>
              <w:top w:val="nil"/>
              <w:left w:val="nil"/>
              <w:bottom w:val="nil"/>
              <w:right w:val="nil"/>
            </w:tcBorders>
            <w:shd w:val="clear" w:color="auto" w:fill="FFFFFF"/>
            <w:vAlign w:val="bottom"/>
          </w:tcPr>
          <w:p w14:paraId="35B37689"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Non- Monetary Benefits</w:t>
            </w:r>
          </w:p>
        </w:tc>
        <w:tc>
          <w:tcPr>
            <w:tcW w:w="1021" w:type="dxa"/>
            <w:tcBorders>
              <w:top w:val="nil"/>
              <w:left w:val="nil"/>
              <w:bottom w:val="nil"/>
              <w:right w:val="nil"/>
            </w:tcBorders>
            <w:shd w:val="clear" w:color="auto" w:fill="FFFFFF"/>
            <w:vAlign w:val="bottom"/>
          </w:tcPr>
          <w:p w14:paraId="40D735CB"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Long Term Employee Expenses</w:t>
            </w:r>
          </w:p>
        </w:tc>
        <w:tc>
          <w:tcPr>
            <w:tcW w:w="1021" w:type="dxa"/>
            <w:tcBorders>
              <w:top w:val="nil"/>
              <w:left w:val="nil"/>
              <w:bottom w:val="nil"/>
              <w:right w:val="nil"/>
            </w:tcBorders>
            <w:shd w:val="clear" w:color="auto" w:fill="FFFFFF"/>
            <w:vAlign w:val="bottom"/>
          </w:tcPr>
          <w:p w14:paraId="1B37864A"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Post- Employ</w:t>
            </w:r>
            <w:r w:rsidR="0000218C">
              <w:rPr>
                <w:rFonts w:ascii="Arial" w:hAnsi="Arial" w:cs="Arial"/>
                <w:b/>
                <w:sz w:val="18"/>
                <w:szCs w:val="18"/>
              </w:rPr>
              <w:t>=</w:t>
            </w:r>
            <w:proofErr w:type="spellStart"/>
            <w:r w:rsidRPr="00862FE1">
              <w:rPr>
                <w:rFonts w:ascii="Arial" w:hAnsi="Arial" w:cs="Arial"/>
                <w:b/>
                <w:sz w:val="18"/>
                <w:szCs w:val="18"/>
              </w:rPr>
              <w:t>ment</w:t>
            </w:r>
            <w:proofErr w:type="spellEnd"/>
            <w:r w:rsidRPr="00862FE1">
              <w:rPr>
                <w:rFonts w:ascii="Arial" w:hAnsi="Arial" w:cs="Arial"/>
                <w:b/>
                <w:sz w:val="18"/>
                <w:szCs w:val="18"/>
              </w:rPr>
              <w:t xml:space="preserve"> Expenses</w:t>
            </w:r>
          </w:p>
        </w:tc>
        <w:tc>
          <w:tcPr>
            <w:tcW w:w="1021" w:type="dxa"/>
            <w:tcBorders>
              <w:top w:val="nil"/>
              <w:left w:val="nil"/>
              <w:bottom w:val="nil"/>
              <w:right w:val="nil"/>
            </w:tcBorders>
            <w:shd w:val="clear" w:color="auto" w:fill="FFFFFF"/>
            <w:vAlign w:val="bottom"/>
          </w:tcPr>
          <w:p w14:paraId="3C277AAF"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Termina</w:t>
            </w:r>
            <w:r w:rsidR="0000218C">
              <w:rPr>
                <w:rFonts w:ascii="Arial" w:hAnsi="Arial" w:cs="Arial"/>
                <w:b/>
                <w:sz w:val="18"/>
                <w:szCs w:val="18"/>
              </w:rPr>
              <w:t>-</w:t>
            </w:r>
            <w:proofErr w:type="spellStart"/>
            <w:r w:rsidRPr="00862FE1">
              <w:rPr>
                <w:rFonts w:ascii="Arial" w:hAnsi="Arial" w:cs="Arial"/>
                <w:b/>
                <w:sz w:val="18"/>
                <w:szCs w:val="18"/>
              </w:rPr>
              <w:t>tion</w:t>
            </w:r>
            <w:proofErr w:type="spellEnd"/>
            <w:r w:rsidRPr="00862FE1">
              <w:rPr>
                <w:rFonts w:ascii="Arial" w:hAnsi="Arial" w:cs="Arial"/>
                <w:b/>
                <w:sz w:val="18"/>
                <w:szCs w:val="18"/>
              </w:rPr>
              <w:br/>
              <w:t>benefits</w:t>
            </w:r>
          </w:p>
        </w:tc>
        <w:tc>
          <w:tcPr>
            <w:tcW w:w="1021" w:type="dxa"/>
            <w:tcBorders>
              <w:top w:val="nil"/>
              <w:left w:val="nil"/>
              <w:bottom w:val="nil"/>
              <w:right w:val="nil"/>
            </w:tcBorders>
            <w:shd w:val="clear" w:color="auto" w:fill="FFFFFF"/>
            <w:vAlign w:val="bottom"/>
          </w:tcPr>
          <w:p w14:paraId="519A4F15"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Total Expenses</w:t>
            </w:r>
          </w:p>
        </w:tc>
      </w:tr>
      <w:tr w:rsidR="002E375F" w:rsidRPr="0000218C" w14:paraId="79F08393" w14:textId="77777777">
        <w:tc>
          <w:tcPr>
            <w:tcW w:w="7835" w:type="dxa"/>
            <w:tcBorders>
              <w:top w:val="nil"/>
              <w:left w:val="nil"/>
              <w:bottom w:val="nil"/>
              <w:right w:val="nil"/>
            </w:tcBorders>
            <w:shd w:val="clear" w:color="auto" w:fill="FFFFFF"/>
            <w:vAlign w:val="bottom"/>
          </w:tcPr>
          <w:p w14:paraId="430C2BAF" w14:textId="77777777" w:rsidR="002E375F" w:rsidRPr="00862FE1" w:rsidRDefault="002E375F" w:rsidP="00943EF1">
            <w:pPr>
              <w:pStyle w:val="Heading3"/>
              <w:rPr>
                <w:rFonts w:ascii="Arial" w:hAnsi="Arial" w:cs="Arial"/>
                <w:b/>
                <w:sz w:val="18"/>
                <w:szCs w:val="18"/>
              </w:rPr>
            </w:pPr>
          </w:p>
        </w:tc>
        <w:tc>
          <w:tcPr>
            <w:tcW w:w="1021" w:type="dxa"/>
            <w:tcBorders>
              <w:top w:val="nil"/>
              <w:left w:val="nil"/>
              <w:bottom w:val="nil"/>
              <w:right w:val="nil"/>
            </w:tcBorders>
            <w:shd w:val="clear" w:color="auto" w:fill="FFFFFF"/>
            <w:vAlign w:val="bottom"/>
          </w:tcPr>
          <w:p w14:paraId="44F4AA3F"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$'000</w:t>
            </w:r>
          </w:p>
        </w:tc>
        <w:tc>
          <w:tcPr>
            <w:tcW w:w="1021" w:type="dxa"/>
            <w:tcBorders>
              <w:top w:val="nil"/>
              <w:left w:val="nil"/>
              <w:bottom w:val="nil"/>
              <w:right w:val="nil"/>
            </w:tcBorders>
            <w:shd w:val="clear" w:color="auto" w:fill="FFFFFF"/>
            <w:vAlign w:val="bottom"/>
          </w:tcPr>
          <w:p w14:paraId="79340C46"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$'000</w:t>
            </w:r>
          </w:p>
        </w:tc>
        <w:tc>
          <w:tcPr>
            <w:tcW w:w="1021" w:type="dxa"/>
            <w:tcBorders>
              <w:top w:val="nil"/>
              <w:left w:val="nil"/>
              <w:bottom w:val="nil"/>
              <w:right w:val="nil"/>
            </w:tcBorders>
            <w:shd w:val="clear" w:color="auto" w:fill="FFFFFF"/>
            <w:vAlign w:val="bottom"/>
          </w:tcPr>
          <w:p w14:paraId="5CC7CE04"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$'000</w:t>
            </w:r>
          </w:p>
        </w:tc>
        <w:tc>
          <w:tcPr>
            <w:tcW w:w="1021" w:type="dxa"/>
            <w:tcBorders>
              <w:top w:val="nil"/>
              <w:left w:val="nil"/>
              <w:bottom w:val="nil"/>
              <w:right w:val="nil"/>
            </w:tcBorders>
            <w:shd w:val="clear" w:color="auto" w:fill="FFFFFF"/>
            <w:vAlign w:val="bottom"/>
          </w:tcPr>
          <w:p w14:paraId="78376191"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$'000</w:t>
            </w:r>
          </w:p>
        </w:tc>
        <w:tc>
          <w:tcPr>
            <w:tcW w:w="1021" w:type="dxa"/>
            <w:tcBorders>
              <w:top w:val="nil"/>
              <w:left w:val="nil"/>
              <w:bottom w:val="nil"/>
              <w:right w:val="nil"/>
            </w:tcBorders>
            <w:shd w:val="clear" w:color="auto" w:fill="FFFFFF"/>
            <w:vAlign w:val="bottom"/>
          </w:tcPr>
          <w:p w14:paraId="7FA6EA03"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$'000</w:t>
            </w:r>
          </w:p>
        </w:tc>
        <w:tc>
          <w:tcPr>
            <w:tcW w:w="1021" w:type="dxa"/>
            <w:tcBorders>
              <w:top w:val="nil"/>
              <w:left w:val="nil"/>
              <w:bottom w:val="nil"/>
              <w:right w:val="nil"/>
            </w:tcBorders>
            <w:shd w:val="clear" w:color="auto" w:fill="FFFFFF"/>
            <w:vAlign w:val="bottom"/>
          </w:tcPr>
          <w:p w14:paraId="416C7C7C"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$'000</w:t>
            </w:r>
          </w:p>
        </w:tc>
      </w:tr>
      <w:tr w:rsidR="002E375F" w:rsidRPr="0000218C" w14:paraId="3C24360B" w14:textId="77777777">
        <w:tc>
          <w:tcPr>
            <w:tcW w:w="7835" w:type="dxa"/>
            <w:tcBorders>
              <w:top w:val="nil"/>
              <w:left w:val="nil"/>
              <w:bottom w:val="nil"/>
              <w:right w:val="nil"/>
            </w:tcBorders>
            <w:shd w:val="clear" w:color="auto" w:fill="FFFFFF"/>
            <w:vAlign w:val="bottom"/>
          </w:tcPr>
          <w:p w14:paraId="1AF49923"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Director-General</w:t>
            </w:r>
          </w:p>
        </w:tc>
        <w:tc>
          <w:tcPr>
            <w:tcW w:w="1021" w:type="dxa"/>
            <w:tcBorders>
              <w:top w:val="nil"/>
              <w:left w:val="nil"/>
              <w:bottom w:val="nil"/>
              <w:right w:val="nil"/>
            </w:tcBorders>
            <w:shd w:val="clear" w:color="auto" w:fill="FFFFFF"/>
            <w:vAlign w:val="bottom"/>
          </w:tcPr>
          <w:p w14:paraId="34A39B92"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331</w:t>
            </w:r>
          </w:p>
        </w:tc>
        <w:tc>
          <w:tcPr>
            <w:tcW w:w="1021" w:type="dxa"/>
            <w:tcBorders>
              <w:top w:val="nil"/>
              <w:left w:val="nil"/>
              <w:bottom w:val="nil"/>
              <w:right w:val="nil"/>
            </w:tcBorders>
            <w:shd w:val="clear" w:color="auto" w:fill="FFFFFF"/>
            <w:vAlign w:val="bottom"/>
          </w:tcPr>
          <w:p w14:paraId="0394114D"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5</w:t>
            </w:r>
          </w:p>
        </w:tc>
        <w:tc>
          <w:tcPr>
            <w:tcW w:w="1021" w:type="dxa"/>
            <w:tcBorders>
              <w:top w:val="nil"/>
              <w:left w:val="nil"/>
              <w:bottom w:val="nil"/>
              <w:right w:val="nil"/>
            </w:tcBorders>
            <w:shd w:val="clear" w:color="auto" w:fill="FFFFFF"/>
            <w:vAlign w:val="bottom"/>
          </w:tcPr>
          <w:p w14:paraId="6268619B"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8</w:t>
            </w:r>
          </w:p>
        </w:tc>
        <w:tc>
          <w:tcPr>
            <w:tcW w:w="1021" w:type="dxa"/>
            <w:tcBorders>
              <w:top w:val="nil"/>
              <w:left w:val="nil"/>
              <w:bottom w:val="nil"/>
              <w:right w:val="nil"/>
            </w:tcBorders>
            <w:shd w:val="clear" w:color="auto" w:fill="FFFFFF"/>
            <w:vAlign w:val="bottom"/>
          </w:tcPr>
          <w:p w14:paraId="59755EB5"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43</w:t>
            </w:r>
          </w:p>
        </w:tc>
        <w:tc>
          <w:tcPr>
            <w:tcW w:w="1021" w:type="dxa"/>
            <w:tcBorders>
              <w:top w:val="nil"/>
              <w:left w:val="nil"/>
              <w:bottom w:val="nil"/>
              <w:right w:val="nil"/>
            </w:tcBorders>
            <w:shd w:val="clear" w:color="auto" w:fill="FFFFFF"/>
            <w:vAlign w:val="bottom"/>
          </w:tcPr>
          <w:p w14:paraId="06BF3913"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70FD2FEB"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387</w:t>
            </w:r>
          </w:p>
        </w:tc>
      </w:tr>
      <w:tr w:rsidR="002E375F" w:rsidRPr="0000218C" w14:paraId="51866B44" w14:textId="77777777">
        <w:tc>
          <w:tcPr>
            <w:tcW w:w="7835" w:type="dxa"/>
            <w:tcBorders>
              <w:top w:val="nil"/>
              <w:left w:val="nil"/>
              <w:bottom w:val="nil"/>
              <w:right w:val="nil"/>
            </w:tcBorders>
            <w:shd w:val="clear" w:color="auto" w:fill="FFFFFF"/>
            <w:vAlign w:val="bottom"/>
          </w:tcPr>
          <w:p w14:paraId="543A1E95"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Assistant Director-General (Community Services and Seniors)</w:t>
            </w:r>
          </w:p>
        </w:tc>
        <w:tc>
          <w:tcPr>
            <w:tcW w:w="1021" w:type="dxa"/>
            <w:tcBorders>
              <w:top w:val="nil"/>
              <w:left w:val="nil"/>
              <w:bottom w:val="nil"/>
              <w:right w:val="nil"/>
            </w:tcBorders>
            <w:shd w:val="clear" w:color="auto" w:fill="FFFFFF"/>
            <w:vAlign w:val="bottom"/>
          </w:tcPr>
          <w:p w14:paraId="54B42B1F"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249</w:t>
            </w:r>
          </w:p>
        </w:tc>
        <w:tc>
          <w:tcPr>
            <w:tcW w:w="1021" w:type="dxa"/>
            <w:tcBorders>
              <w:top w:val="nil"/>
              <w:left w:val="nil"/>
              <w:bottom w:val="nil"/>
              <w:right w:val="nil"/>
            </w:tcBorders>
            <w:shd w:val="clear" w:color="auto" w:fill="FFFFFF"/>
            <w:vAlign w:val="bottom"/>
          </w:tcPr>
          <w:p w14:paraId="1EE71ACE"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5</w:t>
            </w:r>
          </w:p>
        </w:tc>
        <w:tc>
          <w:tcPr>
            <w:tcW w:w="1021" w:type="dxa"/>
            <w:tcBorders>
              <w:top w:val="nil"/>
              <w:left w:val="nil"/>
              <w:bottom w:val="nil"/>
              <w:right w:val="nil"/>
            </w:tcBorders>
            <w:shd w:val="clear" w:color="auto" w:fill="FFFFFF"/>
            <w:vAlign w:val="bottom"/>
          </w:tcPr>
          <w:p w14:paraId="22FC22CF"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6</w:t>
            </w:r>
          </w:p>
        </w:tc>
        <w:tc>
          <w:tcPr>
            <w:tcW w:w="1021" w:type="dxa"/>
            <w:tcBorders>
              <w:top w:val="nil"/>
              <w:left w:val="nil"/>
              <w:bottom w:val="nil"/>
              <w:right w:val="nil"/>
            </w:tcBorders>
            <w:shd w:val="clear" w:color="auto" w:fill="FFFFFF"/>
            <w:vAlign w:val="bottom"/>
          </w:tcPr>
          <w:p w14:paraId="3DD02E19"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26</w:t>
            </w:r>
          </w:p>
        </w:tc>
        <w:tc>
          <w:tcPr>
            <w:tcW w:w="1021" w:type="dxa"/>
            <w:tcBorders>
              <w:top w:val="nil"/>
              <w:left w:val="nil"/>
              <w:bottom w:val="nil"/>
              <w:right w:val="nil"/>
            </w:tcBorders>
            <w:shd w:val="clear" w:color="auto" w:fill="FFFFFF"/>
            <w:vAlign w:val="bottom"/>
          </w:tcPr>
          <w:p w14:paraId="7685592F"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74BB53B0"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286</w:t>
            </w:r>
          </w:p>
        </w:tc>
      </w:tr>
      <w:tr w:rsidR="002E375F" w:rsidRPr="0000218C" w14:paraId="77E5996F" w14:textId="77777777">
        <w:tc>
          <w:tcPr>
            <w:tcW w:w="7835" w:type="dxa"/>
            <w:tcBorders>
              <w:top w:val="nil"/>
              <w:left w:val="nil"/>
              <w:bottom w:val="nil"/>
              <w:right w:val="nil"/>
            </w:tcBorders>
            <w:shd w:val="clear" w:color="auto" w:fill="FFFFFF"/>
            <w:vAlign w:val="bottom"/>
          </w:tcPr>
          <w:p w14:paraId="2CCDF1F0"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Assistant Director-General (Disability, Accommodation and Respite Services)</w:t>
            </w:r>
          </w:p>
        </w:tc>
        <w:tc>
          <w:tcPr>
            <w:tcW w:w="1021" w:type="dxa"/>
            <w:tcBorders>
              <w:top w:val="nil"/>
              <w:left w:val="nil"/>
              <w:bottom w:val="nil"/>
              <w:right w:val="nil"/>
            </w:tcBorders>
            <w:shd w:val="clear" w:color="auto" w:fill="FFFFFF"/>
            <w:vAlign w:val="bottom"/>
          </w:tcPr>
          <w:p w14:paraId="73C73CAE"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230</w:t>
            </w:r>
          </w:p>
        </w:tc>
        <w:tc>
          <w:tcPr>
            <w:tcW w:w="1021" w:type="dxa"/>
            <w:tcBorders>
              <w:top w:val="nil"/>
              <w:left w:val="nil"/>
              <w:bottom w:val="nil"/>
              <w:right w:val="nil"/>
            </w:tcBorders>
            <w:shd w:val="clear" w:color="auto" w:fill="FFFFFF"/>
            <w:vAlign w:val="bottom"/>
          </w:tcPr>
          <w:p w14:paraId="3D6FDDC4"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5</w:t>
            </w:r>
          </w:p>
        </w:tc>
        <w:tc>
          <w:tcPr>
            <w:tcW w:w="1021" w:type="dxa"/>
            <w:tcBorders>
              <w:top w:val="nil"/>
              <w:left w:val="nil"/>
              <w:bottom w:val="nil"/>
              <w:right w:val="nil"/>
            </w:tcBorders>
            <w:shd w:val="clear" w:color="auto" w:fill="FFFFFF"/>
            <w:vAlign w:val="bottom"/>
          </w:tcPr>
          <w:p w14:paraId="079B7A1B"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5</w:t>
            </w:r>
          </w:p>
        </w:tc>
        <w:tc>
          <w:tcPr>
            <w:tcW w:w="1021" w:type="dxa"/>
            <w:tcBorders>
              <w:top w:val="nil"/>
              <w:left w:val="nil"/>
              <w:bottom w:val="nil"/>
              <w:right w:val="nil"/>
            </w:tcBorders>
            <w:shd w:val="clear" w:color="auto" w:fill="FFFFFF"/>
            <w:vAlign w:val="bottom"/>
          </w:tcPr>
          <w:p w14:paraId="72A7FF60"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26</w:t>
            </w:r>
          </w:p>
        </w:tc>
        <w:tc>
          <w:tcPr>
            <w:tcW w:w="1021" w:type="dxa"/>
            <w:tcBorders>
              <w:top w:val="nil"/>
              <w:left w:val="nil"/>
              <w:bottom w:val="nil"/>
              <w:right w:val="nil"/>
            </w:tcBorders>
            <w:shd w:val="clear" w:color="auto" w:fill="FFFFFF"/>
            <w:vAlign w:val="bottom"/>
          </w:tcPr>
          <w:p w14:paraId="31FCEE1A"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4F472865"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266</w:t>
            </w:r>
          </w:p>
        </w:tc>
      </w:tr>
      <w:tr w:rsidR="002E375F" w:rsidRPr="0000218C" w14:paraId="10D3EF94" w14:textId="77777777">
        <w:tc>
          <w:tcPr>
            <w:tcW w:w="7835" w:type="dxa"/>
            <w:tcBorders>
              <w:top w:val="nil"/>
              <w:left w:val="nil"/>
              <w:bottom w:val="nil"/>
              <w:right w:val="nil"/>
            </w:tcBorders>
            <w:shd w:val="clear" w:color="auto" w:fill="FFFFFF"/>
            <w:vAlign w:val="bottom"/>
          </w:tcPr>
          <w:p w14:paraId="3E3C22FF"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Deputy Director-General (Disability Services) - until 9 August 2019</w:t>
            </w:r>
          </w:p>
        </w:tc>
        <w:tc>
          <w:tcPr>
            <w:tcW w:w="1021" w:type="dxa"/>
            <w:tcBorders>
              <w:top w:val="nil"/>
              <w:left w:val="nil"/>
              <w:bottom w:val="nil"/>
              <w:right w:val="nil"/>
            </w:tcBorders>
            <w:shd w:val="clear" w:color="auto" w:fill="FFFFFF"/>
            <w:vAlign w:val="bottom"/>
          </w:tcPr>
          <w:p w14:paraId="24176B3A"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74</w:t>
            </w:r>
          </w:p>
        </w:tc>
        <w:tc>
          <w:tcPr>
            <w:tcW w:w="1021" w:type="dxa"/>
            <w:tcBorders>
              <w:top w:val="nil"/>
              <w:left w:val="nil"/>
              <w:bottom w:val="nil"/>
              <w:right w:val="nil"/>
            </w:tcBorders>
            <w:shd w:val="clear" w:color="auto" w:fill="FFFFFF"/>
            <w:vAlign w:val="bottom"/>
          </w:tcPr>
          <w:p w14:paraId="31795AB3"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w:t>
            </w:r>
          </w:p>
        </w:tc>
        <w:tc>
          <w:tcPr>
            <w:tcW w:w="1021" w:type="dxa"/>
            <w:tcBorders>
              <w:top w:val="nil"/>
              <w:left w:val="nil"/>
              <w:bottom w:val="nil"/>
              <w:right w:val="nil"/>
            </w:tcBorders>
            <w:shd w:val="clear" w:color="auto" w:fill="FFFFFF"/>
            <w:vAlign w:val="bottom"/>
          </w:tcPr>
          <w:p w14:paraId="17995B93"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w:t>
            </w:r>
          </w:p>
        </w:tc>
        <w:tc>
          <w:tcPr>
            <w:tcW w:w="1021" w:type="dxa"/>
            <w:tcBorders>
              <w:top w:val="nil"/>
              <w:left w:val="nil"/>
              <w:bottom w:val="nil"/>
              <w:right w:val="nil"/>
            </w:tcBorders>
            <w:shd w:val="clear" w:color="auto" w:fill="FFFFFF"/>
            <w:vAlign w:val="bottom"/>
          </w:tcPr>
          <w:p w14:paraId="715AC202"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4</w:t>
            </w:r>
          </w:p>
        </w:tc>
        <w:tc>
          <w:tcPr>
            <w:tcW w:w="1021" w:type="dxa"/>
            <w:tcBorders>
              <w:top w:val="nil"/>
              <w:left w:val="nil"/>
              <w:bottom w:val="nil"/>
              <w:right w:val="nil"/>
            </w:tcBorders>
            <w:shd w:val="clear" w:color="auto" w:fill="FFFFFF"/>
            <w:vAlign w:val="bottom"/>
          </w:tcPr>
          <w:p w14:paraId="41D1BBFD"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253</w:t>
            </w:r>
          </w:p>
        </w:tc>
        <w:tc>
          <w:tcPr>
            <w:tcW w:w="1021" w:type="dxa"/>
            <w:tcBorders>
              <w:top w:val="nil"/>
              <w:left w:val="nil"/>
              <w:bottom w:val="nil"/>
              <w:right w:val="nil"/>
            </w:tcBorders>
            <w:shd w:val="clear" w:color="auto" w:fill="FFFFFF"/>
            <w:vAlign w:val="bottom"/>
          </w:tcPr>
          <w:p w14:paraId="2625BD17"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333</w:t>
            </w:r>
          </w:p>
        </w:tc>
      </w:tr>
      <w:tr w:rsidR="002E375F" w:rsidRPr="0000218C" w14:paraId="0364D609" w14:textId="77777777">
        <w:tc>
          <w:tcPr>
            <w:tcW w:w="7835" w:type="dxa"/>
            <w:tcBorders>
              <w:top w:val="nil"/>
              <w:left w:val="nil"/>
              <w:bottom w:val="nil"/>
              <w:right w:val="nil"/>
            </w:tcBorders>
            <w:shd w:val="clear" w:color="auto" w:fill="FFFFFF"/>
            <w:vAlign w:val="bottom"/>
          </w:tcPr>
          <w:p w14:paraId="2D9ABA89"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Assistant Director-General (Disability Connect Queensland) - from 16 September 2019</w:t>
            </w:r>
          </w:p>
        </w:tc>
        <w:tc>
          <w:tcPr>
            <w:tcW w:w="1021" w:type="dxa"/>
            <w:tcBorders>
              <w:top w:val="nil"/>
              <w:left w:val="nil"/>
              <w:bottom w:val="nil"/>
              <w:right w:val="nil"/>
            </w:tcBorders>
            <w:shd w:val="clear" w:color="auto" w:fill="FFFFFF"/>
            <w:vAlign w:val="bottom"/>
          </w:tcPr>
          <w:p w14:paraId="23F2F555"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170</w:t>
            </w:r>
          </w:p>
        </w:tc>
        <w:tc>
          <w:tcPr>
            <w:tcW w:w="1021" w:type="dxa"/>
            <w:tcBorders>
              <w:top w:val="nil"/>
              <w:left w:val="nil"/>
              <w:bottom w:val="nil"/>
              <w:right w:val="nil"/>
            </w:tcBorders>
            <w:shd w:val="clear" w:color="auto" w:fill="FFFFFF"/>
            <w:vAlign w:val="bottom"/>
          </w:tcPr>
          <w:p w14:paraId="3ABA965F"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4</w:t>
            </w:r>
          </w:p>
        </w:tc>
        <w:tc>
          <w:tcPr>
            <w:tcW w:w="1021" w:type="dxa"/>
            <w:tcBorders>
              <w:top w:val="nil"/>
              <w:left w:val="nil"/>
              <w:bottom w:val="nil"/>
              <w:right w:val="nil"/>
            </w:tcBorders>
            <w:shd w:val="clear" w:color="auto" w:fill="FFFFFF"/>
            <w:vAlign w:val="bottom"/>
          </w:tcPr>
          <w:p w14:paraId="232781D8"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4</w:t>
            </w:r>
          </w:p>
        </w:tc>
        <w:tc>
          <w:tcPr>
            <w:tcW w:w="1021" w:type="dxa"/>
            <w:tcBorders>
              <w:top w:val="nil"/>
              <w:left w:val="nil"/>
              <w:bottom w:val="nil"/>
              <w:right w:val="nil"/>
            </w:tcBorders>
            <w:shd w:val="clear" w:color="auto" w:fill="FFFFFF"/>
            <w:vAlign w:val="bottom"/>
          </w:tcPr>
          <w:p w14:paraId="3DAD1250"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15</w:t>
            </w:r>
          </w:p>
        </w:tc>
        <w:tc>
          <w:tcPr>
            <w:tcW w:w="1021" w:type="dxa"/>
            <w:tcBorders>
              <w:top w:val="nil"/>
              <w:left w:val="nil"/>
              <w:bottom w:val="nil"/>
              <w:right w:val="nil"/>
            </w:tcBorders>
            <w:shd w:val="clear" w:color="auto" w:fill="FFFFFF"/>
            <w:vAlign w:val="bottom"/>
          </w:tcPr>
          <w:p w14:paraId="33A44E8C"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41660F46"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193</w:t>
            </w:r>
          </w:p>
        </w:tc>
      </w:tr>
      <w:tr w:rsidR="002E375F" w:rsidRPr="0000218C" w14:paraId="3913DFE5" w14:textId="77777777">
        <w:tc>
          <w:tcPr>
            <w:tcW w:w="7835" w:type="dxa"/>
            <w:tcBorders>
              <w:top w:val="nil"/>
              <w:left w:val="nil"/>
              <w:bottom w:val="nil"/>
              <w:right w:val="nil"/>
            </w:tcBorders>
            <w:shd w:val="clear" w:color="auto" w:fill="FFFFFF"/>
            <w:vAlign w:val="bottom"/>
          </w:tcPr>
          <w:p w14:paraId="4E73D66F"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Deputy Director-General (Corporate Services) - until 13 September 2019</w:t>
            </w:r>
          </w:p>
        </w:tc>
        <w:tc>
          <w:tcPr>
            <w:tcW w:w="1021" w:type="dxa"/>
            <w:tcBorders>
              <w:top w:val="nil"/>
              <w:left w:val="nil"/>
              <w:bottom w:val="nil"/>
              <w:right w:val="nil"/>
            </w:tcBorders>
            <w:shd w:val="clear" w:color="auto" w:fill="FFFFFF"/>
            <w:vAlign w:val="bottom"/>
          </w:tcPr>
          <w:p w14:paraId="4CF63EE2"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75</w:t>
            </w:r>
          </w:p>
        </w:tc>
        <w:tc>
          <w:tcPr>
            <w:tcW w:w="1021" w:type="dxa"/>
            <w:tcBorders>
              <w:top w:val="nil"/>
              <w:left w:val="nil"/>
              <w:bottom w:val="nil"/>
              <w:right w:val="nil"/>
            </w:tcBorders>
            <w:shd w:val="clear" w:color="auto" w:fill="FFFFFF"/>
            <w:vAlign w:val="bottom"/>
          </w:tcPr>
          <w:p w14:paraId="1DD746C9"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w:t>
            </w:r>
          </w:p>
        </w:tc>
        <w:tc>
          <w:tcPr>
            <w:tcW w:w="1021" w:type="dxa"/>
            <w:tcBorders>
              <w:top w:val="nil"/>
              <w:left w:val="nil"/>
              <w:bottom w:val="nil"/>
              <w:right w:val="nil"/>
            </w:tcBorders>
            <w:shd w:val="clear" w:color="auto" w:fill="FFFFFF"/>
            <w:vAlign w:val="bottom"/>
          </w:tcPr>
          <w:p w14:paraId="66C348F6"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w:t>
            </w:r>
          </w:p>
        </w:tc>
        <w:tc>
          <w:tcPr>
            <w:tcW w:w="1021" w:type="dxa"/>
            <w:tcBorders>
              <w:top w:val="nil"/>
              <w:left w:val="nil"/>
              <w:bottom w:val="nil"/>
              <w:right w:val="nil"/>
            </w:tcBorders>
            <w:shd w:val="clear" w:color="auto" w:fill="FFFFFF"/>
            <w:vAlign w:val="bottom"/>
          </w:tcPr>
          <w:p w14:paraId="6CD2EB31"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5</w:t>
            </w:r>
          </w:p>
        </w:tc>
        <w:tc>
          <w:tcPr>
            <w:tcW w:w="1021" w:type="dxa"/>
            <w:tcBorders>
              <w:top w:val="nil"/>
              <w:left w:val="nil"/>
              <w:bottom w:val="nil"/>
              <w:right w:val="nil"/>
            </w:tcBorders>
            <w:shd w:val="clear" w:color="auto" w:fill="FFFFFF"/>
            <w:vAlign w:val="bottom"/>
          </w:tcPr>
          <w:p w14:paraId="7295B13B"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233</w:t>
            </w:r>
          </w:p>
        </w:tc>
        <w:tc>
          <w:tcPr>
            <w:tcW w:w="1021" w:type="dxa"/>
            <w:tcBorders>
              <w:top w:val="nil"/>
              <w:left w:val="nil"/>
              <w:bottom w:val="nil"/>
              <w:right w:val="nil"/>
            </w:tcBorders>
            <w:shd w:val="clear" w:color="auto" w:fill="FFFFFF"/>
            <w:vAlign w:val="bottom"/>
          </w:tcPr>
          <w:p w14:paraId="73BD1D24"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315</w:t>
            </w:r>
          </w:p>
        </w:tc>
      </w:tr>
      <w:tr w:rsidR="002E375F" w:rsidRPr="0000218C" w14:paraId="27521D57" w14:textId="77777777">
        <w:tc>
          <w:tcPr>
            <w:tcW w:w="7835" w:type="dxa"/>
            <w:tcBorders>
              <w:top w:val="nil"/>
              <w:left w:val="nil"/>
              <w:bottom w:val="nil"/>
              <w:right w:val="nil"/>
            </w:tcBorders>
            <w:shd w:val="clear" w:color="auto" w:fill="FFFFFF"/>
            <w:vAlign w:val="bottom"/>
          </w:tcPr>
          <w:p w14:paraId="4A812ABC"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Assistant Director-General (Corporate Services) - from 16 September 2019</w:t>
            </w:r>
          </w:p>
        </w:tc>
        <w:tc>
          <w:tcPr>
            <w:tcW w:w="1021" w:type="dxa"/>
            <w:tcBorders>
              <w:top w:val="nil"/>
              <w:left w:val="nil"/>
              <w:bottom w:val="nil"/>
              <w:right w:val="nil"/>
            </w:tcBorders>
            <w:shd w:val="clear" w:color="auto" w:fill="FFFFFF"/>
            <w:vAlign w:val="bottom"/>
          </w:tcPr>
          <w:p w14:paraId="58514044"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188</w:t>
            </w:r>
          </w:p>
        </w:tc>
        <w:tc>
          <w:tcPr>
            <w:tcW w:w="1021" w:type="dxa"/>
            <w:tcBorders>
              <w:top w:val="nil"/>
              <w:left w:val="nil"/>
              <w:bottom w:val="nil"/>
              <w:right w:val="nil"/>
            </w:tcBorders>
            <w:shd w:val="clear" w:color="auto" w:fill="FFFFFF"/>
            <w:vAlign w:val="bottom"/>
          </w:tcPr>
          <w:p w14:paraId="401B65F7"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w:t>
            </w:r>
          </w:p>
        </w:tc>
        <w:tc>
          <w:tcPr>
            <w:tcW w:w="1021" w:type="dxa"/>
            <w:tcBorders>
              <w:top w:val="nil"/>
              <w:left w:val="nil"/>
              <w:bottom w:val="nil"/>
              <w:right w:val="nil"/>
            </w:tcBorders>
            <w:shd w:val="clear" w:color="auto" w:fill="FFFFFF"/>
            <w:vAlign w:val="bottom"/>
          </w:tcPr>
          <w:p w14:paraId="762398D5"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4</w:t>
            </w:r>
          </w:p>
        </w:tc>
        <w:tc>
          <w:tcPr>
            <w:tcW w:w="1021" w:type="dxa"/>
            <w:tcBorders>
              <w:top w:val="nil"/>
              <w:left w:val="nil"/>
              <w:bottom w:val="nil"/>
              <w:right w:val="nil"/>
            </w:tcBorders>
            <w:shd w:val="clear" w:color="auto" w:fill="FFFFFF"/>
            <w:vAlign w:val="bottom"/>
          </w:tcPr>
          <w:p w14:paraId="4EAB16FE"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17</w:t>
            </w:r>
          </w:p>
        </w:tc>
        <w:tc>
          <w:tcPr>
            <w:tcW w:w="1021" w:type="dxa"/>
            <w:tcBorders>
              <w:top w:val="nil"/>
              <w:left w:val="nil"/>
              <w:bottom w:val="nil"/>
              <w:right w:val="nil"/>
            </w:tcBorders>
            <w:shd w:val="clear" w:color="auto" w:fill="FFFFFF"/>
            <w:vAlign w:val="bottom"/>
          </w:tcPr>
          <w:p w14:paraId="149DF29B"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0A70E01B"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211</w:t>
            </w:r>
          </w:p>
        </w:tc>
      </w:tr>
      <w:tr w:rsidR="002E375F" w:rsidRPr="0000218C" w14:paraId="3107B298" w14:textId="77777777">
        <w:tc>
          <w:tcPr>
            <w:tcW w:w="7835" w:type="dxa"/>
            <w:tcBorders>
              <w:top w:val="nil"/>
              <w:left w:val="nil"/>
              <w:bottom w:val="nil"/>
              <w:right w:val="nil"/>
            </w:tcBorders>
            <w:shd w:val="clear" w:color="auto" w:fill="FFFFFF"/>
            <w:vAlign w:val="bottom"/>
          </w:tcPr>
          <w:p w14:paraId="143C488F"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Assistant Director-General (Strategic Policy and Legislation) - until 27 September 2019</w:t>
            </w:r>
          </w:p>
        </w:tc>
        <w:tc>
          <w:tcPr>
            <w:tcW w:w="1021" w:type="dxa"/>
            <w:tcBorders>
              <w:top w:val="nil"/>
              <w:left w:val="nil"/>
              <w:bottom w:val="nil"/>
              <w:right w:val="nil"/>
            </w:tcBorders>
            <w:shd w:val="clear" w:color="auto" w:fill="FFFFFF"/>
            <w:vAlign w:val="bottom"/>
          </w:tcPr>
          <w:p w14:paraId="67B84108"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91</w:t>
            </w:r>
          </w:p>
        </w:tc>
        <w:tc>
          <w:tcPr>
            <w:tcW w:w="1021" w:type="dxa"/>
            <w:tcBorders>
              <w:top w:val="nil"/>
              <w:left w:val="nil"/>
              <w:bottom w:val="nil"/>
              <w:right w:val="nil"/>
            </w:tcBorders>
            <w:shd w:val="clear" w:color="auto" w:fill="FFFFFF"/>
            <w:vAlign w:val="bottom"/>
          </w:tcPr>
          <w:p w14:paraId="22A3BAC2"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w:t>
            </w:r>
          </w:p>
        </w:tc>
        <w:tc>
          <w:tcPr>
            <w:tcW w:w="1021" w:type="dxa"/>
            <w:tcBorders>
              <w:top w:val="nil"/>
              <w:left w:val="nil"/>
              <w:bottom w:val="nil"/>
              <w:right w:val="nil"/>
            </w:tcBorders>
            <w:shd w:val="clear" w:color="auto" w:fill="FFFFFF"/>
            <w:vAlign w:val="bottom"/>
          </w:tcPr>
          <w:p w14:paraId="7E4058B3"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w:t>
            </w:r>
          </w:p>
        </w:tc>
        <w:tc>
          <w:tcPr>
            <w:tcW w:w="1021" w:type="dxa"/>
            <w:tcBorders>
              <w:top w:val="nil"/>
              <w:left w:val="nil"/>
              <w:bottom w:val="nil"/>
              <w:right w:val="nil"/>
            </w:tcBorders>
            <w:shd w:val="clear" w:color="auto" w:fill="FFFFFF"/>
            <w:vAlign w:val="bottom"/>
          </w:tcPr>
          <w:p w14:paraId="0597BC06"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6</w:t>
            </w:r>
          </w:p>
        </w:tc>
        <w:tc>
          <w:tcPr>
            <w:tcW w:w="1021" w:type="dxa"/>
            <w:tcBorders>
              <w:top w:val="nil"/>
              <w:left w:val="nil"/>
              <w:bottom w:val="nil"/>
              <w:right w:val="nil"/>
            </w:tcBorders>
            <w:shd w:val="clear" w:color="auto" w:fill="FFFFFF"/>
            <w:vAlign w:val="bottom"/>
          </w:tcPr>
          <w:p w14:paraId="2914E25C"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47</w:t>
            </w:r>
          </w:p>
        </w:tc>
        <w:tc>
          <w:tcPr>
            <w:tcW w:w="1021" w:type="dxa"/>
            <w:tcBorders>
              <w:top w:val="nil"/>
              <w:left w:val="nil"/>
              <w:bottom w:val="nil"/>
              <w:right w:val="nil"/>
            </w:tcBorders>
            <w:shd w:val="clear" w:color="auto" w:fill="FFFFFF"/>
            <w:vAlign w:val="bottom"/>
          </w:tcPr>
          <w:p w14:paraId="213CB565"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146</w:t>
            </w:r>
          </w:p>
        </w:tc>
      </w:tr>
      <w:tr w:rsidR="002E375F" w:rsidRPr="0000218C" w14:paraId="4320B3F0" w14:textId="77777777">
        <w:tc>
          <w:tcPr>
            <w:tcW w:w="7835" w:type="dxa"/>
            <w:tcBorders>
              <w:top w:val="nil"/>
              <w:left w:val="nil"/>
              <w:bottom w:val="nil"/>
              <w:right w:val="nil"/>
            </w:tcBorders>
            <w:shd w:val="clear" w:color="auto" w:fill="FFFFFF"/>
            <w:vAlign w:val="bottom"/>
          </w:tcPr>
          <w:p w14:paraId="0F5B2EF7"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Executive Director (Strategic Policy and Legislation) - from 3 July 2019</w:t>
            </w:r>
          </w:p>
        </w:tc>
        <w:tc>
          <w:tcPr>
            <w:tcW w:w="1021" w:type="dxa"/>
            <w:tcBorders>
              <w:top w:val="nil"/>
              <w:left w:val="nil"/>
              <w:bottom w:val="nil"/>
              <w:right w:val="nil"/>
            </w:tcBorders>
            <w:shd w:val="clear" w:color="auto" w:fill="FFFFFF"/>
            <w:vAlign w:val="bottom"/>
          </w:tcPr>
          <w:p w14:paraId="3825609E"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196</w:t>
            </w:r>
          </w:p>
        </w:tc>
        <w:tc>
          <w:tcPr>
            <w:tcW w:w="1021" w:type="dxa"/>
            <w:tcBorders>
              <w:top w:val="nil"/>
              <w:left w:val="nil"/>
              <w:bottom w:val="nil"/>
              <w:right w:val="nil"/>
            </w:tcBorders>
            <w:shd w:val="clear" w:color="auto" w:fill="FFFFFF"/>
            <w:vAlign w:val="bottom"/>
          </w:tcPr>
          <w:p w14:paraId="0CF871A8"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5</w:t>
            </w:r>
          </w:p>
        </w:tc>
        <w:tc>
          <w:tcPr>
            <w:tcW w:w="1021" w:type="dxa"/>
            <w:tcBorders>
              <w:top w:val="nil"/>
              <w:left w:val="nil"/>
              <w:bottom w:val="nil"/>
              <w:right w:val="nil"/>
            </w:tcBorders>
            <w:shd w:val="clear" w:color="auto" w:fill="FFFFFF"/>
            <w:vAlign w:val="bottom"/>
          </w:tcPr>
          <w:p w14:paraId="322CEEDB"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4</w:t>
            </w:r>
          </w:p>
        </w:tc>
        <w:tc>
          <w:tcPr>
            <w:tcW w:w="1021" w:type="dxa"/>
            <w:tcBorders>
              <w:top w:val="nil"/>
              <w:left w:val="nil"/>
              <w:bottom w:val="nil"/>
              <w:right w:val="nil"/>
            </w:tcBorders>
            <w:shd w:val="clear" w:color="auto" w:fill="FFFFFF"/>
            <w:vAlign w:val="bottom"/>
          </w:tcPr>
          <w:p w14:paraId="00D42393"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19</w:t>
            </w:r>
          </w:p>
        </w:tc>
        <w:tc>
          <w:tcPr>
            <w:tcW w:w="1021" w:type="dxa"/>
            <w:tcBorders>
              <w:top w:val="nil"/>
              <w:left w:val="nil"/>
              <w:bottom w:val="nil"/>
              <w:right w:val="nil"/>
            </w:tcBorders>
            <w:shd w:val="clear" w:color="auto" w:fill="FFFFFF"/>
            <w:vAlign w:val="bottom"/>
          </w:tcPr>
          <w:p w14:paraId="656573F9"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001F12CB"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224</w:t>
            </w:r>
          </w:p>
        </w:tc>
      </w:tr>
      <w:tr w:rsidR="002E375F" w:rsidRPr="0000218C" w14:paraId="5BA2C404" w14:textId="77777777">
        <w:tc>
          <w:tcPr>
            <w:tcW w:w="7835" w:type="dxa"/>
            <w:tcBorders>
              <w:top w:val="nil"/>
              <w:left w:val="nil"/>
              <w:bottom w:val="nil"/>
              <w:right w:val="nil"/>
            </w:tcBorders>
            <w:shd w:val="clear" w:color="auto" w:fill="FFFFFF"/>
            <w:vAlign w:val="bottom"/>
          </w:tcPr>
          <w:p w14:paraId="58A3CEE3"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Assistant Director-General (NDIS Program Management Office) - until 19 July 2019</w:t>
            </w:r>
          </w:p>
        </w:tc>
        <w:tc>
          <w:tcPr>
            <w:tcW w:w="1021" w:type="dxa"/>
            <w:tcBorders>
              <w:top w:val="nil"/>
              <w:left w:val="nil"/>
              <w:bottom w:val="nil"/>
              <w:right w:val="nil"/>
            </w:tcBorders>
            <w:shd w:val="clear" w:color="auto" w:fill="FFFFFF"/>
            <w:vAlign w:val="bottom"/>
          </w:tcPr>
          <w:p w14:paraId="1F44B462"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16</w:t>
            </w:r>
          </w:p>
        </w:tc>
        <w:tc>
          <w:tcPr>
            <w:tcW w:w="1021" w:type="dxa"/>
            <w:tcBorders>
              <w:top w:val="nil"/>
              <w:left w:val="nil"/>
              <w:bottom w:val="nil"/>
              <w:right w:val="nil"/>
            </w:tcBorders>
            <w:shd w:val="clear" w:color="auto" w:fill="FFFFFF"/>
            <w:vAlign w:val="bottom"/>
          </w:tcPr>
          <w:p w14:paraId="29C8C5E1"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165C1E02"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66F80153"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w:t>
            </w:r>
          </w:p>
        </w:tc>
        <w:tc>
          <w:tcPr>
            <w:tcW w:w="1021" w:type="dxa"/>
            <w:tcBorders>
              <w:top w:val="nil"/>
              <w:left w:val="nil"/>
              <w:bottom w:val="nil"/>
              <w:right w:val="nil"/>
            </w:tcBorders>
            <w:shd w:val="clear" w:color="auto" w:fill="FFFFFF"/>
            <w:vAlign w:val="bottom"/>
          </w:tcPr>
          <w:p w14:paraId="5357BBBF"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67CA6C1F"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17</w:t>
            </w:r>
          </w:p>
        </w:tc>
      </w:tr>
      <w:tr w:rsidR="002E375F" w:rsidRPr="0000218C" w14:paraId="627931CA" w14:textId="77777777">
        <w:tc>
          <w:tcPr>
            <w:tcW w:w="7835" w:type="dxa"/>
            <w:tcBorders>
              <w:top w:val="nil"/>
              <w:left w:val="nil"/>
              <w:bottom w:val="nil"/>
              <w:right w:val="nil"/>
            </w:tcBorders>
            <w:shd w:val="clear" w:color="auto" w:fill="FFFFFF"/>
            <w:vAlign w:val="bottom"/>
          </w:tcPr>
          <w:p w14:paraId="0E46B6BB"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Chief Finance Officer</w:t>
            </w:r>
          </w:p>
        </w:tc>
        <w:tc>
          <w:tcPr>
            <w:tcW w:w="1021" w:type="dxa"/>
            <w:tcBorders>
              <w:top w:val="nil"/>
              <w:left w:val="nil"/>
              <w:bottom w:val="nil"/>
              <w:right w:val="nil"/>
            </w:tcBorders>
            <w:shd w:val="clear" w:color="auto" w:fill="FFFFFF"/>
            <w:vAlign w:val="bottom"/>
          </w:tcPr>
          <w:p w14:paraId="49DCDF47"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207</w:t>
            </w:r>
          </w:p>
        </w:tc>
        <w:tc>
          <w:tcPr>
            <w:tcW w:w="1021" w:type="dxa"/>
            <w:tcBorders>
              <w:top w:val="nil"/>
              <w:left w:val="nil"/>
              <w:bottom w:val="nil"/>
              <w:right w:val="nil"/>
            </w:tcBorders>
            <w:shd w:val="clear" w:color="auto" w:fill="FFFFFF"/>
            <w:vAlign w:val="bottom"/>
          </w:tcPr>
          <w:p w14:paraId="396E7B3D"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5</w:t>
            </w:r>
          </w:p>
        </w:tc>
        <w:tc>
          <w:tcPr>
            <w:tcW w:w="1021" w:type="dxa"/>
            <w:tcBorders>
              <w:top w:val="nil"/>
              <w:left w:val="nil"/>
              <w:bottom w:val="nil"/>
              <w:right w:val="nil"/>
            </w:tcBorders>
            <w:shd w:val="clear" w:color="auto" w:fill="FFFFFF"/>
            <w:vAlign w:val="bottom"/>
          </w:tcPr>
          <w:p w14:paraId="5E7AA1D5"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5</w:t>
            </w:r>
          </w:p>
        </w:tc>
        <w:tc>
          <w:tcPr>
            <w:tcW w:w="1021" w:type="dxa"/>
            <w:tcBorders>
              <w:top w:val="nil"/>
              <w:left w:val="nil"/>
              <w:bottom w:val="nil"/>
              <w:right w:val="nil"/>
            </w:tcBorders>
            <w:shd w:val="clear" w:color="auto" w:fill="FFFFFF"/>
            <w:vAlign w:val="bottom"/>
          </w:tcPr>
          <w:p w14:paraId="219F5DF2"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22</w:t>
            </w:r>
          </w:p>
        </w:tc>
        <w:tc>
          <w:tcPr>
            <w:tcW w:w="1021" w:type="dxa"/>
            <w:tcBorders>
              <w:top w:val="nil"/>
              <w:left w:val="nil"/>
              <w:bottom w:val="nil"/>
              <w:right w:val="nil"/>
            </w:tcBorders>
            <w:shd w:val="clear" w:color="auto" w:fill="FFFFFF"/>
            <w:vAlign w:val="bottom"/>
          </w:tcPr>
          <w:p w14:paraId="79E3C029"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314FEE64"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239</w:t>
            </w:r>
          </w:p>
        </w:tc>
      </w:tr>
      <w:tr w:rsidR="002E375F" w:rsidRPr="0000218C" w14:paraId="64CEFAA1" w14:textId="77777777">
        <w:tc>
          <w:tcPr>
            <w:tcW w:w="7835" w:type="dxa"/>
            <w:tcBorders>
              <w:top w:val="nil"/>
              <w:left w:val="nil"/>
              <w:bottom w:val="nil"/>
              <w:right w:val="nil"/>
            </w:tcBorders>
            <w:shd w:val="clear" w:color="auto" w:fill="FFFFFF"/>
            <w:vAlign w:val="bottom"/>
          </w:tcPr>
          <w:p w14:paraId="5E780CD0"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Chief Human Resources Officer</w:t>
            </w:r>
          </w:p>
        </w:tc>
        <w:tc>
          <w:tcPr>
            <w:tcW w:w="1021" w:type="dxa"/>
            <w:tcBorders>
              <w:top w:val="nil"/>
              <w:left w:val="nil"/>
              <w:bottom w:val="nil"/>
              <w:right w:val="nil"/>
            </w:tcBorders>
            <w:shd w:val="clear" w:color="auto" w:fill="FFFFFF"/>
            <w:vAlign w:val="bottom"/>
          </w:tcPr>
          <w:p w14:paraId="3E90801F"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195</w:t>
            </w:r>
          </w:p>
        </w:tc>
        <w:tc>
          <w:tcPr>
            <w:tcW w:w="1021" w:type="dxa"/>
            <w:tcBorders>
              <w:top w:val="nil"/>
              <w:left w:val="nil"/>
              <w:bottom w:val="nil"/>
              <w:right w:val="nil"/>
            </w:tcBorders>
            <w:shd w:val="clear" w:color="auto" w:fill="FFFFFF"/>
            <w:vAlign w:val="bottom"/>
          </w:tcPr>
          <w:p w14:paraId="48900911"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5</w:t>
            </w:r>
          </w:p>
        </w:tc>
        <w:tc>
          <w:tcPr>
            <w:tcW w:w="1021" w:type="dxa"/>
            <w:tcBorders>
              <w:top w:val="nil"/>
              <w:left w:val="nil"/>
              <w:bottom w:val="nil"/>
              <w:right w:val="nil"/>
            </w:tcBorders>
            <w:shd w:val="clear" w:color="auto" w:fill="FFFFFF"/>
            <w:vAlign w:val="bottom"/>
          </w:tcPr>
          <w:p w14:paraId="58B8A8EA"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4</w:t>
            </w:r>
          </w:p>
        </w:tc>
        <w:tc>
          <w:tcPr>
            <w:tcW w:w="1021" w:type="dxa"/>
            <w:tcBorders>
              <w:top w:val="nil"/>
              <w:left w:val="nil"/>
              <w:bottom w:val="nil"/>
              <w:right w:val="nil"/>
            </w:tcBorders>
            <w:shd w:val="clear" w:color="auto" w:fill="FFFFFF"/>
            <w:vAlign w:val="bottom"/>
          </w:tcPr>
          <w:p w14:paraId="3F350DBF"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21</w:t>
            </w:r>
          </w:p>
        </w:tc>
        <w:tc>
          <w:tcPr>
            <w:tcW w:w="1021" w:type="dxa"/>
            <w:tcBorders>
              <w:top w:val="nil"/>
              <w:left w:val="nil"/>
              <w:bottom w:val="nil"/>
              <w:right w:val="nil"/>
            </w:tcBorders>
            <w:shd w:val="clear" w:color="auto" w:fill="FFFFFF"/>
            <w:vAlign w:val="bottom"/>
          </w:tcPr>
          <w:p w14:paraId="715D3213"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1F56ED01"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225</w:t>
            </w:r>
          </w:p>
        </w:tc>
      </w:tr>
    </w:tbl>
    <w:p w14:paraId="7371E653"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6834" w:h="11909" w:orient="landscape"/>
          <w:pgMar w:top="1440" w:right="1440" w:bottom="1440" w:left="1440" w:header="720" w:footer="720" w:gutter="0"/>
          <w:cols w:space="720"/>
          <w:noEndnote/>
        </w:sectPr>
      </w:pPr>
    </w:p>
    <w:p w14:paraId="739DF74F"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0E2586F7"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50B76F8C"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283F2215"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190B3967" w14:textId="77777777" w:rsidR="00EF76D4" w:rsidRPr="00B42ADD" w:rsidRDefault="00EF76D4" w:rsidP="00B42ADD">
      <w:pPr>
        <w:pStyle w:val="Heading3"/>
      </w:pPr>
      <w:r w:rsidRPr="00B42ADD">
        <w:t>F1 Key Management Personnel Disclosures</w:t>
      </w:r>
      <w:r w:rsidR="00B42ADD" w:rsidRPr="00B42ADD">
        <w:t xml:space="preserve"> (continued)</w:t>
      </w:r>
    </w:p>
    <w:p w14:paraId="5EA5D99E" w14:textId="77777777" w:rsidR="00EF76D4" w:rsidRPr="00B42ADD" w:rsidRDefault="00EF76D4" w:rsidP="00B42ADD">
      <w:pPr>
        <w:pStyle w:val="Heading3"/>
      </w:pPr>
      <w:r w:rsidRPr="00B42ADD">
        <w:t>F1-1 Details of Key Management Personnel and Remuneration Expense</w:t>
      </w:r>
      <w:r w:rsidR="00B42ADD" w:rsidRPr="00B42ADD">
        <w:t xml:space="preserve"> (continued)</w:t>
      </w:r>
    </w:p>
    <w:p w14:paraId="1B9A5AE4" w14:textId="77777777" w:rsidR="002E375F" w:rsidRDefault="002E375F">
      <w:pPr>
        <w:autoSpaceDE w:val="0"/>
        <w:autoSpaceDN w:val="0"/>
        <w:adjustRightInd w:val="0"/>
        <w:spacing w:after="0" w:line="240" w:lineRule="auto"/>
        <w:rPr>
          <w:rFonts w:ascii="Times New Roman" w:hAnsi="Times New Roman" w:cs="Times New Roman"/>
          <w:sz w:val="24"/>
          <w:szCs w:val="24"/>
        </w:rPr>
      </w:pPr>
    </w:p>
    <w:tbl>
      <w:tblPr>
        <w:tblW w:w="13980" w:type="dxa"/>
        <w:tblLayout w:type="fixed"/>
        <w:tblCellMar>
          <w:left w:w="0" w:type="dxa"/>
          <w:right w:w="0" w:type="dxa"/>
        </w:tblCellMar>
        <w:tblLook w:val="0000" w:firstRow="0" w:lastRow="0" w:firstColumn="0" w:lastColumn="0" w:noHBand="0" w:noVBand="0"/>
      </w:tblPr>
      <w:tblGrid>
        <w:gridCol w:w="7854"/>
        <w:gridCol w:w="1021"/>
        <w:gridCol w:w="1021"/>
        <w:gridCol w:w="1021"/>
        <w:gridCol w:w="1021"/>
        <w:gridCol w:w="1021"/>
        <w:gridCol w:w="1021"/>
      </w:tblGrid>
      <w:tr w:rsidR="002E375F" w:rsidRPr="0000218C" w14:paraId="5E457129" w14:textId="77777777" w:rsidTr="00B42ADD">
        <w:tc>
          <w:tcPr>
            <w:tcW w:w="7854" w:type="dxa"/>
            <w:tcBorders>
              <w:top w:val="nil"/>
              <w:left w:val="nil"/>
              <w:bottom w:val="nil"/>
              <w:right w:val="nil"/>
            </w:tcBorders>
            <w:shd w:val="clear" w:color="auto" w:fill="FFFFFF"/>
            <w:vAlign w:val="bottom"/>
          </w:tcPr>
          <w:p w14:paraId="0B9DA42A" w14:textId="77777777" w:rsidR="002E375F" w:rsidRPr="00862FE1" w:rsidRDefault="00EB2569" w:rsidP="00943EF1">
            <w:pPr>
              <w:pStyle w:val="Heading3"/>
              <w:rPr>
                <w:rFonts w:ascii="Arial" w:hAnsi="Arial" w:cs="Arial"/>
                <w:b/>
                <w:sz w:val="18"/>
                <w:szCs w:val="18"/>
              </w:rPr>
            </w:pPr>
            <w:r w:rsidRPr="00862FE1">
              <w:rPr>
                <w:rFonts w:ascii="Arial" w:hAnsi="Arial" w:cs="Arial"/>
                <w:b/>
                <w:sz w:val="18"/>
                <w:szCs w:val="18"/>
              </w:rPr>
              <w:t>1 July 2018 - 30 June 2019</w:t>
            </w:r>
          </w:p>
        </w:tc>
        <w:tc>
          <w:tcPr>
            <w:tcW w:w="2042" w:type="dxa"/>
            <w:gridSpan w:val="2"/>
            <w:tcBorders>
              <w:top w:val="nil"/>
              <w:left w:val="nil"/>
              <w:bottom w:val="nil"/>
              <w:right w:val="nil"/>
            </w:tcBorders>
            <w:shd w:val="clear" w:color="auto" w:fill="FFFFFF"/>
            <w:vAlign w:val="bottom"/>
          </w:tcPr>
          <w:p w14:paraId="39AF8FBD" w14:textId="77777777" w:rsidR="002E375F" w:rsidRPr="00862FE1" w:rsidRDefault="00EB2569" w:rsidP="00862FE1">
            <w:pPr>
              <w:pStyle w:val="Heading3"/>
              <w:jc w:val="center"/>
              <w:rPr>
                <w:rFonts w:ascii="Arial" w:hAnsi="Arial" w:cs="Arial"/>
                <w:b/>
                <w:sz w:val="18"/>
                <w:szCs w:val="18"/>
              </w:rPr>
            </w:pPr>
            <w:r w:rsidRPr="00862FE1">
              <w:rPr>
                <w:rFonts w:ascii="Arial" w:hAnsi="Arial" w:cs="Arial"/>
                <w:b/>
                <w:sz w:val="18"/>
                <w:szCs w:val="18"/>
              </w:rPr>
              <w:t>Short Term Employee Expenses</w:t>
            </w:r>
          </w:p>
        </w:tc>
        <w:tc>
          <w:tcPr>
            <w:tcW w:w="3063" w:type="dxa"/>
            <w:gridSpan w:val="3"/>
            <w:tcBorders>
              <w:top w:val="nil"/>
              <w:left w:val="nil"/>
              <w:bottom w:val="nil"/>
              <w:right w:val="nil"/>
            </w:tcBorders>
            <w:shd w:val="clear" w:color="auto" w:fill="FFFFFF"/>
            <w:vAlign w:val="bottom"/>
          </w:tcPr>
          <w:p w14:paraId="1F2A0D25" w14:textId="77777777" w:rsidR="002E375F" w:rsidRPr="00862FE1" w:rsidRDefault="00EB2569" w:rsidP="00862FE1">
            <w:pPr>
              <w:pStyle w:val="Heading3"/>
              <w:jc w:val="center"/>
              <w:rPr>
                <w:rFonts w:ascii="Arial" w:hAnsi="Arial" w:cs="Arial"/>
                <w:b/>
                <w:sz w:val="18"/>
                <w:szCs w:val="18"/>
              </w:rPr>
            </w:pPr>
            <w:r w:rsidRPr="00862FE1">
              <w:rPr>
                <w:rFonts w:ascii="Arial" w:hAnsi="Arial" w:cs="Arial"/>
                <w:b/>
                <w:sz w:val="18"/>
                <w:szCs w:val="18"/>
              </w:rPr>
              <w:t>Other Employee Benefits</w:t>
            </w:r>
          </w:p>
        </w:tc>
        <w:tc>
          <w:tcPr>
            <w:tcW w:w="1021" w:type="dxa"/>
            <w:tcBorders>
              <w:top w:val="nil"/>
              <w:left w:val="nil"/>
              <w:bottom w:val="nil"/>
              <w:right w:val="nil"/>
            </w:tcBorders>
            <w:shd w:val="clear" w:color="auto" w:fill="FFFFFF"/>
            <w:vAlign w:val="bottom"/>
          </w:tcPr>
          <w:p w14:paraId="2B4702DC" w14:textId="77777777" w:rsidR="002E375F" w:rsidRPr="00862FE1" w:rsidRDefault="002E375F" w:rsidP="00862FE1">
            <w:pPr>
              <w:pStyle w:val="Heading3"/>
              <w:jc w:val="center"/>
              <w:rPr>
                <w:rFonts w:ascii="Arial" w:hAnsi="Arial" w:cs="Arial"/>
                <w:b/>
                <w:sz w:val="18"/>
                <w:szCs w:val="18"/>
              </w:rPr>
            </w:pPr>
          </w:p>
        </w:tc>
      </w:tr>
      <w:tr w:rsidR="002E375F" w:rsidRPr="0000218C" w14:paraId="541F0021" w14:textId="77777777" w:rsidTr="00B42ADD">
        <w:tc>
          <w:tcPr>
            <w:tcW w:w="7854" w:type="dxa"/>
            <w:tcBorders>
              <w:top w:val="nil"/>
              <w:left w:val="nil"/>
              <w:bottom w:val="nil"/>
              <w:right w:val="nil"/>
            </w:tcBorders>
            <w:shd w:val="clear" w:color="auto" w:fill="FFFFFF"/>
            <w:vAlign w:val="bottom"/>
          </w:tcPr>
          <w:p w14:paraId="2913176D" w14:textId="77777777" w:rsidR="002E375F" w:rsidRPr="00862FE1" w:rsidRDefault="00EB2569" w:rsidP="00943EF1">
            <w:pPr>
              <w:pStyle w:val="Heading3"/>
              <w:rPr>
                <w:rFonts w:ascii="Arial" w:hAnsi="Arial" w:cs="Arial"/>
                <w:b/>
                <w:sz w:val="18"/>
                <w:szCs w:val="18"/>
              </w:rPr>
            </w:pPr>
            <w:r w:rsidRPr="00862FE1">
              <w:rPr>
                <w:rFonts w:ascii="Arial" w:hAnsi="Arial" w:cs="Arial"/>
                <w:b/>
                <w:sz w:val="18"/>
                <w:szCs w:val="18"/>
              </w:rPr>
              <w:t>Position Title</w:t>
            </w:r>
          </w:p>
        </w:tc>
        <w:tc>
          <w:tcPr>
            <w:tcW w:w="1021" w:type="dxa"/>
            <w:tcBorders>
              <w:top w:val="nil"/>
              <w:left w:val="nil"/>
              <w:bottom w:val="nil"/>
              <w:right w:val="nil"/>
            </w:tcBorders>
            <w:shd w:val="clear" w:color="auto" w:fill="FFFFFF"/>
            <w:vAlign w:val="bottom"/>
          </w:tcPr>
          <w:p w14:paraId="5C7668CB"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Monetary Expenses</w:t>
            </w:r>
          </w:p>
        </w:tc>
        <w:tc>
          <w:tcPr>
            <w:tcW w:w="1021" w:type="dxa"/>
            <w:tcBorders>
              <w:top w:val="nil"/>
              <w:left w:val="nil"/>
              <w:bottom w:val="nil"/>
              <w:right w:val="nil"/>
            </w:tcBorders>
            <w:shd w:val="clear" w:color="auto" w:fill="FFFFFF"/>
            <w:vAlign w:val="bottom"/>
          </w:tcPr>
          <w:p w14:paraId="459F166D"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Non-</w:t>
            </w:r>
            <w:r w:rsidRPr="00862FE1">
              <w:rPr>
                <w:rFonts w:ascii="Arial" w:hAnsi="Arial" w:cs="Arial"/>
                <w:b/>
                <w:sz w:val="18"/>
                <w:szCs w:val="18"/>
              </w:rPr>
              <w:br/>
              <w:t>Monetary</w:t>
            </w:r>
            <w:r w:rsidRPr="00862FE1">
              <w:rPr>
                <w:rFonts w:ascii="Arial" w:hAnsi="Arial" w:cs="Arial"/>
                <w:b/>
                <w:sz w:val="18"/>
                <w:szCs w:val="18"/>
              </w:rPr>
              <w:br/>
              <w:t>Benefits</w:t>
            </w:r>
          </w:p>
        </w:tc>
        <w:tc>
          <w:tcPr>
            <w:tcW w:w="1021" w:type="dxa"/>
            <w:tcBorders>
              <w:top w:val="nil"/>
              <w:left w:val="nil"/>
              <w:bottom w:val="nil"/>
              <w:right w:val="nil"/>
            </w:tcBorders>
            <w:shd w:val="clear" w:color="auto" w:fill="FFFFFF"/>
            <w:vAlign w:val="bottom"/>
          </w:tcPr>
          <w:p w14:paraId="032C35E8"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Long Term Employee Expenses</w:t>
            </w:r>
          </w:p>
        </w:tc>
        <w:tc>
          <w:tcPr>
            <w:tcW w:w="1021" w:type="dxa"/>
            <w:tcBorders>
              <w:top w:val="nil"/>
              <w:left w:val="nil"/>
              <w:bottom w:val="nil"/>
              <w:right w:val="nil"/>
            </w:tcBorders>
            <w:shd w:val="clear" w:color="auto" w:fill="FFFFFF"/>
            <w:vAlign w:val="bottom"/>
          </w:tcPr>
          <w:p w14:paraId="521CC4BF"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 xml:space="preserve">Post </w:t>
            </w:r>
            <w:r w:rsidR="0000218C">
              <w:rPr>
                <w:rFonts w:ascii="Arial" w:hAnsi="Arial" w:cs="Arial"/>
                <w:b/>
                <w:sz w:val="18"/>
                <w:szCs w:val="18"/>
              </w:rPr>
              <w:t>–</w:t>
            </w:r>
            <w:r w:rsidRPr="00862FE1">
              <w:rPr>
                <w:rFonts w:ascii="Arial" w:hAnsi="Arial" w:cs="Arial"/>
                <w:b/>
                <w:sz w:val="18"/>
                <w:szCs w:val="18"/>
              </w:rPr>
              <w:t xml:space="preserve"> Employ</w:t>
            </w:r>
            <w:r w:rsidR="0000218C">
              <w:rPr>
                <w:rFonts w:ascii="Arial" w:hAnsi="Arial" w:cs="Arial"/>
                <w:b/>
                <w:sz w:val="18"/>
                <w:szCs w:val="18"/>
              </w:rPr>
              <w:t>-</w:t>
            </w:r>
            <w:proofErr w:type="spellStart"/>
            <w:r w:rsidRPr="00862FE1">
              <w:rPr>
                <w:rFonts w:ascii="Arial" w:hAnsi="Arial" w:cs="Arial"/>
                <w:b/>
                <w:sz w:val="18"/>
                <w:szCs w:val="18"/>
              </w:rPr>
              <w:t>ment</w:t>
            </w:r>
            <w:proofErr w:type="spellEnd"/>
            <w:r w:rsidRPr="00862FE1">
              <w:rPr>
                <w:rFonts w:ascii="Arial" w:hAnsi="Arial" w:cs="Arial"/>
                <w:b/>
                <w:sz w:val="18"/>
                <w:szCs w:val="18"/>
              </w:rPr>
              <w:t xml:space="preserve"> Expenses</w:t>
            </w:r>
          </w:p>
        </w:tc>
        <w:tc>
          <w:tcPr>
            <w:tcW w:w="1021" w:type="dxa"/>
            <w:tcBorders>
              <w:top w:val="nil"/>
              <w:left w:val="nil"/>
              <w:bottom w:val="nil"/>
              <w:right w:val="nil"/>
            </w:tcBorders>
            <w:shd w:val="clear" w:color="auto" w:fill="FFFFFF"/>
            <w:vAlign w:val="bottom"/>
          </w:tcPr>
          <w:p w14:paraId="34B4A776"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Termina</w:t>
            </w:r>
            <w:r w:rsidR="0000218C">
              <w:rPr>
                <w:rFonts w:ascii="Arial" w:hAnsi="Arial" w:cs="Arial"/>
                <w:b/>
                <w:sz w:val="18"/>
                <w:szCs w:val="18"/>
              </w:rPr>
              <w:t>-</w:t>
            </w:r>
            <w:proofErr w:type="spellStart"/>
            <w:r w:rsidRPr="00862FE1">
              <w:rPr>
                <w:rFonts w:ascii="Arial" w:hAnsi="Arial" w:cs="Arial"/>
                <w:b/>
                <w:sz w:val="18"/>
                <w:szCs w:val="18"/>
              </w:rPr>
              <w:t>tion</w:t>
            </w:r>
            <w:proofErr w:type="spellEnd"/>
            <w:r w:rsidRPr="00862FE1">
              <w:rPr>
                <w:rFonts w:ascii="Arial" w:hAnsi="Arial" w:cs="Arial"/>
                <w:b/>
                <w:sz w:val="18"/>
                <w:szCs w:val="18"/>
              </w:rPr>
              <w:br/>
              <w:t>benefits</w:t>
            </w:r>
          </w:p>
        </w:tc>
        <w:tc>
          <w:tcPr>
            <w:tcW w:w="1021" w:type="dxa"/>
            <w:tcBorders>
              <w:top w:val="nil"/>
              <w:left w:val="nil"/>
              <w:bottom w:val="nil"/>
              <w:right w:val="nil"/>
            </w:tcBorders>
            <w:shd w:val="clear" w:color="auto" w:fill="FFFFFF"/>
            <w:vAlign w:val="bottom"/>
          </w:tcPr>
          <w:p w14:paraId="11891CB5"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Total Expenses</w:t>
            </w:r>
          </w:p>
        </w:tc>
      </w:tr>
      <w:tr w:rsidR="002E375F" w:rsidRPr="0000218C" w14:paraId="050D2663" w14:textId="77777777" w:rsidTr="00B42ADD">
        <w:tc>
          <w:tcPr>
            <w:tcW w:w="7854" w:type="dxa"/>
            <w:tcBorders>
              <w:top w:val="nil"/>
              <w:left w:val="nil"/>
              <w:bottom w:val="nil"/>
              <w:right w:val="nil"/>
            </w:tcBorders>
            <w:shd w:val="clear" w:color="auto" w:fill="FFFFFF"/>
            <w:vAlign w:val="bottom"/>
          </w:tcPr>
          <w:p w14:paraId="4454CA8E" w14:textId="77777777" w:rsidR="002E375F" w:rsidRPr="00862FE1" w:rsidRDefault="002E375F" w:rsidP="00943EF1">
            <w:pPr>
              <w:pStyle w:val="Heading3"/>
              <w:rPr>
                <w:rFonts w:ascii="Arial" w:hAnsi="Arial" w:cs="Arial"/>
                <w:b/>
                <w:sz w:val="18"/>
                <w:szCs w:val="18"/>
              </w:rPr>
            </w:pPr>
          </w:p>
        </w:tc>
        <w:tc>
          <w:tcPr>
            <w:tcW w:w="1021" w:type="dxa"/>
            <w:tcBorders>
              <w:top w:val="nil"/>
              <w:left w:val="nil"/>
              <w:bottom w:val="nil"/>
              <w:right w:val="nil"/>
            </w:tcBorders>
            <w:shd w:val="clear" w:color="auto" w:fill="FFFFFF"/>
            <w:vAlign w:val="bottom"/>
          </w:tcPr>
          <w:p w14:paraId="03EB77E4"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$'000</w:t>
            </w:r>
          </w:p>
        </w:tc>
        <w:tc>
          <w:tcPr>
            <w:tcW w:w="1021" w:type="dxa"/>
            <w:tcBorders>
              <w:top w:val="nil"/>
              <w:left w:val="nil"/>
              <w:bottom w:val="nil"/>
              <w:right w:val="nil"/>
            </w:tcBorders>
            <w:shd w:val="clear" w:color="auto" w:fill="FFFFFF"/>
            <w:vAlign w:val="bottom"/>
          </w:tcPr>
          <w:p w14:paraId="7B63122F"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$'000</w:t>
            </w:r>
          </w:p>
        </w:tc>
        <w:tc>
          <w:tcPr>
            <w:tcW w:w="1021" w:type="dxa"/>
            <w:tcBorders>
              <w:top w:val="nil"/>
              <w:left w:val="nil"/>
              <w:bottom w:val="nil"/>
              <w:right w:val="nil"/>
            </w:tcBorders>
            <w:shd w:val="clear" w:color="auto" w:fill="FFFFFF"/>
            <w:vAlign w:val="bottom"/>
          </w:tcPr>
          <w:p w14:paraId="22BD834C"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$'000</w:t>
            </w:r>
          </w:p>
        </w:tc>
        <w:tc>
          <w:tcPr>
            <w:tcW w:w="1021" w:type="dxa"/>
            <w:tcBorders>
              <w:top w:val="nil"/>
              <w:left w:val="nil"/>
              <w:bottom w:val="nil"/>
              <w:right w:val="nil"/>
            </w:tcBorders>
            <w:shd w:val="clear" w:color="auto" w:fill="FFFFFF"/>
            <w:vAlign w:val="bottom"/>
          </w:tcPr>
          <w:p w14:paraId="5B62B594"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$'000</w:t>
            </w:r>
          </w:p>
        </w:tc>
        <w:tc>
          <w:tcPr>
            <w:tcW w:w="1021" w:type="dxa"/>
            <w:tcBorders>
              <w:top w:val="nil"/>
              <w:left w:val="nil"/>
              <w:bottom w:val="nil"/>
              <w:right w:val="nil"/>
            </w:tcBorders>
            <w:shd w:val="clear" w:color="auto" w:fill="FFFFFF"/>
            <w:vAlign w:val="bottom"/>
          </w:tcPr>
          <w:p w14:paraId="74DCC6BB"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$'000</w:t>
            </w:r>
          </w:p>
        </w:tc>
        <w:tc>
          <w:tcPr>
            <w:tcW w:w="1021" w:type="dxa"/>
            <w:tcBorders>
              <w:top w:val="nil"/>
              <w:left w:val="nil"/>
              <w:bottom w:val="nil"/>
              <w:right w:val="nil"/>
            </w:tcBorders>
            <w:shd w:val="clear" w:color="auto" w:fill="FFFFFF"/>
            <w:vAlign w:val="bottom"/>
          </w:tcPr>
          <w:p w14:paraId="54C0D736" w14:textId="77777777" w:rsidR="002E375F" w:rsidRPr="00862FE1" w:rsidRDefault="00EB2569" w:rsidP="00862FE1">
            <w:pPr>
              <w:pStyle w:val="Heading3"/>
              <w:jc w:val="right"/>
              <w:rPr>
                <w:rFonts w:ascii="Arial" w:hAnsi="Arial" w:cs="Arial"/>
                <w:b/>
                <w:sz w:val="18"/>
                <w:szCs w:val="18"/>
              </w:rPr>
            </w:pPr>
            <w:r w:rsidRPr="00862FE1">
              <w:rPr>
                <w:rFonts w:ascii="Arial" w:hAnsi="Arial" w:cs="Arial"/>
                <w:b/>
                <w:sz w:val="18"/>
                <w:szCs w:val="18"/>
              </w:rPr>
              <w:t>$'000</w:t>
            </w:r>
          </w:p>
        </w:tc>
      </w:tr>
      <w:tr w:rsidR="002E375F" w:rsidRPr="0000218C" w14:paraId="0AFDE80F" w14:textId="77777777" w:rsidTr="00B42ADD">
        <w:tc>
          <w:tcPr>
            <w:tcW w:w="7854" w:type="dxa"/>
            <w:tcBorders>
              <w:top w:val="nil"/>
              <w:left w:val="nil"/>
              <w:bottom w:val="nil"/>
              <w:right w:val="nil"/>
            </w:tcBorders>
            <w:shd w:val="clear" w:color="auto" w:fill="FFFFFF"/>
            <w:vAlign w:val="bottom"/>
          </w:tcPr>
          <w:p w14:paraId="6486496D"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Director-General</w:t>
            </w:r>
          </w:p>
        </w:tc>
        <w:tc>
          <w:tcPr>
            <w:tcW w:w="1021" w:type="dxa"/>
            <w:tcBorders>
              <w:top w:val="nil"/>
              <w:left w:val="nil"/>
              <w:bottom w:val="nil"/>
              <w:right w:val="nil"/>
            </w:tcBorders>
            <w:shd w:val="clear" w:color="auto" w:fill="FFFFFF"/>
            <w:vAlign w:val="bottom"/>
          </w:tcPr>
          <w:p w14:paraId="0EBBD3E9"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322</w:t>
            </w:r>
          </w:p>
        </w:tc>
        <w:tc>
          <w:tcPr>
            <w:tcW w:w="1021" w:type="dxa"/>
            <w:tcBorders>
              <w:top w:val="nil"/>
              <w:left w:val="nil"/>
              <w:bottom w:val="nil"/>
              <w:right w:val="nil"/>
            </w:tcBorders>
            <w:shd w:val="clear" w:color="auto" w:fill="FFFFFF"/>
            <w:vAlign w:val="bottom"/>
          </w:tcPr>
          <w:p w14:paraId="56BD480B"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7</w:t>
            </w:r>
          </w:p>
        </w:tc>
        <w:tc>
          <w:tcPr>
            <w:tcW w:w="1021" w:type="dxa"/>
            <w:tcBorders>
              <w:top w:val="nil"/>
              <w:left w:val="nil"/>
              <w:bottom w:val="nil"/>
              <w:right w:val="nil"/>
            </w:tcBorders>
            <w:shd w:val="clear" w:color="auto" w:fill="FFFFFF"/>
            <w:vAlign w:val="bottom"/>
          </w:tcPr>
          <w:p w14:paraId="3681A2E4"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7</w:t>
            </w:r>
          </w:p>
        </w:tc>
        <w:tc>
          <w:tcPr>
            <w:tcW w:w="1021" w:type="dxa"/>
            <w:tcBorders>
              <w:top w:val="nil"/>
              <w:left w:val="nil"/>
              <w:bottom w:val="nil"/>
              <w:right w:val="nil"/>
            </w:tcBorders>
            <w:shd w:val="clear" w:color="auto" w:fill="FFFFFF"/>
            <w:vAlign w:val="bottom"/>
          </w:tcPr>
          <w:p w14:paraId="2652D6F4"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42</w:t>
            </w:r>
          </w:p>
        </w:tc>
        <w:tc>
          <w:tcPr>
            <w:tcW w:w="1021" w:type="dxa"/>
            <w:tcBorders>
              <w:top w:val="nil"/>
              <w:left w:val="nil"/>
              <w:bottom w:val="nil"/>
              <w:right w:val="nil"/>
            </w:tcBorders>
            <w:shd w:val="clear" w:color="auto" w:fill="FFFFFF"/>
            <w:vAlign w:val="bottom"/>
          </w:tcPr>
          <w:p w14:paraId="530D051D"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358A0566"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378</w:t>
            </w:r>
          </w:p>
        </w:tc>
      </w:tr>
      <w:tr w:rsidR="002E375F" w:rsidRPr="0000218C" w14:paraId="19D18B64" w14:textId="77777777" w:rsidTr="00B42ADD">
        <w:tc>
          <w:tcPr>
            <w:tcW w:w="7854" w:type="dxa"/>
            <w:tcBorders>
              <w:top w:val="nil"/>
              <w:left w:val="nil"/>
              <w:bottom w:val="nil"/>
              <w:right w:val="nil"/>
            </w:tcBorders>
            <w:shd w:val="clear" w:color="auto" w:fill="FFFFFF"/>
            <w:vAlign w:val="bottom"/>
          </w:tcPr>
          <w:p w14:paraId="49BC3E4C"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Deputy Director-General (Disability Services)</w:t>
            </w:r>
          </w:p>
        </w:tc>
        <w:tc>
          <w:tcPr>
            <w:tcW w:w="1021" w:type="dxa"/>
            <w:tcBorders>
              <w:top w:val="nil"/>
              <w:left w:val="nil"/>
              <w:bottom w:val="nil"/>
              <w:right w:val="nil"/>
            </w:tcBorders>
            <w:shd w:val="clear" w:color="auto" w:fill="FFFFFF"/>
            <w:vAlign w:val="bottom"/>
          </w:tcPr>
          <w:p w14:paraId="55AEC1F3"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287</w:t>
            </w:r>
          </w:p>
        </w:tc>
        <w:tc>
          <w:tcPr>
            <w:tcW w:w="1021" w:type="dxa"/>
            <w:tcBorders>
              <w:top w:val="nil"/>
              <w:left w:val="nil"/>
              <w:bottom w:val="nil"/>
              <w:right w:val="nil"/>
            </w:tcBorders>
            <w:shd w:val="clear" w:color="auto" w:fill="FFFFFF"/>
            <w:vAlign w:val="bottom"/>
          </w:tcPr>
          <w:p w14:paraId="2C53670A"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7</w:t>
            </w:r>
          </w:p>
        </w:tc>
        <w:tc>
          <w:tcPr>
            <w:tcW w:w="1021" w:type="dxa"/>
            <w:tcBorders>
              <w:top w:val="nil"/>
              <w:left w:val="nil"/>
              <w:bottom w:val="nil"/>
              <w:right w:val="nil"/>
            </w:tcBorders>
            <w:shd w:val="clear" w:color="auto" w:fill="FFFFFF"/>
            <w:vAlign w:val="bottom"/>
          </w:tcPr>
          <w:p w14:paraId="16A4A35B"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6</w:t>
            </w:r>
          </w:p>
        </w:tc>
        <w:tc>
          <w:tcPr>
            <w:tcW w:w="1021" w:type="dxa"/>
            <w:tcBorders>
              <w:top w:val="nil"/>
              <w:left w:val="nil"/>
              <w:bottom w:val="nil"/>
              <w:right w:val="nil"/>
            </w:tcBorders>
            <w:shd w:val="clear" w:color="auto" w:fill="FFFFFF"/>
            <w:vAlign w:val="bottom"/>
          </w:tcPr>
          <w:p w14:paraId="451BA0CA"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32</w:t>
            </w:r>
          </w:p>
        </w:tc>
        <w:tc>
          <w:tcPr>
            <w:tcW w:w="1021" w:type="dxa"/>
            <w:tcBorders>
              <w:top w:val="nil"/>
              <w:left w:val="nil"/>
              <w:bottom w:val="nil"/>
              <w:right w:val="nil"/>
            </w:tcBorders>
            <w:shd w:val="clear" w:color="auto" w:fill="FFFFFF"/>
            <w:vAlign w:val="bottom"/>
          </w:tcPr>
          <w:p w14:paraId="4FF45134"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6ADC2057"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332</w:t>
            </w:r>
          </w:p>
        </w:tc>
      </w:tr>
      <w:tr w:rsidR="002E375F" w:rsidRPr="0000218C" w14:paraId="731960C3" w14:textId="77777777" w:rsidTr="00B42ADD">
        <w:tc>
          <w:tcPr>
            <w:tcW w:w="7854" w:type="dxa"/>
            <w:tcBorders>
              <w:top w:val="nil"/>
              <w:left w:val="nil"/>
              <w:bottom w:val="nil"/>
              <w:right w:val="nil"/>
            </w:tcBorders>
            <w:shd w:val="clear" w:color="auto" w:fill="FFFFFF"/>
            <w:vAlign w:val="bottom"/>
          </w:tcPr>
          <w:p w14:paraId="16DD3075"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Deputy Director-General (Corporate Services)</w:t>
            </w:r>
          </w:p>
        </w:tc>
        <w:tc>
          <w:tcPr>
            <w:tcW w:w="1021" w:type="dxa"/>
            <w:tcBorders>
              <w:top w:val="nil"/>
              <w:left w:val="nil"/>
              <w:bottom w:val="nil"/>
              <w:right w:val="nil"/>
            </w:tcBorders>
            <w:shd w:val="clear" w:color="auto" w:fill="FFFFFF"/>
            <w:vAlign w:val="bottom"/>
          </w:tcPr>
          <w:p w14:paraId="3E98A3AA"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253</w:t>
            </w:r>
          </w:p>
        </w:tc>
        <w:tc>
          <w:tcPr>
            <w:tcW w:w="1021" w:type="dxa"/>
            <w:tcBorders>
              <w:top w:val="nil"/>
              <w:left w:val="nil"/>
              <w:bottom w:val="nil"/>
              <w:right w:val="nil"/>
            </w:tcBorders>
            <w:shd w:val="clear" w:color="auto" w:fill="FFFFFF"/>
            <w:vAlign w:val="bottom"/>
          </w:tcPr>
          <w:p w14:paraId="00CB7C37"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7</w:t>
            </w:r>
          </w:p>
        </w:tc>
        <w:tc>
          <w:tcPr>
            <w:tcW w:w="1021" w:type="dxa"/>
            <w:tcBorders>
              <w:top w:val="nil"/>
              <w:left w:val="nil"/>
              <w:bottom w:val="nil"/>
              <w:right w:val="nil"/>
            </w:tcBorders>
            <w:shd w:val="clear" w:color="auto" w:fill="FFFFFF"/>
            <w:vAlign w:val="bottom"/>
          </w:tcPr>
          <w:p w14:paraId="1968FA16"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5</w:t>
            </w:r>
          </w:p>
        </w:tc>
        <w:tc>
          <w:tcPr>
            <w:tcW w:w="1021" w:type="dxa"/>
            <w:tcBorders>
              <w:top w:val="nil"/>
              <w:left w:val="nil"/>
              <w:bottom w:val="nil"/>
              <w:right w:val="nil"/>
            </w:tcBorders>
            <w:shd w:val="clear" w:color="auto" w:fill="FFFFFF"/>
            <w:vAlign w:val="bottom"/>
          </w:tcPr>
          <w:p w14:paraId="6B4EE8FF"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27</w:t>
            </w:r>
          </w:p>
        </w:tc>
        <w:tc>
          <w:tcPr>
            <w:tcW w:w="1021" w:type="dxa"/>
            <w:tcBorders>
              <w:top w:val="nil"/>
              <w:left w:val="nil"/>
              <w:bottom w:val="nil"/>
              <w:right w:val="nil"/>
            </w:tcBorders>
            <w:shd w:val="clear" w:color="auto" w:fill="FFFFFF"/>
            <w:vAlign w:val="bottom"/>
          </w:tcPr>
          <w:p w14:paraId="4D4D5D29"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2BFBB9F3"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292</w:t>
            </w:r>
          </w:p>
        </w:tc>
      </w:tr>
      <w:tr w:rsidR="002E375F" w:rsidRPr="0000218C" w14:paraId="19D44427" w14:textId="77777777" w:rsidTr="00B42ADD">
        <w:tc>
          <w:tcPr>
            <w:tcW w:w="7854" w:type="dxa"/>
            <w:tcBorders>
              <w:top w:val="nil"/>
              <w:left w:val="nil"/>
              <w:bottom w:val="nil"/>
              <w:right w:val="nil"/>
            </w:tcBorders>
            <w:shd w:val="clear" w:color="auto" w:fill="FFFFFF"/>
            <w:vAlign w:val="bottom"/>
          </w:tcPr>
          <w:p w14:paraId="2FA20F9A"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Assistant Director-General (Strategic Policy and Legislation)</w:t>
            </w:r>
          </w:p>
        </w:tc>
        <w:tc>
          <w:tcPr>
            <w:tcW w:w="1021" w:type="dxa"/>
            <w:tcBorders>
              <w:top w:val="nil"/>
              <w:left w:val="nil"/>
              <w:bottom w:val="nil"/>
              <w:right w:val="nil"/>
            </w:tcBorders>
            <w:shd w:val="clear" w:color="auto" w:fill="FFFFFF"/>
            <w:vAlign w:val="bottom"/>
          </w:tcPr>
          <w:p w14:paraId="773D5D09"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237</w:t>
            </w:r>
          </w:p>
        </w:tc>
        <w:tc>
          <w:tcPr>
            <w:tcW w:w="1021" w:type="dxa"/>
            <w:tcBorders>
              <w:top w:val="nil"/>
              <w:left w:val="nil"/>
              <w:bottom w:val="nil"/>
              <w:right w:val="nil"/>
            </w:tcBorders>
            <w:shd w:val="clear" w:color="auto" w:fill="FFFFFF"/>
            <w:vAlign w:val="bottom"/>
          </w:tcPr>
          <w:p w14:paraId="08271729"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7</w:t>
            </w:r>
          </w:p>
        </w:tc>
        <w:tc>
          <w:tcPr>
            <w:tcW w:w="1021" w:type="dxa"/>
            <w:tcBorders>
              <w:top w:val="nil"/>
              <w:left w:val="nil"/>
              <w:bottom w:val="nil"/>
              <w:right w:val="nil"/>
            </w:tcBorders>
            <w:shd w:val="clear" w:color="auto" w:fill="FFFFFF"/>
            <w:vAlign w:val="bottom"/>
          </w:tcPr>
          <w:p w14:paraId="5EB04128"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5</w:t>
            </w:r>
          </w:p>
        </w:tc>
        <w:tc>
          <w:tcPr>
            <w:tcW w:w="1021" w:type="dxa"/>
            <w:tcBorders>
              <w:top w:val="nil"/>
              <w:left w:val="nil"/>
              <w:bottom w:val="nil"/>
              <w:right w:val="nil"/>
            </w:tcBorders>
            <w:shd w:val="clear" w:color="auto" w:fill="FFFFFF"/>
            <w:vAlign w:val="bottom"/>
          </w:tcPr>
          <w:p w14:paraId="2AC07D64"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26</w:t>
            </w:r>
          </w:p>
        </w:tc>
        <w:tc>
          <w:tcPr>
            <w:tcW w:w="1021" w:type="dxa"/>
            <w:tcBorders>
              <w:top w:val="nil"/>
              <w:left w:val="nil"/>
              <w:bottom w:val="nil"/>
              <w:right w:val="nil"/>
            </w:tcBorders>
            <w:shd w:val="clear" w:color="auto" w:fill="FFFFFF"/>
            <w:vAlign w:val="bottom"/>
          </w:tcPr>
          <w:p w14:paraId="35972159"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01E719C5"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275</w:t>
            </w:r>
          </w:p>
        </w:tc>
      </w:tr>
      <w:tr w:rsidR="002E375F" w:rsidRPr="0000218C" w14:paraId="55D8EAD1" w14:textId="77777777" w:rsidTr="00B42ADD">
        <w:tc>
          <w:tcPr>
            <w:tcW w:w="7854" w:type="dxa"/>
            <w:tcBorders>
              <w:top w:val="nil"/>
              <w:left w:val="nil"/>
              <w:bottom w:val="nil"/>
              <w:right w:val="nil"/>
            </w:tcBorders>
            <w:shd w:val="clear" w:color="auto" w:fill="FFFFFF"/>
            <w:vAlign w:val="bottom"/>
          </w:tcPr>
          <w:p w14:paraId="7F475EBD"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Assistant Director-General (Community Services State Wide)</w:t>
            </w:r>
          </w:p>
        </w:tc>
        <w:tc>
          <w:tcPr>
            <w:tcW w:w="1021" w:type="dxa"/>
            <w:tcBorders>
              <w:top w:val="nil"/>
              <w:left w:val="nil"/>
              <w:bottom w:val="nil"/>
              <w:right w:val="nil"/>
            </w:tcBorders>
            <w:shd w:val="clear" w:color="auto" w:fill="FFFFFF"/>
            <w:vAlign w:val="bottom"/>
          </w:tcPr>
          <w:p w14:paraId="700A6FF2"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245</w:t>
            </w:r>
          </w:p>
        </w:tc>
        <w:tc>
          <w:tcPr>
            <w:tcW w:w="1021" w:type="dxa"/>
            <w:tcBorders>
              <w:top w:val="nil"/>
              <w:left w:val="nil"/>
              <w:bottom w:val="nil"/>
              <w:right w:val="nil"/>
            </w:tcBorders>
            <w:shd w:val="clear" w:color="auto" w:fill="FFFFFF"/>
            <w:vAlign w:val="bottom"/>
          </w:tcPr>
          <w:p w14:paraId="5B757758"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7</w:t>
            </w:r>
          </w:p>
        </w:tc>
        <w:tc>
          <w:tcPr>
            <w:tcW w:w="1021" w:type="dxa"/>
            <w:tcBorders>
              <w:top w:val="nil"/>
              <w:left w:val="nil"/>
              <w:bottom w:val="nil"/>
              <w:right w:val="nil"/>
            </w:tcBorders>
            <w:shd w:val="clear" w:color="auto" w:fill="FFFFFF"/>
            <w:vAlign w:val="bottom"/>
          </w:tcPr>
          <w:p w14:paraId="4470627B"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5</w:t>
            </w:r>
          </w:p>
        </w:tc>
        <w:tc>
          <w:tcPr>
            <w:tcW w:w="1021" w:type="dxa"/>
            <w:tcBorders>
              <w:top w:val="nil"/>
              <w:left w:val="nil"/>
              <w:bottom w:val="nil"/>
              <w:right w:val="nil"/>
            </w:tcBorders>
            <w:shd w:val="clear" w:color="auto" w:fill="FFFFFF"/>
            <w:vAlign w:val="bottom"/>
          </w:tcPr>
          <w:p w14:paraId="267ED7A9"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26</w:t>
            </w:r>
          </w:p>
        </w:tc>
        <w:tc>
          <w:tcPr>
            <w:tcW w:w="1021" w:type="dxa"/>
            <w:tcBorders>
              <w:top w:val="nil"/>
              <w:left w:val="nil"/>
              <w:bottom w:val="nil"/>
              <w:right w:val="nil"/>
            </w:tcBorders>
            <w:shd w:val="clear" w:color="auto" w:fill="FFFFFF"/>
            <w:vAlign w:val="bottom"/>
          </w:tcPr>
          <w:p w14:paraId="6B24331A"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66C95BF0"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283</w:t>
            </w:r>
          </w:p>
        </w:tc>
      </w:tr>
      <w:tr w:rsidR="002E375F" w:rsidRPr="0000218C" w14:paraId="208C16B3" w14:textId="77777777" w:rsidTr="00B42ADD">
        <w:tc>
          <w:tcPr>
            <w:tcW w:w="7854" w:type="dxa"/>
            <w:tcBorders>
              <w:top w:val="nil"/>
              <w:left w:val="nil"/>
              <w:bottom w:val="nil"/>
              <w:right w:val="nil"/>
            </w:tcBorders>
            <w:shd w:val="clear" w:color="auto" w:fill="FFFFFF"/>
            <w:vAlign w:val="bottom"/>
          </w:tcPr>
          <w:p w14:paraId="7DB52B97"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Assistant Director-General (NDIS Program Management Office) - from 6 August 2018</w:t>
            </w:r>
          </w:p>
        </w:tc>
        <w:tc>
          <w:tcPr>
            <w:tcW w:w="1021" w:type="dxa"/>
            <w:tcBorders>
              <w:top w:val="nil"/>
              <w:left w:val="nil"/>
              <w:bottom w:val="nil"/>
              <w:right w:val="nil"/>
            </w:tcBorders>
            <w:shd w:val="clear" w:color="auto" w:fill="FFFFFF"/>
            <w:vAlign w:val="bottom"/>
          </w:tcPr>
          <w:p w14:paraId="2A562DA1"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221</w:t>
            </w:r>
          </w:p>
        </w:tc>
        <w:tc>
          <w:tcPr>
            <w:tcW w:w="1021" w:type="dxa"/>
            <w:tcBorders>
              <w:top w:val="nil"/>
              <w:left w:val="nil"/>
              <w:bottom w:val="nil"/>
              <w:right w:val="nil"/>
            </w:tcBorders>
            <w:shd w:val="clear" w:color="auto" w:fill="FFFFFF"/>
            <w:vAlign w:val="bottom"/>
          </w:tcPr>
          <w:p w14:paraId="47213103"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7</w:t>
            </w:r>
          </w:p>
        </w:tc>
        <w:tc>
          <w:tcPr>
            <w:tcW w:w="1021" w:type="dxa"/>
            <w:tcBorders>
              <w:top w:val="nil"/>
              <w:left w:val="nil"/>
              <w:bottom w:val="nil"/>
              <w:right w:val="nil"/>
            </w:tcBorders>
            <w:shd w:val="clear" w:color="auto" w:fill="FFFFFF"/>
            <w:vAlign w:val="bottom"/>
          </w:tcPr>
          <w:p w14:paraId="5F620A6B"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4</w:t>
            </w:r>
          </w:p>
        </w:tc>
        <w:tc>
          <w:tcPr>
            <w:tcW w:w="1021" w:type="dxa"/>
            <w:tcBorders>
              <w:top w:val="nil"/>
              <w:left w:val="nil"/>
              <w:bottom w:val="nil"/>
              <w:right w:val="nil"/>
            </w:tcBorders>
            <w:shd w:val="clear" w:color="auto" w:fill="FFFFFF"/>
            <w:vAlign w:val="bottom"/>
          </w:tcPr>
          <w:p w14:paraId="4F368BE7"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23</w:t>
            </w:r>
          </w:p>
        </w:tc>
        <w:tc>
          <w:tcPr>
            <w:tcW w:w="1021" w:type="dxa"/>
            <w:tcBorders>
              <w:top w:val="nil"/>
              <w:left w:val="nil"/>
              <w:bottom w:val="nil"/>
              <w:right w:val="nil"/>
            </w:tcBorders>
            <w:shd w:val="clear" w:color="auto" w:fill="FFFFFF"/>
            <w:vAlign w:val="bottom"/>
          </w:tcPr>
          <w:p w14:paraId="7AA1FF5F"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33CED347"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255</w:t>
            </w:r>
          </w:p>
        </w:tc>
      </w:tr>
      <w:tr w:rsidR="002E375F" w:rsidRPr="0000218C" w14:paraId="4BE987E9" w14:textId="77777777" w:rsidTr="00B42ADD">
        <w:tc>
          <w:tcPr>
            <w:tcW w:w="7854" w:type="dxa"/>
            <w:tcBorders>
              <w:top w:val="nil"/>
              <w:left w:val="nil"/>
              <w:bottom w:val="nil"/>
              <w:right w:val="nil"/>
            </w:tcBorders>
            <w:shd w:val="clear" w:color="auto" w:fill="FFFFFF"/>
            <w:vAlign w:val="bottom"/>
          </w:tcPr>
          <w:p w14:paraId="394F8494"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 xml:space="preserve">Senior Executive Director (Accommodation Support and Respite Services and Forensic Disability Services) </w:t>
            </w:r>
          </w:p>
        </w:tc>
        <w:tc>
          <w:tcPr>
            <w:tcW w:w="1021" w:type="dxa"/>
            <w:tcBorders>
              <w:top w:val="nil"/>
              <w:left w:val="nil"/>
              <w:bottom w:val="nil"/>
              <w:right w:val="nil"/>
            </w:tcBorders>
            <w:shd w:val="clear" w:color="auto" w:fill="FFFFFF"/>
            <w:vAlign w:val="bottom"/>
          </w:tcPr>
          <w:p w14:paraId="3A9DFA68"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232</w:t>
            </w:r>
          </w:p>
        </w:tc>
        <w:tc>
          <w:tcPr>
            <w:tcW w:w="1021" w:type="dxa"/>
            <w:tcBorders>
              <w:top w:val="nil"/>
              <w:left w:val="nil"/>
              <w:bottom w:val="nil"/>
              <w:right w:val="nil"/>
            </w:tcBorders>
            <w:shd w:val="clear" w:color="auto" w:fill="FFFFFF"/>
            <w:vAlign w:val="bottom"/>
          </w:tcPr>
          <w:p w14:paraId="599C3D0C"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7</w:t>
            </w:r>
          </w:p>
        </w:tc>
        <w:tc>
          <w:tcPr>
            <w:tcW w:w="1021" w:type="dxa"/>
            <w:tcBorders>
              <w:top w:val="nil"/>
              <w:left w:val="nil"/>
              <w:bottom w:val="nil"/>
              <w:right w:val="nil"/>
            </w:tcBorders>
            <w:shd w:val="clear" w:color="auto" w:fill="FFFFFF"/>
            <w:vAlign w:val="bottom"/>
          </w:tcPr>
          <w:p w14:paraId="59DEEA52"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5</w:t>
            </w:r>
          </w:p>
        </w:tc>
        <w:tc>
          <w:tcPr>
            <w:tcW w:w="1021" w:type="dxa"/>
            <w:tcBorders>
              <w:top w:val="nil"/>
              <w:left w:val="nil"/>
              <w:bottom w:val="nil"/>
              <w:right w:val="nil"/>
            </w:tcBorders>
            <w:shd w:val="clear" w:color="auto" w:fill="FFFFFF"/>
            <w:vAlign w:val="bottom"/>
          </w:tcPr>
          <w:p w14:paraId="57D03A62"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26</w:t>
            </w:r>
          </w:p>
        </w:tc>
        <w:tc>
          <w:tcPr>
            <w:tcW w:w="1021" w:type="dxa"/>
            <w:tcBorders>
              <w:top w:val="nil"/>
              <w:left w:val="nil"/>
              <w:bottom w:val="nil"/>
              <w:right w:val="nil"/>
            </w:tcBorders>
            <w:shd w:val="clear" w:color="auto" w:fill="FFFFFF"/>
            <w:vAlign w:val="bottom"/>
          </w:tcPr>
          <w:p w14:paraId="6A5C9F56"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7E5988FF"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270</w:t>
            </w:r>
          </w:p>
        </w:tc>
      </w:tr>
      <w:tr w:rsidR="002E375F" w:rsidRPr="0000218C" w14:paraId="37C1106D" w14:textId="77777777" w:rsidTr="00B42ADD">
        <w:tc>
          <w:tcPr>
            <w:tcW w:w="7854" w:type="dxa"/>
            <w:tcBorders>
              <w:top w:val="nil"/>
              <w:left w:val="nil"/>
              <w:bottom w:val="nil"/>
              <w:right w:val="nil"/>
            </w:tcBorders>
            <w:shd w:val="clear" w:color="auto" w:fill="FFFFFF"/>
            <w:vAlign w:val="bottom"/>
          </w:tcPr>
          <w:p w14:paraId="590FD76D"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Executive Director, Community Services and Seniors - from 3 May 2019</w:t>
            </w:r>
          </w:p>
        </w:tc>
        <w:tc>
          <w:tcPr>
            <w:tcW w:w="1021" w:type="dxa"/>
            <w:tcBorders>
              <w:top w:val="nil"/>
              <w:left w:val="nil"/>
              <w:bottom w:val="nil"/>
              <w:right w:val="nil"/>
            </w:tcBorders>
            <w:shd w:val="clear" w:color="auto" w:fill="FFFFFF"/>
            <w:vAlign w:val="bottom"/>
          </w:tcPr>
          <w:p w14:paraId="4FC84C02"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33</w:t>
            </w:r>
          </w:p>
        </w:tc>
        <w:tc>
          <w:tcPr>
            <w:tcW w:w="1021" w:type="dxa"/>
            <w:tcBorders>
              <w:top w:val="nil"/>
              <w:left w:val="nil"/>
              <w:bottom w:val="nil"/>
              <w:right w:val="nil"/>
            </w:tcBorders>
            <w:shd w:val="clear" w:color="auto" w:fill="FFFFFF"/>
            <w:vAlign w:val="bottom"/>
          </w:tcPr>
          <w:p w14:paraId="5218D9A5"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w:t>
            </w:r>
          </w:p>
        </w:tc>
        <w:tc>
          <w:tcPr>
            <w:tcW w:w="1021" w:type="dxa"/>
            <w:tcBorders>
              <w:top w:val="nil"/>
              <w:left w:val="nil"/>
              <w:bottom w:val="nil"/>
              <w:right w:val="nil"/>
            </w:tcBorders>
            <w:shd w:val="clear" w:color="auto" w:fill="FFFFFF"/>
            <w:vAlign w:val="bottom"/>
          </w:tcPr>
          <w:p w14:paraId="1E625E85"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3</w:t>
            </w:r>
          </w:p>
        </w:tc>
        <w:tc>
          <w:tcPr>
            <w:tcW w:w="1021" w:type="dxa"/>
            <w:tcBorders>
              <w:top w:val="nil"/>
              <w:left w:val="nil"/>
              <w:bottom w:val="nil"/>
              <w:right w:val="nil"/>
            </w:tcBorders>
            <w:shd w:val="clear" w:color="auto" w:fill="FFFFFF"/>
            <w:vAlign w:val="bottom"/>
          </w:tcPr>
          <w:p w14:paraId="3ED0C40C"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w:t>
            </w:r>
          </w:p>
        </w:tc>
        <w:tc>
          <w:tcPr>
            <w:tcW w:w="1021" w:type="dxa"/>
            <w:tcBorders>
              <w:top w:val="nil"/>
              <w:left w:val="nil"/>
              <w:bottom w:val="nil"/>
              <w:right w:val="nil"/>
            </w:tcBorders>
            <w:shd w:val="clear" w:color="auto" w:fill="FFFFFF"/>
            <w:vAlign w:val="bottom"/>
          </w:tcPr>
          <w:p w14:paraId="69FDCEE2"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48F69BBA"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38</w:t>
            </w:r>
          </w:p>
        </w:tc>
      </w:tr>
      <w:tr w:rsidR="002E375F" w:rsidRPr="0000218C" w14:paraId="3677534F" w14:textId="77777777" w:rsidTr="00B42ADD">
        <w:tc>
          <w:tcPr>
            <w:tcW w:w="7854" w:type="dxa"/>
            <w:tcBorders>
              <w:top w:val="nil"/>
              <w:left w:val="nil"/>
              <w:bottom w:val="nil"/>
              <w:right w:val="nil"/>
            </w:tcBorders>
            <w:shd w:val="clear" w:color="auto" w:fill="FFFFFF"/>
            <w:vAlign w:val="bottom"/>
          </w:tcPr>
          <w:p w14:paraId="04A007FC"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Chief Finance Officer</w:t>
            </w:r>
          </w:p>
        </w:tc>
        <w:tc>
          <w:tcPr>
            <w:tcW w:w="1021" w:type="dxa"/>
            <w:tcBorders>
              <w:top w:val="nil"/>
              <w:left w:val="nil"/>
              <w:bottom w:val="nil"/>
              <w:right w:val="nil"/>
            </w:tcBorders>
            <w:shd w:val="clear" w:color="auto" w:fill="FFFFFF"/>
            <w:vAlign w:val="bottom"/>
          </w:tcPr>
          <w:p w14:paraId="0A5EEE9F"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189</w:t>
            </w:r>
          </w:p>
        </w:tc>
        <w:tc>
          <w:tcPr>
            <w:tcW w:w="1021" w:type="dxa"/>
            <w:tcBorders>
              <w:top w:val="nil"/>
              <w:left w:val="nil"/>
              <w:bottom w:val="nil"/>
              <w:right w:val="nil"/>
            </w:tcBorders>
            <w:shd w:val="clear" w:color="auto" w:fill="FFFFFF"/>
            <w:vAlign w:val="bottom"/>
          </w:tcPr>
          <w:p w14:paraId="76F4F358"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7</w:t>
            </w:r>
          </w:p>
        </w:tc>
        <w:tc>
          <w:tcPr>
            <w:tcW w:w="1021" w:type="dxa"/>
            <w:tcBorders>
              <w:top w:val="nil"/>
              <w:left w:val="nil"/>
              <w:bottom w:val="nil"/>
              <w:right w:val="nil"/>
            </w:tcBorders>
            <w:shd w:val="clear" w:color="auto" w:fill="FFFFFF"/>
            <w:vAlign w:val="bottom"/>
          </w:tcPr>
          <w:p w14:paraId="2E286FE8"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4</w:t>
            </w:r>
          </w:p>
        </w:tc>
        <w:tc>
          <w:tcPr>
            <w:tcW w:w="1021" w:type="dxa"/>
            <w:tcBorders>
              <w:top w:val="nil"/>
              <w:left w:val="nil"/>
              <w:bottom w:val="nil"/>
              <w:right w:val="nil"/>
            </w:tcBorders>
            <w:shd w:val="clear" w:color="auto" w:fill="FFFFFF"/>
            <w:vAlign w:val="bottom"/>
          </w:tcPr>
          <w:p w14:paraId="6059D159"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22</w:t>
            </w:r>
          </w:p>
        </w:tc>
        <w:tc>
          <w:tcPr>
            <w:tcW w:w="1021" w:type="dxa"/>
            <w:tcBorders>
              <w:top w:val="nil"/>
              <w:left w:val="nil"/>
              <w:bottom w:val="nil"/>
              <w:right w:val="nil"/>
            </w:tcBorders>
            <w:shd w:val="clear" w:color="auto" w:fill="FFFFFF"/>
            <w:vAlign w:val="bottom"/>
          </w:tcPr>
          <w:p w14:paraId="70C13AC4"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3FF85F93"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222</w:t>
            </w:r>
          </w:p>
        </w:tc>
      </w:tr>
      <w:tr w:rsidR="002E375F" w:rsidRPr="0000218C" w14:paraId="454320FA" w14:textId="77777777" w:rsidTr="00B42ADD">
        <w:tc>
          <w:tcPr>
            <w:tcW w:w="7854" w:type="dxa"/>
            <w:tcBorders>
              <w:top w:val="nil"/>
              <w:left w:val="nil"/>
              <w:bottom w:val="nil"/>
              <w:right w:val="nil"/>
            </w:tcBorders>
            <w:shd w:val="clear" w:color="auto" w:fill="FFFFFF"/>
            <w:vAlign w:val="bottom"/>
          </w:tcPr>
          <w:p w14:paraId="1AC3CD6D" w14:textId="77777777" w:rsidR="002E375F" w:rsidRPr="00862FE1" w:rsidRDefault="00EB2569">
            <w:pPr>
              <w:autoSpaceDE w:val="0"/>
              <w:autoSpaceDN w:val="0"/>
              <w:adjustRightInd w:val="0"/>
              <w:spacing w:after="0" w:line="240" w:lineRule="auto"/>
              <w:rPr>
                <w:rFonts w:ascii="Arial" w:hAnsi="Arial" w:cs="Arial"/>
                <w:sz w:val="18"/>
                <w:szCs w:val="18"/>
              </w:rPr>
            </w:pPr>
            <w:r w:rsidRPr="00862FE1">
              <w:rPr>
                <w:rFonts w:ascii="Arial" w:hAnsi="Arial" w:cs="Arial"/>
                <w:sz w:val="18"/>
                <w:szCs w:val="18"/>
              </w:rPr>
              <w:t>Chief Human Resources Officer</w:t>
            </w:r>
          </w:p>
        </w:tc>
        <w:tc>
          <w:tcPr>
            <w:tcW w:w="1021" w:type="dxa"/>
            <w:tcBorders>
              <w:top w:val="nil"/>
              <w:left w:val="nil"/>
              <w:bottom w:val="nil"/>
              <w:right w:val="nil"/>
            </w:tcBorders>
            <w:shd w:val="clear" w:color="auto" w:fill="FFFFFF"/>
            <w:vAlign w:val="bottom"/>
          </w:tcPr>
          <w:p w14:paraId="64AC8C43"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167</w:t>
            </w:r>
          </w:p>
        </w:tc>
        <w:tc>
          <w:tcPr>
            <w:tcW w:w="1021" w:type="dxa"/>
            <w:tcBorders>
              <w:top w:val="nil"/>
              <w:left w:val="nil"/>
              <w:bottom w:val="nil"/>
              <w:right w:val="nil"/>
            </w:tcBorders>
            <w:shd w:val="clear" w:color="auto" w:fill="FFFFFF"/>
            <w:vAlign w:val="bottom"/>
          </w:tcPr>
          <w:p w14:paraId="4A8DD2FC"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7</w:t>
            </w:r>
          </w:p>
        </w:tc>
        <w:tc>
          <w:tcPr>
            <w:tcW w:w="1021" w:type="dxa"/>
            <w:tcBorders>
              <w:top w:val="nil"/>
              <w:left w:val="nil"/>
              <w:bottom w:val="nil"/>
              <w:right w:val="nil"/>
            </w:tcBorders>
            <w:shd w:val="clear" w:color="auto" w:fill="FFFFFF"/>
            <w:vAlign w:val="bottom"/>
          </w:tcPr>
          <w:p w14:paraId="3DE3F5EC"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3</w:t>
            </w:r>
          </w:p>
        </w:tc>
        <w:tc>
          <w:tcPr>
            <w:tcW w:w="1021" w:type="dxa"/>
            <w:tcBorders>
              <w:top w:val="nil"/>
              <w:left w:val="nil"/>
              <w:bottom w:val="nil"/>
              <w:right w:val="nil"/>
            </w:tcBorders>
            <w:shd w:val="clear" w:color="auto" w:fill="FFFFFF"/>
            <w:vAlign w:val="bottom"/>
          </w:tcPr>
          <w:p w14:paraId="6D5E398C"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19</w:t>
            </w:r>
          </w:p>
        </w:tc>
        <w:tc>
          <w:tcPr>
            <w:tcW w:w="1021" w:type="dxa"/>
            <w:tcBorders>
              <w:top w:val="nil"/>
              <w:left w:val="nil"/>
              <w:bottom w:val="nil"/>
              <w:right w:val="nil"/>
            </w:tcBorders>
            <w:shd w:val="clear" w:color="auto" w:fill="FFFFFF"/>
            <w:vAlign w:val="bottom"/>
          </w:tcPr>
          <w:p w14:paraId="52D28F64"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w:t>
            </w:r>
          </w:p>
        </w:tc>
        <w:tc>
          <w:tcPr>
            <w:tcW w:w="1021" w:type="dxa"/>
            <w:tcBorders>
              <w:top w:val="nil"/>
              <w:left w:val="nil"/>
              <w:bottom w:val="nil"/>
              <w:right w:val="nil"/>
            </w:tcBorders>
            <w:shd w:val="clear" w:color="auto" w:fill="FFFFFF"/>
            <w:vAlign w:val="bottom"/>
          </w:tcPr>
          <w:p w14:paraId="72D3DFF1" w14:textId="77777777" w:rsidR="002E375F" w:rsidRPr="00862FE1" w:rsidRDefault="00EB2569">
            <w:pPr>
              <w:autoSpaceDE w:val="0"/>
              <w:autoSpaceDN w:val="0"/>
              <w:adjustRightInd w:val="0"/>
              <w:spacing w:after="0" w:line="240" w:lineRule="auto"/>
              <w:jc w:val="right"/>
              <w:rPr>
                <w:rFonts w:ascii="Arial" w:hAnsi="Arial" w:cs="Arial"/>
                <w:sz w:val="18"/>
                <w:szCs w:val="18"/>
              </w:rPr>
            </w:pPr>
            <w:r w:rsidRPr="00862FE1">
              <w:rPr>
                <w:rFonts w:ascii="Arial" w:hAnsi="Arial" w:cs="Arial"/>
                <w:sz w:val="18"/>
                <w:szCs w:val="18"/>
              </w:rPr>
              <w:t>196</w:t>
            </w:r>
          </w:p>
        </w:tc>
      </w:tr>
    </w:tbl>
    <w:p w14:paraId="3B54FD8C" w14:textId="77777777" w:rsidR="002E375F" w:rsidRDefault="002E375F">
      <w:pPr>
        <w:autoSpaceDE w:val="0"/>
        <w:autoSpaceDN w:val="0"/>
        <w:adjustRightInd w:val="0"/>
        <w:spacing w:before="47" w:after="0" w:line="240" w:lineRule="auto"/>
        <w:rPr>
          <w:rFonts w:ascii="Times New Roman" w:hAnsi="Times New Roman" w:cs="Times New Roman"/>
          <w:sz w:val="24"/>
          <w:szCs w:val="24"/>
        </w:rPr>
      </w:pPr>
    </w:p>
    <w:p w14:paraId="468FBED2"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6834" w:h="11909" w:orient="landscape"/>
          <w:pgMar w:top="1440" w:right="1440" w:bottom="1440" w:left="1440" w:header="720" w:footer="720" w:gutter="0"/>
          <w:cols w:space="720"/>
          <w:noEndnote/>
        </w:sectPr>
      </w:pPr>
    </w:p>
    <w:p w14:paraId="13986BC3"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596AD9C7"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73317B23"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4C4DD15E"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6065F377" w14:textId="77777777" w:rsidR="00B42ADD" w:rsidRPr="00B42ADD" w:rsidRDefault="00B42ADD" w:rsidP="00B42ADD">
      <w:pPr>
        <w:pStyle w:val="Heading3"/>
      </w:pPr>
      <w:r w:rsidRPr="00B42ADD">
        <w:t>F1 Key Management Personnel Disclosures (continued)</w:t>
      </w:r>
    </w:p>
    <w:p w14:paraId="423A00C9" w14:textId="77777777" w:rsidR="00B42ADD" w:rsidRDefault="00B42ADD" w:rsidP="00B42ADD">
      <w:pPr>
        <w:pStyle w:val="Heading3"/>
      </w:pPr>
      <w:r>
        <w:t>F1-2 Remuneration Policies</w:t>
      </w:r>
    </w:p>
    <w:p w14:paraId="463CEFB8"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Ministerial remuneration entitlements are outlined in the Legislative Assembly of Queensland’s Members’ Remuneration Handbook. The department does not bear any cost of remuneration of Ministers. The majority of Ministerial entitlements are paid by the Legislative Assembly, with the remaining entitlements being provided by Ministerial Services Branch within the Department of the Premier and Cabinet. As all Ministers are reported as KMP of the State Government, aggregate remuneration expenses for all Ministers is disclosed in the Queensland General Government and Whole-of-Government Consolidated financial statements, which are published as part of Queensland Treasury’s Report on State Finances.</w:t>
      </w:r>
    </w:p>
    <w:p w14:paraId="2AC53160"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 xml:space="preserve">Remuneration policy for the department's other KMP is set by the Queensland Public Service Commission as provided for under the </w:t>
      </w:r>
      <w:r>
        <w:rPr>
          <w:rFonts w:ascii="Arial" w:hAnsi="Arial" w:cs="Arial"/>
          <w:i/>
          <w:iCs/>
          <w:sz w:val="18"/>
          <w:szCs w:val="18"/>
        </w:rPr>
        <w:t>Public Service Act 2008</w:t>
      </w:r>
      <w:r>
        <w:rPr>
          <w:rFonts w:ascii="Arial" w:hAnsi="Arial" w:cs="Arial"/>
          <w:sz w:val="18"/>
          <w:szCs w:val="18"/>
        </w:rPr>
        <w:t>. Individual remuneration and other terms of employment (including motor vehicle entitlements and performance payments if applicable) are specified in employment contracts.</w:t>
      </w:r>
    </w:p>
    <w:p w14:paraId="6A03E6F2"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Effective from 1 September 2017, remuneration packages of KMP increased by 2.5% in accordance with government policy.</w:t>
      </w:r>
    </w:p>
    <w:p w14:paraId="32BFBF29" w14:textId="77777777" w:rsidR="002E375F" w:rsidRDefault="00EB2569" w:rsidP="006F0FBE">
      <w:pPr>
        <w:autoSpaceDE w:val="0"/>
        <w:autoSpaceDN w:val="0"/>
        <w:adjustRightInd w:val="0"/>
        <w:spacing w:after="141" w:line="240" w:lineRule="auto"/>
        <w:rPr>
          <w:rFonts w:ascii="Arial" w:hAnsi="Arial" w:cs="Arial"/>
          <w:sz w:val="18"/>
          <w:szCs w:val="18"/>
        </w:rPr>
      </w:pPr>
      <w:r>
        <w:rPr>
          <w:rFonts w:ascii="Arial" w:hAnsi="Arial" w:cs="Arial"/>
          <w:sz w:val="18"/>
          <w:szCs w:val="18"/>
        </w:rPr>
        <w:t>Remuneration expenses for those KMP comprise the following components:</w:t>
      </w:r>
    </w:p>
    <w:p w14:paraId="01155B4B" w14:textId="77777777" w:rsidR="00DE6DCF" w:rsidRPr="00DE6DCF" w:rsidRDefault="00DE6DCF" w:rsidP="006F0FBE">
      <w:pPr>
        <w:pStyle w:val="ListParagraph"/>
        <w:numPr>
          <w:ilvl w:val="0"/>
          <w:numId w:val="22"/>
        </w:numPr>
        <w:autoSpaceDE w:val="0"/>
        <w:autoSpaceDN w:val="0"/>
        <w:adjustRightInd w:val="0"/>
        <w:spacing w:after="141" w:line="240" w:lineRule="auto"/>
        <w:rPr>
          <w:rFonts w:ascii="Arial" w:hAnsi="Arial" w:cs="Arial"/>
          <w:sz w:val="18"/>
          <w:szCs w:val="18"/>
        </w:rPr>
      </w:pPr>
      <w:r w:rsidRPr="00DE6DCF">
        <w:rPr>
          <w:rFonts w:ascii="Arial" w:hAnsi="Arial" w:cs="Arial"/>
          <w:i/>
          <w:iCs/>
          <w:sz w:val="18"/>
          <w:szCs w:val="18"/>
        </w:rPr>
        <w:t>Short term employee expenses</w:t>
      </w:r>
      <w:r>
        <w:rPr>
          <w:rFonts w:ascii="Arial" w:hAnsi="Arial" w:cs="Arial"/>
          <w:sz w:val="18"/>
          <w:szCs w:val="18"/>
        </w:rPr>
        <w:t xml:space="preserve"> including</w:t>
      </w:r>
      <w:r w:rsidRPr="00DE6DCF">
        <w:rPr>
          <w:rFonts w:ascii="Arial" w:hAnsi="Arial" w:cs="Arial"/>
          <w:sz w:val="18"/>
          <w:szCs w:val="18"/>
        </w:rPr>
        <w:br/>
        <w:t>- salaries, allowances and leave entitlements earned and expensed for the entire year, or for that part of the year during which the employee occupied a KMP position.</w:t>
      </w:r>
      <w:r w:rsidRPr="00DE6DCF">
        <w:rPr>
          <w:rFonts w:ascii="Arial" w:hAnsi="Arial" w:cs="Arial"/>
          <w:sz w:val="18"/>
          <w:szCs w:val="18"/>
        </w:rPr>
        <w:br/>
        <w:t>- non-monetary benefits - consisting of provision of vehicle together with fringe benefits tax applicable to the benefit.</w:t>
      </w:r>
    </w:p>
    <w:p w14:paraId="2B5C0618" w14:textId="77777777" w:rsidR="00DE6DCF" w:rsidRPr="00DE6DCF" w:rsidRDefault="00DE6DCF" w:rsidP="006F0FBE">
      <w:pPr>
        <w:pStyle w:val="ListParagraph"/>
        <w:numPr>
          <w:ilvl w:val="0"/>
          <w:numId w:val="21"/>
        </w:numPr>
        <w:autoSpaceDE w:val="0"/>
        <w:autoSpaceDN w:val="0"/>
        <w:adjustRightInd w:val="0"/>
        <w:spacing w:after="141" w:line="240" w:lineRule="auto"/>
        <w:rPr>
          <w:rFonts w:ascii="Arial" w:hAnsi="Arial" w:cs="Arial"/>
          <w:sz w:val="18"/>
          <w:szCs w:val="18"/>
        </w:rPr>
      </w:pPr>
      <w:r w:rsidRPr="00DE6DCF">
        <w:rPr>
          <w:rFonts w:ascii="Arial" w:hAnsi="Arial" w:cs="Arial"/>
          <w:i/>
          <w:iCs/>
          <w:sz w:val="18"/>
          <w:szCs w:val="18"/>
        </w:rPr>
        <w:t>Long term employee expenses</w:t>
      </w:r>
      <w:r w:rsidRPr="00DE6DCF">
        <w:rPr>
          <w:rFonts w:ascii="Arial" w:hAnsi="Arial" w:cs="Arial"/>
          <w:sz w:val="18"/>
          <w:szCs w:val="18"/>
        </w:rPr>
        <w:t xml:space="preserve"> include amounts expensed in respect of long service leave entitlements earned.</w:t>
      </w:r>
    </w:p>
    <w:p w14:paraId="046282E4" w14:textId="77777777" w:rsidR="00DE6DCF" w:rsidRPr="00DE6DCF" w:rsidRDefault="00DE6DCF" w:rsidP="006F0FBE">
      <w:pPr>
        <w:pStyle w:val="ListParagraph"/>
        <w:numPr>
          <w:ilvl w:val="0"/>
          <w:numId w:val="20"/>
        </w:numPr>
        <w:autoSpaceDE w:val="0"/>
        <w:autoSpaceDN w:val="0"/>
        <w:adjustRightInd w:val="0"/>
        <w:spacing w:after="141" w:line="240" w:lineRule="auto"/>
        <w:rPr>
          <w:rFonts w:ascii="Arial" w:hAnsi="Arial" w:cs="Arial"/>
          <w:sz w:val="18"/>
          <w:szCs w:val="18"/>
        </w:rPr>
      </w:pPr>
      <w:r w:rsidRPr="00DE6DCF">
        <w:rPr>
          <w:rFonts w:ascii="Arial" w:hAnsi="Arial" w:cs="Arial"/>
          <w:i/>
          <w:iCs/>
          <w:sz w:val="18"/>
          <w:szCs w:val="18"/>
        </w:rPr>
        <w:t>Post-employment expenses</w:t>
      </w:r>
      <w:r w:rsidRPr="00DE6DCF">
        <w:rPr>
          <w:rFonts w:ascii="Arial" w:hAnsi="Arial" w:cs="Arial"/>
          <w:sz w:val="18"/>
          <w:szCs w:val="18"/>
        </w:rPr>
        <w:t xml:space="preserve"> include amounts expensed in respect of employer superannuation obligations.</w:t>
      </w:r>
    </w:p>
    <w:p w14:paraId="52441E56" w14:textId="77777777" w:rsidR="00DE6DCF" w:rsidRPr="00DE6DCF" w:rsidRDefault="00DE6DCF" w:rsidP="006F0FBE">
      <w:pPr>
        <w:pStyle w:val="ListParagraph"/>
        <w:numPr>
          <w:ilvl w:val="0"/>
          <w:numId w:val="19"/>
        </w:numPr>
        <w:autoSpaceDE w:val="0"/>
        <w:autoSpaceDN w:val="0"/>
        <w:adjustRightInd w:val="0"/>
        <w:spacing w:after="141" w:line="240" w:lineRule="auto"/>
        <w:rPr>
          <w:rFonts w:ascii="Arial" w:hAnsi="Arial" w:cs="Arial"/>
          <w:i/>
          <w:iCs/>
          <w:sz w:val="18"/>
          <w:szCs w:val="18"/>
        </w:rPr>
      </w:pPr>
      <w:r w:rsidRPr="00DE6DCF">
        <w:rPr>
          <w:rFonts w:ascii="Arial" w:hAnsi="Arial" w:cs="Arial"/>
          <w:i/>
          <w:iCs/>
          <w:sz w:val="18"/>
          <w:szCs w:val="18"/>
        </w:rPr>
        <w:t>Termination benefits include payments in lieu of notice on termination and other lump sum separation entitlements (excluding annual and long service leave entitlements) payable on termination of employment or acceptance of an offer of termination of employment.</w:t>
      </w:r>
    </w:p>
    <w:p w14:paraId="1A4C9F9A" w14:textId="77777777" w:rsidR="00DE6DCF" w:rsidRDefault="00DE6DCF" w:rsidP="00DE6DCF">
      <w:pPr>
        <w:pStyle w:val="Heading3"/>
      </w:pPr>
      <w:r>
        <w:t>F1-3 Performance Payments</w:t>
      </w:r>
    </w:p>
    <w:p w14:paraId="0893845B" w14:textId="77777777" w:rsidR="002E375F" w:rsidRDefault="00EB2569" w:rsidP="006F0FBE">
      <w:pPr>
        <w:autoSpaceDE w:val="0"/>
        <w:autoSpaceDN w:val="0"/>
        <w:adjustRightInd w:val="0"/>
        <w:spacing w:after="141" w:line="240" w:lineRule="auto"/>
        <w:rPr>
          <w:rFonts w:ascii="Arial" w:hAnsi="Arial" w:cs="Arial"/>
          <w:sz w:val="18"/>
          <w:szCs w:val="18"/>
        </w:rPr>
      </w:pPr>
      <w:r>
        <w:rPr>
          <w:rFonts w:ascii="Arial" w:hAnsi="Arial" w:cs="Arial"/>
          <w:sz w:val="18"/>
          <w:szCs w:val="18"/>
        </w:rPr>
        <w:t>No remuneration packages for KMP provide for any performance or bonus payments.</w:t>
      </w:r>
    </w:p>
    <w:p w14:paraId="1E494D62" w14:textId="77777777" w:rsidR="00DE6DCF" w:rsidRDefault="00DE6DCF" w:rsidP="00DE6DCF">
      <w:pPr>
        <w:pStyle w:val="Heading3"/>
      </w:pPr>
      <w:r>
        <w:t>F2 Related Party Transactions</w:t>
      </w:r>
    </w:p>
    <w:p w14:paraId="7D2A7686" w14:textId="77777777" w:rsidR="00DE6DCF" w:rsidRDefault="00DE6DCF" w:rsidP="00DE6DCF">
      <w:pPr>
        <w:pStyle w:val="Heading3"/>
        <w:rPr>
          <w:rFonts w:ascii="Times New Roman" w:hAnsi="Times New Roman" w:cs="Times New Roman"/>
        </w:rPr>
      </w:pPr>
      <w:r>
        <w:t>F2-1 Transactions with other Queensland Government-controlled entities</w:t>
      </w:r>
    </w:p>
    <w:p w14:paraId="6111EF49"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department’s primary ongoing sources of funding from State Government for its services are appropriation revenue (refer Note B1-1</w:t>
      </w:r>
      <w:r w:rsidR="006626B2">
        <w:rPr>
          <w:rFonts w:ascii="Arial" w:hAnsi="Arial" w:cs="Arial"/>
          <w:sz w:val="18"/>
          <w:szCs w:val="18"/>
        </w:rPr>
        <w:t>)</w:t>
      </w:r>
      <w:r>
        <w:rPr>
          <w:rFonts w:ascii="Arial" w:hAnsi="Arial" w:cs="Arial"/>
          <w:sz w:val="18"/>
          <w:szCs w:val="18"/>
        </w:rPr>
        <w:t xml:space="preserve"> and equity injections (refer Note C9-2</w:t>
      </w:r>
      <w:r w:rsidR="006626B2">
        <w:rPr>
          <w:rFonts w:ascii="Arial" w:hAnsi="Arial" w:cs="Arial"/>
          <w:sz w:val="18"/>
          <w:szCs w:val="18"/>
        </w:rPr>
        <w:t>)</w:t>
      </w:r>
      <w:r>
        <w:rPr>
          <w:rFonts w:ascii="Arial" w:hAnsi="Arial" w:cs="Arial"/>
          <w:sz w:val="18"/>
          <w:szCs w:val="18"/>
        </w:rPr>
        <w:t>, both of which are provided in cash via Queensland Treasury.</w:t>
      </w:r>
    </w:p>
    <w:p w14:paraId="0815A00F"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department’s primary source of accommodation leases, motor vehicle leases and asset works and repairs are managed through the Department of Housing and Public Works and its controlled entities. Note B2-2 provides the relevant balance of transactions.</w:t>
      </w:r>
    </w:p>
    <w:p w14:paraId="40AA1F70"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 also purchases corporate services from the Department of Child Safety, Youth and Women.</w:t>
      </w:r>
    </w:p>
    <w:p w14:paraId="5984EA2C"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5B1875B2"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54681417"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37D79BCF"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65812BCA"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2779CB30" w14:textId="77777777" w:rsidR="00B42ADD" w:rsidRPr="00255F08" w:rsidRDefault="00B42ADD" w:rsidP="00255F08">
      <w:pPr>
        <w:pStyle w:val="Heading3"/>
      </w:pPr>
      <w:r w:rsidRPr="00255F08">
        <w:t>F3 Climate Risk Disclosures</w:t>
      </w:r>
    </w:p>
    <w:p w14:paraId="0674AC02" w14:textId="77777777" w:rsidR="002E375F" w:rsidRDefault="00EB2569" w:rsidP="006F0FBE">
      <w:pPr>
        <w:autoSpaceDE w:val="0"/>
        <w:autoSpaceDN w:val="0"/>
        <w:adjustRightInd w:val="0"/>
        <w:spacing w:after="141" w:line="240" w:lineRule="auto"/>
        <w:rPr>
          <w:rFonts w:ascii="Arial" w:hAnsi="Arial" w:cs="Arial"/>
          <w:sz w:val="18"/>
          <w:szCs w:val="18"/>
        </w:rPr>
      </w:pPr>
      <w:r>
        <w:rPr>
          <w:rFonts w:ascii="Arial" w:hAnsi="Arial" w:cs="Arial"/>
          <w:sz w:val="18"/>
          <w:szCs w:val="18"/>
        </w:rPr>
        <w:t>The department has not identified any material climate related risks relevant to the financial statements at the reporting date. Climate risks are considered by the department within the context of its Enterprise Risk Management framework.</w:t>
      </w:r>
    </w:p>
    <w:p w14:paraId="44F78BB6" w14:textId="77777777" w:rsidR="00B42ADD" w:rsidRPr="00255F08" w:rsidRDefault="00B42ADD" w:rsidP="00255F08">
      <w:pPr>
        <w:pStyle w:val="Heading3"/>
      </w:pPr>
      <w:r w:rsidRPr="00255F08">
        <w:t>F4 Impact of COVID-19 pandemic</w:t>
      </w:r>
    </w:p>
    <w:p w14:paraId="67B7ADCA"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During the financial year the department incurred significant expenditure as a result of the emergence of the COVID-19 pandemic. Some of the expenditure was incurred as a direct result of State Government announced economic stimulus packages providing financial assistance to individuals, business and industry, either where the department was the lead agency or provided assistance to another lead agency responsible for coordinating and administering related funds. Additional expenditure was also incurred by the department in maintaining frontline services inclusive of disability accommodation and respite support, and in supporting community and senior services for vulnerable Queenslanders.</w:t>
      </w:r>
    </w:p>
    <w:p w14:paraId="0C931513"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Total expenditure incurred by the department as a result of the COVID-19 pandemic totalled $498.808M, with $8.675M being recognised within the Income Statement - Controlled and the remaining $490.133M being recognised within the Income Statement - Administered. The department also recognised $3.239M in revenue in the Income Statement - Controlled for reimbursement of eligible expenditure from the Commonwealth via Queensland Health.</w:t>
      </w:r>
    </w:p>
    <w:p w14:paraId="019C2298" w14:textId="77777777" w:rsidR="002E375F" w:rsidRDefault="00EB2569" w:rsidP="006F0FBE">
      <w:pPr>
        <w:autoSpaceDE w:val="0"/>
        <w:autoSpaceDN w:val="0"/>
        <w:adjustRightInd w:val="0"/>
        <w:spacing w:after="141" w:line="240" w:lineRule="auto"/>
        <w:rPr>
          <w:rFonts w:ascii="Arial" w:hAnsi="Arial" w:cs="Arial"/>
          <w:sz w:val="18"/>
          <w:szCs w:val="18"/>
        </w:rPr>
      </w:pPr>
      <w:r>
        <w:rPr>
          <w:rFonts w:ascii="Arial" w:hAnsi="Arial" w:cs="Arial"/>
          <w:sz w:val="18"/>
          <w:szCs w:val="18"/>
        </w:rPr>
        <w:t>Expenditure recognised within the Income Statement - Controlled includes the following key components:</w:t>
      </w:r>
    </w:p>
    <w:p w14:paraId="5DE7C688" w14:textId="77777777" w:rsidR="00A505CE" w:rsidRPr="00A505CE" w:rsidRDefault="00A505CE" w:rsidP="006F0FBE">
      <w:pPr>
        <w:pStyle w:val="ListParagraph"/>
        <w:numPr>
          <w:ilvl w:val="0"/>
          <w:numId w:val="17"/>
        </w:numPr>
        <w:autoSpaceDE w:val="0"/>
        <w:autoSpaceDN w:val="0"/>
        <w:adjustRightInd w:val="0"/>
        <w:spacing w:after="141" w:line="240" w:lineRule="auto"/>
        <w:rPr>
          <w:rFonts w:ascii="Arial" w:hAnsi="Arial" w:cs="Arial"/>
          <w:sz w:val="18"/>
          <w:szCs w:val="18"/>
        </w:rPr>
      </w:pPr>
      <w:r w:rsidRPr="00A505CE">
        <w:rPr>
          <w:rFonts w:ascii="Arial" w:hAnsi="Arial" w:cs="Arial"/>
          <w:sz w:val="18"/>
          <w:szCs w:val="18"/>
        </w:rPr>
        <w:t>$1.766M for Community Recovery coordination and support of Community Response and Care Army initiatives in providing support to seniors, or anyone in home quarantine or self-isolation, who didn’t have family, friends or neighbours to help with accessing food or medicine, and to connect people with over the phone psychosocial support where needed.</w:t>
      </w:r>
    </w:p>
    <w:p w14:paraId="1FB83AC8" w14:textId="77777777" w:rsidR="00A505CE" w:rsidRPr="00A505CE" w:rsidRDefault="00A505CE" w:rsidP="006F0FBE">
      <w:pPr>
        <w:pStyle w:val="ListParagraph"/>
        <w:numPr>
          <w:ilvl w:val="0"/>
          <w:numId w:val="17"/>
        </w:numPr>
        <w:autoSpaceDE w:val="0"/>
        <w:autoSpaceDN w:val="0"/>
        <w:adjustRightInd w:val="0"/>
        <w:spacing w:after="141" w:line="240" w:lineRule="auto"/>
        <w:rPr>
          <w:rFonts w:ascii="Arial" w:hAnsi="Arial" w:cs="Arial"/>
          <w:sz w:val="18"/>
          <w:szCs w:val="18"/>
        </w:rPr>
      </w:pPr>
      <w:r w:rsidRPr="00A505CE">
        <w:rPr>
          <w:rFonts w:ascii="Arial" w:hAnsi="Arial" w:cs="Arial"/>
          <w:sz w:val="18"/>
          <w:szCs w:val="18"/>
        </w:rPr>
        <w:t>$3.744M in financial assistance provided to non-government organisations supporting people in home quarantine or isolation who were not self-reliant, in providing emergency relief to people who were directly or indirectly impacted by COVID-19, in assisting older and vulnerable Queenslanders prepare, adapt and recover from the pandemic through psychological support, and in providing resources for people with a disability to prepare, respond to and recover from the pandemic.</w:t>
      </w:r>
    </w:p>
    <w:p w14:paraId="79B3D4C2" w14:textId="77777777" w:rsidR="00A505CE" w:rsidRPr="00A505CE" w:rsidRDefault="00A505CE" w:rsidP="006F0FBE">
      <w:pPr>
        <w:pStyle w:val="ListParagraph"/>
        <w:numPr>
          <w:ilvl w:val="0"/>
          <w:numId w:val="17"/>
        </w:numPr>
        <w:autoSpaceDE w:val="0"/>
        <w:autoSpaceDN w:val="0"/>
        <w:adjustRightInd w:val="0"/>
        <w:spacing w:after="141" w:line="240" w:lineRule="auto"/>
        <w:rPr>
          <w:rFonts w:ascii="Arial" w:hAnsi="Arial" w:cs="Arial"/>
          <w:sz w:val="18"/>
          <w:szCs w:val="18"/>
        </w:rPr>
      </w:pPr>
      <w:r w:rsidRPr="00A505CE">
        <w:rPr>
          <w:rFonts w:ascii="Arial" w:hAnsi="Arial" w:cs="Arial"/>
          <w:sz w:val="18"/>
          <w:szCs w:val="18"/>
        </w:rPr>
        <w:t>$2.666M in International Student Crisis Assistance Grants provided to enrolled international students living in Queensland (except those enrolled at universities or TAFE) who were suffering severe financial hardship as a result of COVID-19. This expenditure was part of a $5.000M economic stimulus package being administered by the department on behalf of the Department of State Development, Tourism and Innovation (DSDTI) who were the lead agency.</w:t>
      </w:r>
    </w:p>
    <w:p w14:paraId="02F608F9" w14:textId="77777777" w:rsidR="00A505CE" w:rsidRPr="00A505CE" w:rsidRDefault="00A505CE" w:rsidP="006F0FBE">
      <w:pPr>
        <w:pStyle w:val="ListParagraph"/>
        <w:numPr>
          <w:ilvl w:val="0"/>
          <w:numId w:val="17"/>
        </w:numPr>
        <w:autoSpaceDE w:val="0"/>
        <w:autoSpaceDN w:val="0"/>
        <w:adjustRightInd w:val="0"/>
        <w:spacing w:after="141" w:line="240" w:lineRule="auto"/>
        <w:rPr>
          <w:rFonts w:ascii="Arial" w:hAnsi="Arial" w:cs="Arial"/>
          <w:sz w:val="18"/>
          <w:szCs w:val="18"/>
        </w:rPr>
      </w:pPr>
      <w:r w:rsidRPr="00A505CE">
        <w:rPr>
          <w:rFonts w:ascii="Arial" w:hAnsi="Arial" w:cs="Arial"/>
          <w:sz w:val="18"/>
          <w:szCs w:val="18"/>
        </w:rPr>
        <w:t>$0.499M in additional staffing costs and provision of personal protective equipment utilised within disability accommodation and respite support centres owned and managed by the department.</w:t>
      </w:r>
    </w:p>
    <w:p w14:paraId="33C2DA8D" w14:textId="77777777" w:rsidR="002E375F" w:rsidRDefault="00EB2569" w:rsidP="006F0FBE">
      <w:pPr>
        <w:autoSpaceDE w:val="0"/>
        <w:autoSpaceDN w:val="0"/>
        <w:adjustRightInd w:val="0"/>
        <w:spacing w:after="141" w:line="240" w:lineRule="auto"/>
        <w:rPr>
          <w:rFonts w:ascii="Arial" w:hAnsi="Arial" w:cs="Arial"/>
          <w:sz w:val="18"/>
          <w:szCs w:val="18"/>
        </w:rPr>
      </w:pPr>
      <w:r>
        <w:rPr>
          <w:rFonts w:ascii="Arial" w:hAnsi="Arial" w:cs="Arial"/>
          <w:sz w:val="18"/>
          <w:szCs w:val="18"/>
        </w:rPr>
        <w:t>Expenditure recognised within the Income Statement - Administered includes the following key components:</w:t>
      </w:r>
    </w:p>
    <w:p w14:paraId="55471F80" w14:textId="77777777" w:rsidR="00A505CE" w:rsidRPr="00A505CE" w:rsidRDefault="00A505CE" w:rsidP="006F0FBE">
      <w:pPr>
        <w:pStyle w:val="ListParagraph"/>
        <w:numPr>
          <w:ilvl w:val="0"/>
          <w:numId w:val="18"/>
        </w:numPr>
        <w:autoSpaceDE w:val="0"/>
        <w:autoSpaceDN w:val="0"/>
        <w:adjustRightInd w:val="0"/>
        <w:spacing w:after="141" w:line="240" w:lineRule="auto"/>
        <w:rPr>
          <w:rFonts w:ascii="Arial" w:hAnsi="Arial" w:cs="Arial"/>
          <w:sz w:val="18"/>
          <w:szCs w:val="18"/>
        </w:rPr>
      </w:pPr>
      <w:r w:rsidRPr="00A505CE">
        <w:rPr>
          <w:rFonts w:ascii="Arial" w:hAnsi="Arial" w:cs="Arial"/>
          <w:sz w:val="18"/>
          <w:szCs w:val="18"/>
        </w:rPr>
        <w:t>$85.920M in relief payments provided under the State Government Power Bill Relief Package for small and medium business enterprises with consumption less than 100,000 kilowatt hours (kWh), with a $500 rebate being automatically applied to electricity accounts.</w:t>
      </w:r>
    </w:p>
    <w:p w14:paraId="24905EE6" w14:textId="77777777" w:rsidR="00A505CE" w:rsidRPr="00A505CE" w:rsidRDefault="00A505CE" w:rsidP="006F0FBE">
      <w:pPr>
        <w:pStyle w:val="ListParagraph"/>
        <w:numPr>
          <w:ilvl w:val="0"/>
          <w:numId w:val="18"/>
        </w:numPr>
        <w:autoSpaceDE w:val="0"/>
        <w:autoSpaceDN w:val="0"/>
        <w:adjustRightInd w:val="0"/>
        <w:spacing w:after="141" w:line="240" w:lineRule="auto"/>
        <w:rPr>
          <w:rFonts w:ascii="Arial" w:hAnsi="Arial" w:cs="Arial"/>
          <w:sz w:val="18"/>
          <w:szCs w:val="18"/>
        </w:rPr>
      </w:pPr>
      <w:r w:rsidRPr="00A505CE">
        <w:rPr>
          <w:rFonts w:ascii="Arial" w:hAnsi="Arial" w:cs="Arial"/>
          <w:sz w:val="18"/>
          <w:szCs w:val="18"/>
        </w:rPr>
        <w:t>$404.213M in electricity rebates provided under the State Government Household Utility Assistance Package to Queensland residential households, with a $200 rebate being automatically applied to their electricity accounts.</w:t>
      </w:r>
    </w:p>
    <w:p w14:paraId="51955886" w14:textId="77777777" w:rsidR="002E375F" w:rsidRDefault="00EB2569" w:rsidP="006F0FBE">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Further information on the impact of the COVID-19 pandemic is provided within Note C2, Receivables and Note C6, Payables.</w:t>
      </w:r>
    </w:p>
    <w:p w14:paraId="6971E4A5" w14:textId="77777777" w:rsidR="002E375F" w:rsidRDefault="002E375F" w:rsidP="006F0FBE">
      <w:pPr>
        <w:widowControl w:val="0"/>
        <w:autoSpaceDE w:val="0"/>
        <w:autoSpaceDN w:val="0"/>
        <w:adjustRightInd w:val="0"/>
        <w:spacing w:after="0" w:line="240" w:lineRule="atLeast"/>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515D7138"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08CD6509"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4AA9CF21"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6F7BFC0D"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0281817A" w14:textId="77777777" w:rsidR="002E375F" w:rsidRDefault="00A505CE" w:rsidP="00A505CE">
      <w:pPr>
        <w:pStyle w:val="Heading3"/>
      </w:pPr>
      <w:r>
        <w:t>G1 Administered</w:t>
      </w:r>
    </w:p>
    <w:p w14:paraId="3D50D773" w14:textId="77777777" w:rsidR="00A505CE" w:rsidRDefault="00A505CE" w:rsidP="00A505CE">
      <w:pPr>
        <w:pStyle w:val="Heading3"/>
        <w:rPr>
          <w:rFonts w:ascii="Times New Roman" w:hAnsi="Times New Roman" w:cs="Times New Roman"/>
        </w:rPr>
      </w:pPr>
      <w:r>
        <w:t>G1-1 Appropriation Revenue</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1D31390A" w14:textId="77777777" w:rsidTr="00A505CE">
        <w:tc>
          <w:tcPr>
            <w:tcW w:w="7124" w:type="dxa"/>
            <w:tcBorders>
              <w:top w:val="nil"/>
              <w:left w:val="nil"/>
              <w:bottom w:val="nil"/>
              <w:right w:val="nil"/>
            </w:tcBorders>
            <w:shd w:val="clear" w:color="auto" w:fill="FFFFFF"/>
            <w:vAlign w:val="bottom"/>
          </w:tcPr>
          <w:p w14:paraId="61661E1C" w14:textId="77777777" w:rsidR="002E375F" w:rsidRDefault="0000218C" w:rsidP="00943EF1">
            <w:pPr>
              <w:pStyle w:val="Heading3"/>
            </w:pPr>
            <w:r>
              <w:rPr>
                <w:rFonts w:ascii="Arial" w:hAnsi="Arial" w:cs="Arial"/>
                <w:b/>
                <w:bCs/>
                <w:sz w:val="18"/>
                <w:szCs w:val="18"/>
              </w:rPr>
              <w:t>Reconciliation of Payments from Consolidated Fund to Administered Appropriation Revenue Recognised in Operating Result</w:t>
            </w:r>
          </w:p>
        </w:tc>
        <w:tc>
          <w:tcPr>
            <w:tcW w:w="964" w:type="dxa"/>
            <w:tcBorders>
              <w:top w:val="nil"/>
              <w:left w:val="nil"/>
              <w:bottom w:val="nil"/>
              <w:right w:val="nil"/>
            </w:tcBorders>
            <w:shd w:val="clear" w:color="auto" w:fill="FFFFFF"/>
            <w:vAlign w:val="bottom"/>
          </w:tcPr>
          <w:p w14:paraId="259E0605"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3A59AC3B" w14:textId="77777777" w:rsidR="002E375F" w:rsidRDefault="00EB2569" w:rsidP="00862FE1">
            <w:pPr>
              <w:pStyle w:val="Heading3"/>
              <w:jc w:val="right"/>
            </w:pPr>
            <w:r>
              <w:rPr>
                <w:rFonts w:ascii="Arial" w:hAnsi="Arial" w:cs="Arial"/>
                <w:sz w:val="18"/>
                <w:szCs w:val="18"/>
              </w:rPr>
              <w:t>2019</w:t>
            </w:r>
            <w:r>
              <w:rPr>
                <w:rFonts w:ascii="Arial" w:hAnsi="Arial" w:cs="Arial"/>
                <w:sz w:val="18"/>
                <w:szCs w:val="18"/>
              </w:rPr>
              <w:br/>
              <w:t>$'000</w:t>
            </w:r>
          </w:p>
        </w:tc>
      </w:tr>
      <w:tr w:rsidR="002E375F" w14:paraId="2B1583C8" w14:textId="77777777" w:rsidTr="00A505CE">
        <w:tc>
          <w:tcPr>
            <w:tcW w:w="7124" w:type="dxa"/>
            <w:tcBorders>
              <w:top w:val="nil"/>
              <w:left w:val="nil"/>
              <w:bottom w:val="nil"/>
              <w:right w:val="nil"/>
            </w:tcBorders>
            <w:shd w:val="clear" w:color="auto" w:fill="FFFFFF"/>
            <w:vAlign w:val="bottom"/>
          </w:tcPr>
          <w:p w14:paraId="0465F3C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Budgeted appropriation revenue</w:t>
            </w:r>
          </w:p>
        </w:tc>
        <w:tc>
          <w:tcPr>
            <w:tcW w:w="964" w:type="dxa"/>
            <w:tcBorders>
              <w:top w:val="nil"/>
              <w:left w:val="nil"/>
              <w:bottom w:val="nil"/>
              <w:right w:val="nil"/>
            </w:tcBorders>
            <w:shd w:val="clear" w:color="auto" w:fill="FFFFFF"/>
            <w:vAlign w:val="bottom"/>
          </w:tcPr>
          <w:p w14:paraId="5646B7A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1,527,222</w:t>
            </w:r>
          </w:p>
        </w:tc>
        <w:tc>
          <w:tcPr>
            <w:tcW w:w="964" w:type="dxa"/>
            <w:tcBorders>
              <w:top w:val="nil"/>
              <w:left w:val="nil"/>
              <w:bottom w:val="nil"/>
              <w:right w:val="nil"/>
            </w:tcBorders>
            <w:shd w:val="clear" w:color="auto" w:fill="FFFFFF"/>
            <w:vAlign w:val="bottom"/>
          </w:tcPr>
          <w:p w14:paraId="7200FDC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1,925,198</w:t>
            </w:r>
          </w:p>
        </w:tc>
      </w:tr>
      <w:tr w:rsidR="002E375F" w14:paraId="707FFB72" w14:textId="77777777" w:rsidTr="00A505CE">
        <w:tc>
          <w:tcPr>
            <w:tcW w:w="7124" w:type="dxa"/>
            <w:tcBorders>
              <w:top w:val="nil"/>
              <w:left w:val="nil"/>
              <w:bottom w:val="nil"/>
              <w:right w:val="nil"/>
            </w:tcBorders>
            <w:shd w:val="clear" w:color="auto" w:fill="FFFFFF"/>
            <w:vAlign w:val="bottom"/>
          </w:tcPr>
          <w:p w14:paraId="736D4F1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Lapsed administered appropriation revenue</w:t>
            </w:r>
          </w:p>
        </w:tc>
        <w:tc>
          <w:tcPr>
            <w:tcW w:w="964" w:type="dxa"/>
            <w:tcBorders>
              <w:top w:val="nil"/>
              <w:left w:val="nil"/>
              <w:bottom w:val="nil"/>
              <w:right w:val="nil"/>
            </w:tcBorders>
            <w:shd w:val="clear" w:color="auto" w:fill="FFFFFF"/>
            <w:vAlign w:val="bottom"/>
          </w:tcPr>
          <w:p w14:paraId="43812C5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4D8E8B3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(318,216)</w:t>
            </w:r>
          </w:p>
        </w:tc>
      </w:tr>
      <w:tr w:rsidR="002E375F" w14:paraId="75801077" w14:textId="77777777" w:rsidTr="00A505CE">
        <w:tc>
          <w:tcPr>
            <w:tcW w:w="7124" w:type="dxa"/>
            <w:tcBorders>
              <w:top w:val="nil"/>
              <w:left w:val="nil"/>
              <w:bottom w:val="nil"/>
              <w:right w:val="nil"/>
            </w:tcBorders>
            <w:shd w:val="clear" w:color="auto" w:fill="FFFFFF"/>
            <w:vAlign w:val="bottom"/>
          </w:tcPr>
          <w:p w14:paraId="78DE3A4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Treasurer's advance</w:t>
            </w:r>
          </w:p>
        </w:tc>
        <w:tc>
          <w:tcPr>
            <w:tcW w:w="964" w:type="dxa"/>
            <w:tcBorders>
              <w:top w:val="nil"/>
              <w:left w:val="nil"/>
              <w:bottom w:val="nil"/>
              <w:right w:val="nil"/>
            </w:tcBorders>
            <w:shd w:val="clear" w:color="auto" w:fill="FFFFFF"/>
            <w:vAlign w:val="bottom"/>
          </w:tcPr>
          <w:p w14:paraId="006E84F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500,000</w:t>
            </w:r>
          </w:p>
        </w:tc>
        <w:tc>
          <w:tcPr>
            <w:tcW w:w="964" w:type="dxa"/>
            <w:tcBorders>
              <w:top w:val="nil"/>
              <w:left w:val="nil"/>
              <w:bottom w:val="nil"/>
              <w:right w:val="nil"/>
            </w:tcBorders>
            <w:shd w:val="clear" w:color="auto" w:fill="FFFFFF"/>
            <w:vAlign w:val="bottom"/>
          </w:tcPr>
          <w:p w14:paraId="2AF0DDF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250C1201" w14:textId="77777777" w:rsidTr="00A505CE">
        <w:tc>
          <w:tcPr>
            <w:tcW w:w="7124" w:type="dxa"/>
            <w:tcBorders>
              <w:top w:val="nil"/>
              <w:left w:val="nil"/>
              <w:bottom w:val="nil"/>
              <w:right w:val="nil"/>
            </w:tcBorders>
            <w:shd w:val="clear" w:color="auto" w:fill="FFFFFF"/>
            <w:vAlign w:val="bottom"/>
          </w:tcPr>
          <w:p w14:paraId="4D04925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Transfers from departmental services</w:t>
            </w:r>
          </w:p>
        </w:tc>
        <w:tc>
          <w:tcPr>
            <w:tcW w:w="964" w:type="dxa"/>
            <w:tcBorders>
              <w:top w:val="nil"/>
              <w:left w:val="nil"/>
              <w:bottom w:val="nil"/>
              <w:right w:val="nil"/>
            </w:tcBorders>
            <w:shd w:val="clear" w:color="auto" w:fill="FFFFFF"/>
            <w:vAlign w:val="bottom"/>
          </w:tcPr>
          <w:p w14:paraId="436FD60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34726EA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(92,378)</w:t>
            </w:r>
          </w:p>
        </w:tc>
      </w:tr>
      <w:tr w:rsidR="002E375F" w14:paraId="7268B7CF" w14:textId="77777777" w:rsidTr="00A505CE">
        <w:tc>
          <w:tcPr>
            <w:tcW w:w="7124" w:type="dxa"/>
            <w:tcBorders>
              <w:top w:val="nil"/>
              <w:left w:val="nil"/>
              <w:bottom w:val="nil"/>
              <w:right w:val="nil"/>
            </w:tcBorders>
            <w:shd w:val="clear" w:color="auto" w:fill="FFFFFF"/>
            <w:vAlign w:val="bottom"/>
          </w:tcPr>
          <w:p w14:paraId="5B1B643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Additional appropriation revenue for unforeseen expenditure</w:t>
            </w:r>
          </w:p>
        </w:tc>
        <w:tc>
          <w:tcPr>
            <w:tcW w:w="964" w:type="dxa"/>
            <w:tcBorders>
              <w:top w:val="nil"/>
              <w:left w:val="nil"/>
              <w:bottom w:val="single" w:sz="2" w:space="0" w:color="auto"/>
              <w:right w:val="nil"/>
            </w:tcBorders>
            <w:shd w:val="clear" w:color="auto" w:fill="FFFFFF"/>
            <w:vAlign w:val="bottom"/>
          </w:tcPr>
          <w:p w14:paraId="44E0602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115,468</w:t>
            </w:r>
          </w:p>
        </w:tc>
        <w:tc>
          <w:tcPr>
            <w:tcW w:w="964" w:type="dxa"/>
            <w:tcBorders>
              <w:top w:val="nil"/>
              <w:left w:val="nil"/>
              <w:bottom w:val="single" w:sz="2" w:space="0" w:color="auto"/>
              <w:right w:val="nil"/>
            </w:tcBorders>
            <w:shd w:val="clear" w:color="auto" w:fill="FFFFFF"/>
            <w:vAlign w:val="bottom"/>
          </w:tcPr>
          <w:p w14:paraId="6ED4BD22"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0A5FD1C1" w14:textId="77777777" w:rsidTr="00A505CE">
        <w:tc>
          <w:tcPr>
            <w:tcW w:w="7124" w:type="dxa"/>
            <w:tcBorders>
              <w:top w:val="nil"/>
              <w:left w:val="nil"/>
              <w:bottom w:val="nil"/>
              <w:right w:val="nil"/>
            </w:tcBorders>
            <w:shd w:val="clear" w:color="auto" w:fill="FFFFFF"/>
            <w:vAlign w:val="bottom"/>
          </w:tcPr>
          <w:p w14:paraId="3660872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Appropriation Receipts (cash)</w:t>
            </w:r>
          </w:p>
        </w:tc>
        <w:tc>
          <w:tcPr>
            <w:tcW w:w="964" w:type="dxa"/>
            <w:tcBorders>
              <w:top w:val="nil"/>
              <w:left w:val="nil"/>
              <w:bottom w:val="nil"/>
              <w:right w:val="nil"/>
            </w:tcBorders>
            <w:shd w:val="clear" w:color="auto" w:fill="FFFFFF"/>
            <w:vAlign w:val="bottom"/>
          </w:tcPr>
          <w:p w14:paraId="302D758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2,142,690</w:t>
            </w:r>
          </w:p>
        </w:tc>
        <w:tc>
          <w:tcPr>
            <w:tcW w:w="964" w:type="dxa"/>
            <w:tcBorders>
              <w:top w:val="nil"/>
              <w:left w:val="nil"/>
              <w:bottom w:val="nil"/>
              <w:right w:val="nil"/>
            </w:tcBorders>
            <w:shd w:val="clear" w:color="auto" w:fill="FFFFFF"/>
            <w:vAlign w:val="bottom"/>
          </w:tcPr>
          <w:p w14:paraId="5B0282C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1,514,604</w:t>
            </w:r>
          </w:p>
        </w:tc>
      </w:tr>
      <w:tr w:rsidR="002E375F" w14:paraId="28920A17" w14:textId="77777777" w:rsidTr="00A505CE">
        <w:tc>
          <w:tcPr>
            <w:tcW w:w="7124" w:type="dxa"/>
            <w:tcBorders>
              <w:top w:val="nil"/>
              <w:left w:val="nil"/>
              <w:bottom w:val="nil"/>
              <w:right w:val="nil"/>
            </w:tcBorders>
            <w:shd w:val="clear" w:color="auto" w:fill="FFFFFF"/>
            <w:vAlign w:val="bottom"/>
          </w:tcPr>
          <w:p w14:paraId="18FE9B3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Plus: Closing balance of appropriation revenue receivable</w:t>
            </w:r>
          </w:p>
        </w:tc>
        <w:tc>
          <w:tcPr>
            <w:tcW w:w="964" w:type="dxa"/>
            <w:tcBorders>
              <w:top w:val="nil"/>
              <w:left w:val="nil"/>
              <w:bottom w:val="nil"/>
              <w:right w:val="nil"/>
            </w:tcBorders>
            <w:shd w:val="clear" w:color="auto" w:fill="FFFFFF"/>
            <w:vAlign w:val="bottom"/>
          </w:tcPr>
          <w:p w14:paraId="7A94D54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14,801</w:t>
            </w:r>
          </w:p>
        </w:tc>
        <w:tc>
          <w:tcPr>
            <w:tcW w:w="964" w:type="dxa"/>
            <w:tcBorders>
              <w:top w:val="nil"/>
              <w:left w:val="nil"/>
              <w:bottom w:val="nil"/>
              <w:right w:val="nil"/>
            </w:tcBorders>
            <w:shd w:val="clear" w:color="auto" w:fill="FFFFFF"/>
            <w:vAlign w:val="bottom"/>
          </w:tcPr>
          <w:p w14:paraId="3AC8131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1BA506CD" w14:textId="77777777" w:rsidTr="00A505CE">
        <w:tc>
          <w:tcPr>
            <w:tcW w:w="7124" w:type="dxa"/>
            <w:tcBorders>
              <w:top w:val="nil"/>
              <w:left w:val="nil"/>
              <w:bottom w:val="nil"/>
              <w:right w:val="nil"/>
            </w:tcBorders>
            <w:shd w:val="clear" w:color="auto" w:fill="FFFFFF"/>
            <w:vAlign w:val="bottom"/>
          </w:tcPr>
          <w:p w14:paraId="0599E3E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Plus: Opening balance of appropriation revenue payable</w:t>
            </w:r>
          </w:p>
        </w:tc>
        <w:tc>
          <w:tcPr>
            <w:tcW w:w="964" w:type="dxa"/>
            <w:tcBorders>
              <w:top w:val="nil"/>
              <w:left w:val="nil"/>
              <w:bottom w:val="nil"/>
              <w:right w:val="nil"/>
            </w:tcBorders>
            <w:shd w:val="clear" w:color="auto" w:fill="FFFFFF"/>
            <w:vAlign w:val="bottom"/>
          </w:tcPr>
          <w:p w14:paraId="7BC9F78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155,617</w:t>
            </w:r>
          </w:p>
        </w:tc>
        <w:tc>
          <w:tcPr>
            <w:tcW w:w="964" w:type="dxa"/>
            <w:tcBorders>
              <w:top w:val="nil"/>
              <w:left w:val="nil"/>
              <w:bottom w:val="nil"/>
              <w:right w:val="nil"/>
            </w:tcBorders>
            <w:shd w:val="clear" w:color="auto" w:fill="FFFFFF"/>
            <w:vAlign w:val="bottom"/>
          </w:tcPr>
          <w:p w14:paraId="0E2AD11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64,892</w:t>
            </w:r>
          </w:p>
        </w:tc>
      </w:tr>
      <w:tr w:rsidR="002E375F" w14:paraId="3FAE9B0B" w14:textId="77777777" w:rsidTr="00A505CE">
        <w:tc>
          <w:tcPr>
            <w:tcW w:w="7124" w:type="dxa"/>
            <w:tcBorders>
              <w:top w:val="nil"/>
              <w:left w:val="nil"/>
              <w:bottom w:val="nil"/>
              <w:right w:val="nil"/>
            </w:tcBorders>
            <w:shd w:val="clear" w:color="auto" w:fill="FFFFFF"/>
            <w:vAlign w:val="bottom"/>
          </w:tcPr>
          <w:p w14:paraId="2502A1F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Less: Closing balance of appropriation revenue payable</w:t>
            </w:r>
          </w:p>
        </w:tc>
        <w:tc>
          <w:tcPr>
            <w:tcW w:w="964" w:type="dxa"/>
            <w:tcBorders>
              <w:top w:val="nil"/>
              <w:left w:val="nil"/>
              <w:bottom w:val="single" w:sz="2" w:space="0" w:color="auto"/>
              <w:right w:val="nil"/>
            </w:tcBorders>
            <w:shd w:val="clear" w:color="auto" w:fill="FFFFFF"/>
            <w:vAlign w:val="bottom"/>
          </w:tcPr>
          <w:p w14:paraId="710C631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034315F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(155,617)</w:t>
            </w:r>
          </w:p>
        </w:tc>
      </w:tr>
      <w:tr w:rsidR="002E375F" w14:paraId="33270E8C" w14:textId="77777777" w:rsidTr="00A505CE">
        <w:tc>
          <w:tcPr>
            <w:tcW w:w="7124" w:type="dxa"/>
            <w:tcBorders>
              <w:top w:val="nil"/>
              <w:left w:val="nil"/>
              <w:bottom w:val="nil"/>
              <w:right w:val="nil"/>
            </w:tcBorders>
            <w:shd w:val="clear" w:color="auto" w:fill="FFFFFF"/>
            <w:vAlign w:val="bottom"/>
          </w:tcPr>
          <w:p w14:paraId="287EC79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Net Appropriation Revenue</w:t>
            </w:r>
          </w:p>
        </w:tc>
        <w:tc>
          <w:tcPr>
            <w:tcW w:w="964" w:type="dxa"/>
            <w:tcBorders>
              <w:top w:val="nil"/>
              <w:left w:val="nil"/>
              <w:bottom w:val="nil"/>
              <w:right w:val="nil"/>
            </w:tcBorders>
            <w:shd w:val="clear" w:color="auto" w:fill="FFFFFF"/>
            <w:vAlign w:val="bottom"/>
          </w:tcPr>
          <w:p w14:paraId="22BAFCF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2,313,108</w:t>
            </w:r>
          </w:p>
        </w:tc>
        <w:tc>
          <w:tcPr>
            <w:tcW w:w="964" w:type="dxa"/>
            <w:tcBorders>
              <w:top w:val="nil"/>
              <w:left w:val="nil"/>
              <w:bottom w:val="nil"/>
              <w:right w:val="nil"/>
            </w:tcBorders>
            <w:shd w:val="clear" w:color="auto" w:fill="FFFFFF"/>
            <w:vAlign w:val="bottom"/>
          </w:tcPr>
          <w:p w14:paraId="7A8749C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1,423,879</w:t>
            </w:r>
          </w:p>
        </w:tc>
      </w:tr>
      <w:tr w:rsidR="002E375F" w14:paraId="2EBB78FC" w14:textId="77777777" w:rsidTr="00A505CE">
        <w:tc>
          <w:tcPr>
            <w:tcW w:w="7124" w:type="dxa"/>
            <w:tcBorders>
              <w:top w:val="nil"/>
              <w:left w:val="nil"/>
              <w:bottom w:val="nil"/>
              <w:right w:val="nil"/>
            </w:tcBorders>
            <w:shd w:val="clear" w:color="auto" w:fill="FFFFFF"/>
            <w:vAlign w:val="bottom"/>
          </w:tcPr>
          <w:p w14:paraId="7C65D90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Plus: Deferred appropriation refundable to Consolidated Fund (expense)</w:t>
            </w:r>
          </w:p>
        </w:tc>
        <w:tc>
          <w:tcPr>
            <w:tcW w:w="964" w:type="dxa"/>
            <w:tcBorders>
              <w:top w:val="nil"/>
              <w:left w:val="nil"/>
              <w:bottom w:val="single" w:sz="2" w:space="0" w:color="auto"/>
              <w:right w:val="nil"/>
            </w:tcBorders>
            <w:shd w:val="clear" w:color="auto" w:fill="FFFFFF"/>
            <w:vAlign w:val="bottom"/>
          </w:tcPr>
          <w:p w14:paraId="6A43453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31C35C5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155,617</w:t>
            </w:r>
          </w:p>
        </w:tc>
      </w:tr>
      <w:tr w:rsidR="002E375F" w14:paraId="6492C70C" w14:textId="77777777" w:rsidTr="00A505CE">
        <w:tc>
          <w:tcPr>
            <w:tcW w:w="7124" w:type="dxa"/>
            <w:tcBorders>
              <w:top w:val="nil"/>
              <w:left w:val="nil"/>
              <w:bottom w:val="nil"/>
              <w:right w:val="nil"/>
            </w:tcBorders>
            <w:shd w:val="clear" w:color="auto" w:fill="FFFFFF"/>
            <w:vAlign w:val="bottom"/>
          </w:tcPr>
          <w:p w14:paraId="691D388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Administered Appropriation Revenue recognised in Income Statement*</w:t>
            </w:r>
          </w:p>
        </w:tc>
        <w:tc>
          <w:tcPr>
            <w:tcW w:w="964" w:type="dxa"/>
            <w:tcBorders>
              <w:top w:val="nil"/>
              <w:left w:val="nil"/>
              <w:bottom w:val="single" w:sz="2" w:space="0" w:color="auto"/>
              <w:right w:val="nil"/>
            </w:tcBorders>
            <w:shd w:val="clear" w:color="auto" w:fill="FFFFFF"/>
            <w:vAlign w:val="bottom"/>
          </w:tcPr>
          <w:p w14:paraId="210EA33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2,313,108</w:t>
            </w:r>
          </w:p>
        </w:tc>
        <w:tc>
          <w:tcPr>
            <w:tcW w:w="964" w:type="dxa"/>
            <w:tcBorders>
              <w:top w:val="nil"/>
              <w:left w:val="nil"/>
              <w:bottom w:val="single" w:sz="2" w:space="0" w:color="auto"/>
              <w:right w:val="nil"/>
            </w:tcBorders>
            <w:shd w:val="clear" w:color="auto" w:fill="FFFFFF"/>
            <w:vAlign w:val="bottom"/>
          </w:tcPr>
          <w:p w14:paraId="4997EE0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1,579,496</w:t>
            </w:r>
          </w:p>
        </w:tc>
      </w:tr>
    </w:tbl>
    <w:p w14:paraId="6DEB0F04" w14:textId="77777777" w:rsidR="002E375F" w:rsidRDefault="00EB2569">
      <w:pPr>
        <w:autoSpaceDE w:val="0"/>
        <w:autoSpaceDN w:val="0"/>
        <w:adjustRightInd w:val="0"/>
        <w:spacing w:after="141" w:line="240" w:lineRule="auto"/>
        <w:jc w:val="both"/>
        <w:rPr>
          <w:rFonts w:ascii="Times New Roman" w:hAnsi="Times New Roman" w:cs="Times New Roman"/>
          <w:sz w:val="24"/>
          <w:szCs w:val="24"/>
        </w:rPr>
      </w:pPr>
      <w:r>
        <w:rPr>
          <w:rFonts w:ascii="Arial" w:hAnsi="Arial" w:cs="Arial"/>
          <w:sz w:val="18"/>
          <w:szCs w:val="18"/>
        </w:rPr>
        <w:t>* This appropriation revenue is provided in cash via Queensland Treasury and funds activities and expenses that the department administers on behalf of the State Government (refer to Note A1-7</w:t>
      </w:r>
      <w:r w:rsidR="006626B2">
        <w:rPr>
          <w:rFonts w:ascii="Arial" w:hAnsi="Arial" w:cs="Arial"/>
          <w:sz w:val="18"/>
          <w:szCs w:val="18"/>
        </w:rPr>
        <w:t>)</w:t>
      </w:r>
      <w:r>
        <w:rPr>
          <w:rFonts w:ascii="Arial" w:hAnsi="Arial" w:cs="Arial"/>
          <w:sz w:val="18"/>
          <w:szCs w:val="18"/>
        </w:rPr>
        <w:t>.</w:t>
      </w:r>
    </w:p>
    <w:p w14:paraId="6DAC0FBA" w14:textId="77777777" w:rsidR="002E375F" w:rsidRDefault="00A505CE" w:rsidP="00A505CE">
      <w:pPr>
        <w:pStyle w:val="Heading3"/>
        <w:rPr>
          <w:rFonts w:ascii="Times New Roman" w:hAnsi="Times New Roman" w:cs="Times New Roman"/>
        </w:rPr>
      </w:pPr>
      <w:r>
        <w:t>G1-2 Grants and Other Contributions</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09EE03BF" w14:textId="77777777" w:rsidTr="00A505CE">
        <w:tc>
          <w:tcPr>
            <w:tcW w:w="7124" w:type="dxa"/>
            <w:tcBorders>
              <w:top w:val="nil"/>
              <w:left w:val="nil"/>
              <w:bottom w:val="nil"/>
              <w:right w:val="nil"/>
            </w:tcBorders>
            <w:shd w:val="clear" w:color="auto" w:fill="FFFFFF"/>
            <w:vAlign w:val="bottom"/>
          </w:tcPr>
          <w:p w14:paraId="7CE43566" w14:textId="77777777" w:rsidR="002E375F" w:rsidRDefault="002E375F" w:rsidP="00943EF1">
            <w:pPr>
              <w:pStyle w:val="Heading3"/>
            </w:pPr>
          </w:p>
        </w:tc>
        <w:tc>
          <w:tcPr>
            <w:tcW w:w="964" w:type="dxa"/>
            <w:tcBorders>
              <w:top w:val="nil"/>
              <w:left w:val="nil"/>
              <w:bottom w:val="nil"/>
              <w:right w:val="nil"/>
            </w:tcBorders>
            <w:shd w:val="clear" w:color="auto" w:fill="FFFFFF"/>
            <w:vAlign w:val="bottom"/>
          </w:tcPr>
          <w:p w14:paraId="59E17A5F"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3A207324" w14:textId="77777777" w:rsidR="002E375F" w:rsidRDefault="00EB2569" w:rsidP="00862FE1">
            <w:pPr>
              <w:pStyle w:val="Heading3"/>
              <w:jc w:val="right"/>
            </w:pPr>
            <w:r>
              <w:rPr>
                <w:rFonts w:ascii="Arial" w:hAnsi="Arial" w:cs="Arial"/>
                <w:sz w:val="18"/>
                <w:szCs w:val="18"/>
              </w:rPr>
              <w:t>2019</w:t>
            </w:r>
            <w:r>
              <w:rPr>
                <w:rFonts w:ascii="Arial" w:hAnsi="Arial" w:cs="Arial"/>
                <w:sz w:val="18"/>
                <w:szCs w:val="18"/>
              </w:rPr>
              <w:br/>
              <w:t>$'000</w:t>
            </w:r>
          </w:p>
        </w:tc>
      </w:tr>
      <w:tr w:rsidR="002E375F" w14:paraId="5F70B28E" w14:textId="77777777" w:rsidTr="00A505CE">
        <w:tc>
          <w:tcPr>
            <w:tcW w:w="9052" w:type="dxa"/>
            <w:gridSpan w:val="3"/>
            <w:tcBorders>
              <w:top w:val="nil"/>
              <w:left w:val="nil"/>
              <w:bottom w:val="nil"/>
              <w:right w:val="nil"/>
            </w:tcBorders>
            <w:shd w:val="clear" w:color="auto" w:fill="FFFFFF"/>
            <w:vAlign w:val="bottom"/>
          </w:tcPr>
          <w:p w14:paraId="0B127DC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Other grants and contributions</w:t>
            </w:r>
          </w:p>
        </w:tc>
      </w:tr>
      <w:tr w:rsidR="002E375F" w14:paraId="6E9DD354" w14:textId="77777777" w:rsidTr="00A505CE">
        <w:tc>
          <w:tcPr>
            <w:tcW w:w="7124" w:type="dxa"/>
            <w:tcBorders>
              <w:top w:val="nil"/>
              <w:left w:val="nil"/>
              <w:bottom w:val="nil"/>
              <w:right w:val="nil"/>
            </w:tcBorders>
            <w:shd w:val="clear" w:color="auto" w:fill="FFFFFF"/>
            <w:vAlign w:val="bottom"/>
          </w:tcPr>
          <w:p w14:paraId="017EDB5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Grants from Queensland Reconstruction Authority</w:t>
            </w:r>
          </w:p>
        </w:tc>
        <w:tc>
          <w:tcPr>
            <w:tcW w:w="964" w:type="dxa"/>
            <w:tcBorders>
              <w:top w:val="nil"/>
              <w:left w:val="nil"/>
              <w:bottom w:val="single" w:sz="2" w:space="0" w:color="auto"/>
              <w:right w:val="nil"/>
            </w:tcBorders>
            <w:shd w:val="clear" w:color="auto" w:fill="FFFFFF"/>
            <w:vAlign w:val="bottom"/>
          </w:tcPr>
          <w:p w14:paraId="7AB04AD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71,949</w:t>
            </w:r>
          </w:p>
        </w:tc>
        <w:tc>
          <w:tcPr>
            <w:tcW w:w="964" w:type="dxa"/>
            <w:tcBorders>
              <w:top w:val="nil"/>
              <w:left w:val="nil"/>
              <w:bottom w:val="single" w:sz="2" w:space="0" w:color="auto"/>
              <w:right w:val="nil"/>
            </w:tcBorders>
            <w:shd w:val="clear" w:color="auto" w:fill="FFFFFF"/>
            <w:vAlign w:val="bottom"/>
          </w:tcPr>
          <w:p w14:paraId="58346F4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8,260</w:t>
            </w:r>
          </w:p>
        </w:tc>
      </w:tr>
      <w:tr w:rsidR="002E375F" w14:paraId="4E87EE05" w14:textId="77777777" w:rsidTr="00A505CE">
        <w:tc>
          <w:tcPr>
            <w:tcW w:w="7124" w:type="dxa"/>
            <w:tcBorders>
              <w:top w:val="nil"/>
              <w:left w:val="nil"/>
              <w:bottom w:val="nil"/>
              <w:right w:val="nil"/>
            </w:tcBorders>
            <w:shd w:val="clear" w:color="auto" w:fill="FFFFFF"/>
            <w:vAlign w:val="bottom"/>
          </w:tcPr>
          <w:p w14:paraId="37C123D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0789DA4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71,949</w:t>
            </w:r>
          </w:p>
        </w:tc>
        <w:tc>
          <w:tcPr>
            <w:tcW w:w="964" w:type="dxa"/>
            <w:tcBorders>
              <w:top w:val="nil"/>
              <w:left w:val="nil"/>
              <w:bottom w:val="single" w:sz="2" w:space="0" w:color="auto"/>
              <w:right w:val="nil"/>
            </w:tcBorders>
            <w:shd w:val="clear" w:color="auto" w:fill="FFFFFF"/>
            <w:vAlign w:val="bottom"/>
          </w:tcPr>
          <w:p w14:paraId="4E87E5C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8,260</w:t>
            </w:r>
          </w:p>
        </w:tc>
      </w:tr>
    </w:tbl>
    <w:p w14:paraId="4FC31C05"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0B16BC5E"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02451FBE"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30DF7B57"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088B7EBF"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6A8A0A19" w14:textId="77777777" w:rsidR="002E375F" w:rsidRDefault="00A505CE" w:rsidP="00A505CE">
      <w:pPr>
        <w:pStyle w:val="Heading3"/>
      </w:pPr>
      <w:r>
        <w:t>G1 Administered (continued)</w:t>
      </w:r>
    </w:p>
    <w:p w14:paraId="4CB2616F" w14:textId="77777777" w:rsidR="00A505CE" w:rsidRDefault="00A505CE" w:rsidP="00A505CE">
      <w:pPr>
        <w:pStyle w:val="Heading3"/>
        <w:rPr>
          <w:rFonts w:ascii="Times New Roman" w:hAnsi="Times New Roman" w:cs="Times New Roman"/>
        </w:rPr>
      </w:pPr>
      <w:r>
        <w:t>G1-3 Supplies and Services</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35FEA8E8" w14:textId="77777777" w:rsidTr="00A505CE">
        <w:tc>
          <w:tcPr>
            <w:tcW w:w="7124" w:type="dxa"/>
            <w:tcBorders>
              <w:top w:val="nil"/>
              <w:left w:val="nil"/>
              <w:bottom w:val="nil"/>
              <w:right w:val="nil"/>
            </w:tcBorders>
            <w:shd w:val="clear" w:color="auto" w:fill="FFFFFF"/>
            <w:vAlign w:val="bottom"/>
          </w:tcPr>
          <w:p w14:paraId="7250BEEE" w14:textId="77777777" w:rsidR="002E375F" w:rsidRDefault="002E375F" w:rsidP="00943EF1">
            <w:pPr>
              <w:pStyle w:val="Heading3"/>
            </w:pPr>
          </w:p>
        </w:tc>
        <w:tc>
          <w:tcPr>
            <w:tcW w:w="964" w:type="dxa"/>
            <w:tcBorders>
              <w:top w:val="nil"/>
              <w:left w:val="nil"/>
              <w:bottom w:val="nil"/>
              <w:right w:val="nil"/>
            </w:tcBorders>
            <w:shd w:val="clear" w:color="auto" w:fill="FFFFFF"/>
            <w:vAlign w:val="bottom"/>
          </w:tcPr>
          <w:p w14:paraId="1EB9A7F9"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536DCA81" w14:textId="77777777" w:rsidR="002E375F" w:rsidRDefault="00EB2569" w:rsidP="00862FE1">
            <w:pPr>
              <w:pStyle w:val="Heading3"/>
              <w:jc w:val="right"/>
            </w:pPr>
            <w:r>
              <w:rPr>
                <w:rFonts w:ascii="Arial" w:hAnsi="Arial" w:cs="Arial"/>
                <w:sz w:val="18"/>
                <w:szCs w:val="18"/>
              </w:rPr>
              <w:t>2019</w:t>
            </w:r>
            <w:r>
              <w:rPr>
                <w:rFonts w:ascii="Arial" w:hAnsi="Arial" w:cs="Arial"/>
                <w:sz w:val="18"/>
                <w:szCs w:val="18"/>
              </w:rPr>
              <w:br/>
              <w:t>$'000</w:t>
            </w:r>
          </w:p>
        </w:tc>
      </w:tr>
      <w:tr w:rsidR="002E375F" w14:paraId="4ED099D6" w14:textId="77777777" w:rsidTr="00A505CE">
        <w:tc>
          <w:tcPr>
            <w:tcW w:w="7124" w:type="dxa"/>
            <w:tcBorders>
              <w:top w:val="nil"/>
              <w:left w:val="nil"/>
              <w:bottom w:val="nil"/>
              <w:right w:val="nil"/>
            </w:tcBorders>
            <w:shd w:val="clear" w:color="auto" w:fill="FFFFFF"/>
            <w:vAlign w:val="bottom"/>
          </w:tcPr>
          <w:p w14:paraId="05A2914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Service procurement</w:t>
            </w:r>
          </w:p>
        </w:tc>
        <w:tc>
          <w:tcPr>
            <w:tcW w:w="964" w:type="dxa"/>
            <w:tcBorders>
              <w:top w:val="nil"/>
              <w:left w:val="nil"/>
              <w:bottom w:val="nil"/>
              <w:right w:val="nil"/>
            </w:tcBorders>
            <w:shd w:val="clear" w:color="auto" w:fill="FFFFFF"/>
            <w:vAlign w:val="bottom"/>
          </w:tcPr>
          <w:p w14:paraId="48ACA8E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111</w:t>
            </w:r>
          </w:p>
        </w:tc>
        <w:tc>
          <w:tcPr>
            <w:tcW w:w="964" w:type="dxa"/>
            <w:tcBorders>
              <w:top w:val="nil"/>
              <w:left w:val="nil"/>
              <w:bottom w:val="nil"/>
              <w:right w:val="nil"/>
            </w:tcBorders>
            <w:shd w:val="clear" w:color="auto" w:fill="FFFFFF"/>
            <w:vAlign w:val="bottom"/>
          </w:tcPr>
          <w:p w14:paraId="22D7E09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319</w:t>
            </w:r>
          </w:p>
        </w:tc>
      </w:tr>
      <w:tr w:rsidR="002E375F" w14:paraId="05059654" w14:textId="77777777" w:rsidTr="00A505CE">
        <w:tc>
          <w:tcPr>
            <w:tcW w:w="7124" w:type="dxa"/>
            <w:tcBorders>
              <w:top w:val="nil"/>
              <w:left w:val="nil"/>
              <w:bottom w:val="nil"/>
              <w:right w:val="nil"/>
            </w:tcBorders>
            <w:shd w:val="clear" w:color="auto" w:fill="FFFFFF"/>
            <w:vAlign w:val="bottom"/>
          </w:tcPr>
          <w:p w14:paraId="33AA866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Professional and technical fees</w:t>
            </w:r>
          </w:p>
        </w:tc>
        <w:tc>
          <w:tcPr>
            <w:tcW w:w="964" w:type="dxa"/>
            <w:tcBorders>
              <w:top w:val="nil"/>
              <w:left w:val="nil"/>
              <w:bottom w:val="nil"/>
              <w:right w:val="nil"/>
            </w:tcBorders>
            <w:shd w:val="clear" w:color="auto" w:fill="FFFFFF"/>
            <w:vAlign w:val="bottom"/>
          </w:tcPr>
          <w:p w14:paraId="2FF3DBB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w:t>
            </w:r>
          </w:p>
        </w:tc>
        <w:tc>
          <w:tcPr>
            <w:tcW w:w="964" w:type="dxa"/>
            <w:tcBorders>
              <w:top w:val="nil"/>
              <w:left w:val="nil"/>
              <w:bottom w:val="nil"/>
              <w:right w:val="nil"/>
            </w:tcBorders>
            <w:shd w:val="clear" w:color="auto" w:fill="FFFFFF"/>
            <w:vAlign w:val="bottom"/>
          </w:tcPr>
          <w:p w14:paraId="3940C65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3AE164A2" w14:textId="77777777" w:rsidTr="00A505CE">
        <w:tc>
          <w:tcPr>
            <w:tcW w:w="7124" w:type="dxa"/>
            <w:tcBorders>
              <w:top w:val="nil"/>
              <w:left w:val="nil"/>
              <w:bottom w:val="nil"/>
              <w:right w:val="nil"/>
            </w:tcBorders>
            <w:shd w:val="clear" w:color="auto" w:fill="FFFFFF"/>
            <w:vAlign w:val="bottom"/>
          </w:tcPr>
          <w:p w14:paraId="4264DA2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Disaster recovery</w:t>
            </w:r>
          </w:p>
        </w:tc>
        <w:tc>
          <w:tcPr>
            <w:tcW w:w="964" w:type="dxa"/>
            <w:tcBorders>
              <w:top w:val="nil"/>
              <w:left w:val="nil"/>
              <w:bottom w:val="single" w:sz="2" w:space="0" w:color="auto"/>
              <w:right w:val="nil"/>
            </w:tcBorders>
            <w:shd w:val="clear" w:color="auto" w:fill="FFFFFF"/>
            <w:vAlign w:val="bottom"/>
          </w:tcPr>
          <w:p w14:paraId="3210CDA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8,490</w:t>
            </w:r>
          </w:p>
        </w:tc>
        <w:tc>
          <w:tcPr>
            <w:tcW w:w="964" w:type="dxa"/>
            <w:tcBorders>
              <w:top w:val="nil"/>
              <w:left w:val="nil"/>
              <w:bottom w:val="single" w:sz="2" w:space="0" w:color="auto"/>
              <w:right w:val="nil"/>
            </w:tcBorders>
            <w:shd w:val="clear" w:color="auto" w:fill="FFFFFF"/>
            <w:vAlign w:val="bottom"/>
          </w:tcPr>
          <w:p w14:paraId="49AE32D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24,648</w:t>
            </w:r>
          </w:p>
        </w:tc>
      </w:tr>
      <w:tr w:rsidR="002E375F" w14:paraId="07BD6EA3" w14:textId="77777777" w:rsidTr="00A505CE">
        <w:tc>
          <w:tcPr>
            <w:tcW w:w="7124" w:type="dxa"/>
            <w:tcBorders>
              <w:top w:val="nil"/>
              <w:left w:val="nil"/>
              <w:bottom w:val="nil"/>
              <w:right w:val="nil"/>
            </w:tcBorders>
            <w:shd w:val="clear" w:color="auto" w:fill="FFFFFF"/>
            <w:vAlign w:val="bottom"/>
          </w:tcPr>
          <w:p w14:paraId="73DE5E5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34D6E28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8,612</w:t>
            </w:r>
          </w:p>
        </w:tc>
        <w:tc>
          <w:tcPr>
            <w:tcW w:w="964" w:type="dxa"/>
            <w:tcBorders>
              <w:top w:val="nil"/>
              <w:left w:val="nil"/>
              <w:bottom w:val="single" w:sz="2" w:space="0" w:color="auto"/>
              <w:right w:val="nil"/>
            </w:tcBorders>
            <w:shd w:val="clear" w:color="auto" w:fill="FFFFFF"/>
            <w:vAlign w:val="bottom"/>
          </w:tcPr>
          <w:p w14:paraId="32BC956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24,967</w:t>
            </w:r>
          </w:p>
        </w:tc>
      </w:tr>
    </w:tbl>
    <w:p w14:paraId="094A163F" w14:textId="77777777" w:rsidR="00255F08" w:rsidRPr="00255F08" w:rsidRDefault="00255F08" w:rsidP="00255F08">
      <w:pPr>
        <w:pStyle w:val="Heading3"/>
      </w:pPr>
      <w:r w:rsidRPr="00255F08">
        <w:t xml:space="preserve">G1-4 </w:t>
      </w:r>
      <w:r w:rsidRPr="00255F08">
        <w:tab/>
        <w:t>Grants and Subsidies</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23CFDFDC" w14:textId="77777777" w:rsidTr="00A505CE">
        <w:tc>
          <w:tcPr>
            <w:tcW w:w="7124" w:type="dxa"/>
            <w:tcBorders>
              <w:top w:val="nil"/>
              <w:left w:val="nil"/>
              <w:bottom w:val="nil"/>
              <w:right w:val="nil"/>
            </w:tcBorders>
            <w:shd w:val="clear" w:color="auto" w:fill="FFFFFF"/>
            <w:vAlign w:val="bottom"/>
          </w:tcPr>
          <w:p w14:paraId="7A4416BF" w14:textId="77777777" w:rsidR="002E375F" w:rsidRDefault="002E375F" w:rsidP="00943EF1">
            <w:pPr>
              <w:pStyle w:val="Heading3"/>
            </w:pPr>
          </w:p>
        </w:tc>
        <w:tc>
          <w:tcPr>
            <w:tcW w:w="964" w:type="dxa"/>
            <w:tcBorders>
              <w:top w:val="nil"/>
              <w:left w:val="nil"/>
              <w:bottom w:val="nil"/>
              <w:right w:val="nil"/>
            </w:tcBorders>
            <w:shd w:val="clear" w:color="auto" w:fill="FFFFFF"/>
            <w:vAlign w:val="bottom"/>
          </w:tcPr>
          <w:p w14:paraId="21298F81"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527313EA" w14:textId="77777777" w:rsidR="002E375F" w:rsidRDefault="00EB2569" w:rsidP="00862FE1">
            <w:pPr>
              <w:pStyle w:val="Heading3"/>
              <w:jc w:val="right"/>
            </w:pPr>
            <w:r>
              <w:rPr>
                <w:rFonts w:ascii="Arial" w:hAnsi="Arial" w:cs="Arial"/>
                <w:sz w:val="18"/>
                <w:szCs w:val="18"/>
              </w:rPr>
              <w:t>2019</w:t>
            </w:r>
            <w:r>
              <w:rPr>
                <w:rFonts w:ascii="Arial" w:hAnsi="Arial" w:cs="Arial"/>
                <w:sz w:val="18"/>
                <w:szCs w:val="18"/>
              </w:rPr>
              <w:br/>
              <w:t>$'000</w:t>
            </w:r>
          </w:p>
        </w:tc>
      </w:tr>
      <w:tr w:rsidR="002E375F" w14:paraId="518A41DC" w14:textId="77777777" w:rsidTr="00A505CE">
        <w:tc>
          <w:tcPr>
            <w:tcW w:w="7124" w:type="dxa"/>
            <w:tcBorders>
              <w:top w:val="nil"/>
              <w:left w:val="nil"/>
              <w:bottom w:val="nil"/>
              <w:right w:val="nil"/>
            </w:tcBorders>
            <w:shd w:val="clear" w:color="auto" w:fill="FFFFFF"/>
            <w:vAlign w:val="bottom"/>
          </w:tcPr>
          <w:p w14:paraId="78CBCB5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Disaster Recovery - Personal hardship assistance scheme</w:t>
            </w:r>
          </w:p>
        </w:tc>
        <w:tc>
          <w:tcPr>
            <w:tcW w:w="964" w:type="dxa"/>
            <w:tcBorders>
              <w:top w:val="nil"/>
              <w:left w:val="nil"/>
              <w:bottom w:val="nil"/>
              <w:right w:val="nil"/>
            </w:tcBorders>
            <w:shd w:val="clear" w:color="auto" w:fill="FFFFFF"/>
            <w:vAlign w:val="bottom"/>
          </w:tcPr>
          <w:p w14:paraId="3D43DEC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3,414</w:t>
            </w:r>
          </w:p>
        </w:tc>
        <w:tc>
          <w:tcPr>
            <w:tcW w:w="964" w:type="dxa"/>
            <w:tcBorders>
              <w:top w:val="nil"/>
              <w:left w:val="nil"/>
              <w:bottom w:val="nil"/>
              <w:right w:val="nil"/>
            </w:tcBorders>
            <w:shd w:val="clear" w:color="auto" w:fill="FFFFFF"/>
            <w:vAlign w:val="bottom"/>
          </w:tcPr>
          <w:p w14:paraId="6FC772C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35,676</w:t>
            </w:r>
          </w:p>
        </w:tc>
      </w:tr>
      <w:tr w:rsidR="002E375F" w14:paraId="5AB2527F" w14:textId="77777777" w:rsidTr="00A505CE">
        <w:tc>
          <w:tcPr>
            <w:tcW w:w="7124" w:type="dxa"/>
            <w:tcBorders>
              <w:top w:val="nil"/>
              <w:left w:val="nil"/>
              <w:bottom w:val="nil"/>
              <w:right w:val="nil"/>
            </w:tcBorders>
            <w:shd w:val="clear" w:color="auto" w:fill="FFFFFF"/>
            <w:vAlign w:val="bottom"/>
          </w:tcPr>
          <w:p w14:paraId="400D768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Disaster Recovery - Grants</w:t>
            </w:r>
          </w:p>
        </w:tc>
        <w:tc>
          <w:tcPr>
            <w:tcW w:w="964" w:type="dxa"/>
            <w:tcBorders>
              <w:top w:val="nil"/>
              <w:left w:val="nil"/>
              <w:bottom w:val="nil"/>
              <w:right w:val="nil"/>
            </w:tcBorders>
            <w:shd w:val="clear" w:color="auto" w:fill="FFFFFF"/>
            <w:vAlign w:val="bottom"/>
          </w:tcPr>
          <w:p w14:paraId="5F89F30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11,694</w:t>
            </w:r>
          </w:p>
        </w:tc>
        <w:tc>
          <w:tcPr>
            <w:tcW w:w="964" w:type="dxa"/>
            <w:tcBorders>
              <w:top w:val="nil"/>
              <w:left w:val="nil"/>
              <w:bottom w:val="nil"/>
              <w:right w:val="nil"/>
            </w:tcBorders>
            <w:shd w:val="clear" w:color="auto" w:fill="FFFFFF"/>
            <w:vAlign w:val="bottom"/>
          </w:tcPr>
          <w:p w14:paraId="4A3E7F9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2,920</w:t>
            </w:r>
          </w:p>
        </w:tc>
      </w:tr>
      <w:tr w:rsidR="002E375F" w14:paraId="5B16B067" w14:textId="77777777" w:rsidTr="00A505CE">
        <w:tc>
          <w:tcPr>
            <w:tcW w:w="7124" w:type="dxa"/>
            <w:tcBorders>
              <w:top w:val="nil"/>
              <w:left w:val="nil"/>
              <w:bottom w:val="nil"/>
              <w:right w:val="nil"/>
            </w:tcBorders>
            <w:shd w:val="clear" w:color="auto" w:fill="FFFFFF"/>
            <w:vAlign w:val="bottom"/>
          </w:tcPr>
          <w:p w14:paraId="0613AF4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Grants - Electricity - COVID-19 - Small Medium Business Relief</w:t>
            </w:r>
          </w:p>
        </w:tc>
        <w:tc>
          <w:tcPr>
            <w:tcW w:w="964" w:type="dxa"/>
            <w:tcBorders>
              <w:top w:val="nil"/>
              <w:left w:val="nil"/>
              <w:bottom w:val="nil"/>
              <w:right w:val="nil"/>
            </w:tcBorders>
            <w:shd w:val="clear" w:color="auto" w:fill="FFFFFF"/>
            <w:vAlign w:val="bottom"/>
          </w:tcPr>
          <w:p w14:paraId="3C37E1C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85,920</w:t>
            </w:r>
          </w:p>
        </w:tc>
        <w:tc>
          <w:tcPr>
            <w:tcW w:w="964" w:type="dxa"/>
            <w:tcBorders>
              <w:top w:val="nil"/>
              <w:left w:val="nil"/>
              <w:bottom w:val="nil"/>
              <w:right w:val="nil"/>
            </w:tcBorders>
            <w:shd w:val="clear" w:color="auto" w:fill="FFFFFF"/>
            <w:vAlign w:val="bottom"/>
          </w:tcPr>
          <w:p w14:paraId="46DE595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59512787" w14:textId="77777777" w:rsidTr="00A505CE">
        <w:tc>
          <w:tcPr>
            <w:tcW w:w="7124" w:type="dxa"/>
            <w:tcBorders>
              <w:top w:val="nil"/>
              <w:left w:val="nil"/>
              <w:bottom w:val="nil"/>
              <w:right w:val="nil"/>
            </w:tcBorders>
            <w:shd w:val="clear" w:color="auto" w:fill="FFFFFF"/>
            <w:vAlign w:val="bottom"/>
          </w:tcPr>
          <w:p w14:paraId="107A500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Grants - National Disability Insurance Agency</w:t>
            </w:r>
          </w:p>
        </w:tc>
        <w:tc>
          <w:tcPr>
            <w:tcW w:w="964" w:type="dxa"/>
            <w:tcBorders>
              <w:top w:val="nil"/>
              <w:left w:val="nil"/>
              <w:bottom w:val="single" w:sz="2" w:space="0" w:color="auto"/>
              <w:right w:val="nil"/>
            </w:tcBorders>
            <w:shd w:val="clear" w:color="auto" w:fill="FFFFFF"/>
            <w:vAlign w:val="bottom"/>
          </w:tcPr>
          <w:p w14:paraId="3F5D435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1,544,285</w:t>
            </w:r>
          </w:p>
        </w:tc>
        <w:tc>
          <w:tcPr>
            <w:tcW w:w="964" w:type="dxa"/>
            <w:tcBorders>
              <w:top w:val="nil"/>
              <w:left w:val="nil"/>
              <w:bottom w:val="single" w:sz="2" w:space="0" w:color="auto"/>
              <w:right w:val="nil"/>
            </w:tcBorders>
            <w:shd w:val="clear" w:color="auto" w:fill="FFFFFF"/>
            <w:vAlign w:val="bottom"/>
          </w:tcPr>
          <w:p w14:paraId="77ECFA7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1,045,346</w:t>
            </w:r>
          </w:p>
        </w:tc>
      </w:tr>
      <w:tr w:rsidR="002E375F" w14:paraId="413F9672" w14:textId="77777777" w:rsidTr="00A505CE">
        <w:tc>
          <w:tcPr>
            <w:tcW w:w="7124" w:type="dxa"/>
            <w:tcBorders>
              <w:top w:val="nil"/>
              <w:left w:val="nil"/>
              <w:bottom w:val="nil"/>
              <w:right w:val="nil"/>
            </w:tcBorders>
            <w:shd w:val="clear" w:color="auto" w:fill="FFFFFF"/>
            <w:vAlign w:val="bottom"/>
          </w:tcPr>
          <w:p w14:paraId="19665BC2"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grants and subsidies</w:t>
            </w:r>
          </w:p>
        </w:tc>
        <w:tc>
          <w:tcPr>
            <w:tcW w:w="964" w:type="dxa"/>
            <w:tcBorders>
              <w:top w:val="nil"/>
              <w:left w:val="nil"/>
              <w:bottom w:val="single" w:sz="2" w:space="0" w:color="auto"/>
              <w:right w:val="nil"/>
            </w:tcBorders>
            <w:shd w:val="clear" w:color="auto" w:fill="FFFFFF"/>
            <w:vAlign w:val="bottom"/>
          </w:tcPr>
          <w:p w14:paraId="06DAE2A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1,645,313</w:t>
            </w:r>
          </w:p>
        </w:tc>
        <w:tc>
          <w:tcPr>
            <w:tcW w:w="964" w:type="dxa"/>
            <w:tcBorders>
              <w:top w:val="nil"/>
              <w:left w:val="nil"/>
              <w:bottom w:val="single" w:sz="2" w:space="0" w:color="auto"/>
              <w:right w:val="nil"/>
            </w:tcBorders>
            <w:shd w:val="clear" w:color="auto" w:fill="FFFFFF"/>
            <w:vAlign w:val="bottom"/>
          </w:tcPr>
          <w:p w14:paraId="16366EA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1,083,942</w:t>
            </w:r>
          </w:p>
        </w:tc>
      </w:tr>
      <w:tr w:rsidR="002E375F" w14:paraId="32D1706A" w14:textId="77777777" w:rsidTr="00A505CE">
        <w:tc>
          <w:tcPr>
            <w:tcW w:w="7124" w:type="dxa"/>
            <w:tcBorders>
              <w:top w:val="nil"/>
              <w:left w:val="nil"/>
              <w:bottom w:val="nil"/>
              <w:right w:val="nil"/>
            </w:tcBorders>
            <w:shd w:val="clear" w:color="auto" w:fill="FFFFFF"/>
            <w:vAlign w:val="bottom"/>
          </w:tcPr>
          <w:p w14:paraId="3F7B597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Concession - Asset ownership electricity dividend</w:t>
            </w:r>
          </w:p>
        </w:tc>
        <w:tc>
          <w:tcPr>
            <w:tcW w:w="964" w:type="dxa"/>
            <w:tcBorders>
              <w:top w:val="nil"/>
              <w:left w:val="nil"/>
              <w:bottom w:val="nil"/>
              <w:right w:val="nil"/>
            </w:tcBorders>
            <w:shd w:val="clear" w:color="auto" w:fill="FFFFFF"/>
            <w:vAlign w:val="bottom"/>
          </w:tcPr>
          <w:p w14:paraId="7A244A6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2,944</w:t>
            </w:r>
          </w:p>
        </w:tc>
        <w:tc>
          <w:tcPr>
            <w:tcW w:w="964" w:type="dxa"/>
            <w:tcBorders>
              <w:top w:val="nil"/>
              <w:left w:val="nil"/>
              <w:bottom w:val="nil"/>
              <w:right w:val="nil"/>
            </w:tcBorders>
            <w:shd w:val="clear" w:color="auto" w:fill="FFFFFF"/>
            <w:vAlign w:val="bottom"/>
          </w:tcPr>
          <w:p w14:paraId="5D481EC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100,031</w:t>
            </w:r>
          </w:p>
        </w:tc>
      </w:tr>
      <w:tr w:rsidR="002E375F" w14:paraId="4DBDB668" w14:textId="77777777" w:rsidTr="00A505CE">
        <w:tc>
          <w:tcPr>
            <w:tcW w:w="7124" w:type="dxa"/>
            <w:tcBorders>
              <w:top w:val="nil"/>
              <w:left w:val="nil"/>
              <w:bottom w:val="nil"/>
              <w:right w:val="nil"/>
            </w:tcBorders>
            <w:shd w:val="clear" w:color="auto" w:fill="FFFFFF"/>
            <w:vAlign w:val="bottom"/>
          </w:tcPr>
          <w:p w14:paraId="27D26E3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Concession - Electricity</w:t>
            </w:r>
          </w:p>
        </w:tc>
        <w:tc>
          <w:tcPr>
            <w:tcW w:w="964" w:type="dxa"/>
            <w:tcBorders>
              <w:top w:val="nil"/>
              <w:left w:val="nil"/>
              <w:bottom w:val="nil"/>
              <w:right w:val="nil"/>
            </w:tcBorders>
            <w:shd w:val="clear" w:color="auto" w:fill="FFFFFF"/>
            <w:vAlign w:val="bottom"/>
          </w:tcPr>
          <w:p w14:paraId="4EDB40C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189,956</w:t>
            </w:r>
          </w:p>
        </w:tc>
        <w:tc>
          <w:tcPr>
            <w:tcW w:w="964" w:type="dxa"/>
            <w:tcBorders>
              <w:top w:val="nil"/>
              <w:left w:val="nil"/>
              <w:bottom w:val="nil"/>
              <w:right w:val="nil"/>
            </w:tcBorders>
            <w:shd w:val="clear" w:color="auto" w:fill="FFFFFF"/>
            <w:vAlign w:val="bottom"/>
          </w:tcPr>
          <w:p w14:paraId="4C50AB0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190,149</w:t>
            </w:r>
          </w:p>
        </w:tc>
      </w:tr>
      <w:tr w:rsidR="002E375F" w14:paraId="4FAA81C9" w14:textId="77777777" w:rsidTr="00A505CE">
        <w:tc>
          <w:tcPr>
            <w:tcW w:w="7124" w:type="dxa"/>
            <w:tcBorders>
              <w:top w:val="nil"/>
              <w:left w:val="nil"/>
              <w:bottom w:val="nil"/>
              <w:right w:val="nil"/>
            </w:tcBorders>
            <w:shd w:val="clear" w:color="auto" w:fill="FFFFFF"/>
            <w:vAlign w:val="bottom"/>
          </w:tcPr>
          <w:p w14:paraId="020B9A96"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Concession - Electricity - COVID-19 - Residential Household Relief</w:t>
            </w:r>
          </w:p>
        </w:tc>
        <w:tc>
          <w:tcPr>
            <w:tcW w:w="964" w:type="dxa"/>
            <w:tcBorders>
              <w:top w:val="nil"/>
              <w:left w:val="nil"/>
              <w:bottom w:val="nil"/>
              <w:right w:val="nil"/>
            </w:tcBorders>
            <w:shd w:val="clear" w:color="auto" w:fill="FFFFFF"/>
            <w:vAlign w:val="bottom"/>
          </w:tcPr>
          <w:p w14:paraId="1236281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404,213</w:t>
            </w:r>
          </w:p>
        </w:tc>
        <w:tc>
          <w:tcPr>
            <w:tcW w:w="964" w:type="dxa"/>
            <w:tcBorders>
              <w:top w:val="nil"/>
              <w:left w:val="nil"/>
              <w:bottom w:val="nil"/>
              <w:right w:val="nil"/>
            </w:tcBorders>
            <w:shd w:val="clear" w:color="auto" w:fill="FFFFFF"/>
            <w:vAlign w:val="bottom"/>
          </w:tcPr>
          <w:p w14:paraId="42ABB0C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0890FE6E" w14:textId="77777777" w:rsidTr="00A505CE">
        <w:tc>
          <w:tcPr>
            <w:tcW w:w="7124" w:type="dxa"/>
            <w:tcBorders>
              <w:top w:val="nil"/>
              <w:left w:val="nil"/>
              <w:bottom w:val="nil"/>
              <w:right w:val="nil"/>
            </w:tcBorders>
            <w:shd w:val="clear" w:color="auto" w:fill="FFFFFF"/>
            <w:vAlign w:val="bottom"/>
          </w:tcPr>
          <w:p w14:paraId="5B41E9A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Concession - Rates</w:t>
            </w:r>
          </w:p>
        </w:tc>
        <w:tc>
          <w:tcPr>
            <w:tcW w:w="964" w:type="dxa"/>
            <w:tcBorders>
              <w:top w:val="nil"/>
              <w:left w:val="nil"/>
              <w:bottom w:val="nil"/>
              <w:right w:val="nil"/>
            </w:tcBorders>
            <w:shd w:val="clear" w:color="auto" w:fill="FFFFFF"/>
            <w:vAlign w:val="bottom"/>
          </w:tcPr>
          <w:p w14:paraId="0AAD087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53,256</w:t>
            </w:r>
          </w:p>
        </w:tc>
        <w:tc>
          <w:tcPr>
            <w:tcW w:w="964" w:type="dxa"/>
            <w:tcBorders>
              <w:top w:val="nil"/>
              <w:left w:val="nil"/>
              <w:bottom w:val="nil"/>
              <w:right w:val="nil"/>
            </w:tcBorders>
            <w:shd w:val="clear" w:color="auto" w:fill="FFFFFF"/>
            <w:vAlign w:val="bottom"/>
          </w:tcPr>
          <w:p w14:paraId="2B2A15B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52,216</w:t>
            </w:r>
          </w:p>
        </w:tc>
      </w:tr>
      <w:tr w:rsidR="002E375F" w14:paraId="397FF027" w14:textId="77777777" w:rsidTr="00A505CE">
        <w:tc>
          <w:tcPr>
            <w:tcW w:w="7124" w:type="dxa"/>
            <w:tcBorders>
              <w:top w:val="nil"/>
              <w:left w:val="nil"/>
              <w:bottom w:val="nil"/>
              <w:right w:val="nil"/>
            </w:tcBorders>
            <w:shd w:val="clear" w:color="auto" w:fill="FFFFFF"/>
            <w:vAlign w:val="bottom"/>
          </w:tcPr>
          <w:p w14:paraId="3D7D84B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Concession - Water</w:t>
            </w:r>
          </w:p>
        </w:tc>
        <w:tc>
          <w:tcPr>
            <w:tcW w:w="964" w:type="dxa"/>
            <w:tcBorders>
              <w:top w:val="nil"/>
              <w:left w:val="nil"/>
              <w:bottom w:val="nil"/>
              <w:right w:val="nil"/>
            </w:tcBorders>
            <w:shd w:val="clear" w:color="auto" w:fill="FFFFFF"/>
            <w:vAlign w:val="bottom"/>
          </w:tcPr>
          <w:p w14:paraId="135980F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17,682</w:t>
            </w:r>
          </w:p>
        </w:tc>
        <w:tc>
          <w:tcPr>
            <w:tcW w:w="964" w:type="dxa"/>
            <w:tcBorders>
              <w:top w:val="nil"/>
              <w:left w:val="nil"/>
              <w:bottom w:val="nil"/>
              <w:right w:val="nil"/>
            </w:tcBorders>
            <w:shd w:val="clear" w:color="auto" w:fill="FFFFFF"/>
            <w:vAlign w:val="bottom"/>
          </w:tcPr>
          <w:p w14:paraId="6BB5D38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17,264</w:t>
            </w:r>
          </w:p>
        </w:tc>
      </w:tr>
      <w:tr w:rsidR="002E375F" w14:paraId="14FBEBA7" w14:textId="77777777" w:rsidTr="00A505CE">
        <w:tc>
          <w:tcPr>
            <w:tcW w:w="7124" w:type="dxa"/>
            <w:tcBorders>
              <w:top w:val="nil"/>
              <w:left w:val="nil"/>
              <w:bottom w:val="nil"/>
              <w:right w:val="nil"/>
            </w:tcBorders>
            <w:shd w:val="clear" w:color="auto" w:fill="FFFFFF"/>
            <w:vAlign w:val="bottom"/>
          </w:tcPr>
          <w:p w14:paraId="7C2CDE6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Concession - Home Energy Emergency Assistance</w:t>
            </w:r>
          </w:p>
        </w:tc>
        <w:tc>
          <w:tcPr>
            <w:tcW w:w="964" w:type="dxa"/>
            <w:tcBorders>
              <w:top w:val="nil"/>
              <w:left w:val="nil"/>
              <w:bottom w:val="nil"/>
              <w:right w:val="nil"/>
            </w:tcBorders>
            <w:shd w:val="clear" w:color="auto" w:fill="FFFFFF"/>
            <w:vAlign w:val="bottom"/>
          </w:tcPr>
          <w:p w14:paraId="605D3E9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8,739</w:t>
            </w:r>
          </w:p>
        </w:tc>
        <w:tc>
          <w:tcPr>
            <w:tcW w:w="964" w:type="dxa"/>
            <w:tcBorders>
              <w:top w:val="nil"/>
              <w:left w:val="nil"/>
              <w:bottom w:val="nil"/>
              <w:right w:val="nil"/>
            </w:tcBorders>
            <w:shd w:val="clear" w:color="auto" w:fill="FFFFFF"/>
            <w:vAlign w:val="bottom"/>
          </w:tcPr>
          <w:p w14:paraId="74379FD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8,072</w:t>
            </w:r>
          </w:p>
        </w:tc>
      </w:tr>
      <w:tr w:rsidR="002E375F" w14:paraId="3AD20F7B" w14:textId="77777777" w:rsidTr="00A505CE">
        <w:tc>
          <w:tcPr>
            <w:tcW w:w="7124" w:type="dxa"/>
            <w:tcBorders>
              <w:top w:val="nil"/>
              <w:left w:val="nil"/>
              <w:bottom w:val="nil"/>
              <w:right w:val="nil"/>
            </w:tcBorders>
            <w:shd w:val="clear" w:color="auto" w:fill="FFFFFF"/>
            <w:vAlign w:val="bottom"/>
          </w:tcPr>
          <w:p w14:paraId="1F8C128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Concession - Natural gas</w:t>
            </w:r>
          </w:p>
        </w:tc>
        <w:tc>
          <w:tcPr>
            <w:tcW w:w="964" w:type="dxa"/>
            <w:tcBorders>
              <w:top w:val="nil"/>
              <w:left w:val="nil"/>
              <w:bottom w:val="nil"/>
              <w:right w:val="nil"/>
            </w:tcBorders>
            <w:shd w:val="clear" w:color="auto" w:fill="FFFFFF"/>
            <w:vAlign w:val="bottom"/>
          </w:tcPr>
          <w:p w14:paraId="5BB07D7E"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2,388</w:t>
            </w:r>
          </w:p>
        </w:tc>
        <w:tc>
          <w:tcPr>
            <w:tcW w:w="964" w:type="dxa"/>
            <w:tcBorders>
              <w:top w:val="nil"/>
              <w:left w:val="nil"/>
              <w:bottom w:val="nil"/>
              <w:right w:val="nil"/>
            </w:tcBorders>
            <w:shd w:val="clear" w:color="auto" w:fill="FFFFFF"/>
            <w:vAlign w:val="bottom"/>
          </w:tcPr>
          <w:p w14:paraId="1CCB358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2,454</w:t>
            </w:r>
          </w:p>
        </w:tc>
      </w:tr>
      <w:tr w:rsidR="002E375F" w14:paraId="5E4D3735" w14:textId="77777777" w:rsidTr="00A505CE">
        <w:tc>
          <w:tcPr>
            <w:tcW w:w="7124" w:type="dxa"/>
            <w:tcBorders>
              <w:top w:val="nil"/>
              <w:left w:val="nil"/>
              <w:bottom w:val="nil"/>
              <w:right w:val="nil"/>
            </w:tcBorders>
            <w:shd w:val="clear" w:color="auto" w:fill="FFFFFF"/>
            <w:vAlign w:val="bottom"/>
          </w:tcPr>
          <w:p w14:paraId="27A8B06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Concession - Life Support</w:t>
            </w:r>
          </w:p>
        </w:tc>
        <w:tc>
          <w:tcPr>
            <w:tcW w:w="964" w:type="dxa"/>
            <w:tcBorders>
              <w:top w:val="nil"/>
              <w:left w:val="nil"/>
              <w:bottom w:val="nil"/>
              <w:right w:val="nil"/>
            </w:tcBorders>
            <w:shd w:val="clear" w:color="auto" w:fill="FFFFFF"/>
            <w:vAlign w:val="bottom"/>
          </w:tcPr>
          <w:p w14:paraId="0D85687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2,099</w:t>
            </w:r>
          </w:p>
        </w:tc>
        <w:tc>
          <w:tcPr>
            <w:tcW w:w="964" w:type="dxa"/>
            <w:tcBorders>
              <w:top w:val="nil"/>
              <w:left w:val="nil"/>
              <w:bottom w:val="nil"/>
              <w:right w:val="nil"/>
            </w:tcBorders>
            <w:shd w:val="clear" w:color="auto" w:fill="FFFFFF"/>
            <w:vAlign w:val="bottom"/>
          </w:tcPr>
          <w:p w14:paraId="52067F4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2,182</w:t>
            </w:r>
          </w:p>
        </w:tc>
      </w:tr>
      <w:tr w:rsidR="002E375F" w14:paraId="0095F0C8" w14:textId="77777777" w:rsidTr="00A505CE">
        <w:tc>
          <w:tcPr>
            <w:tcW w:w="7124" w:type="dxa"/>
            <w:tcBorders>
              <w:top w:val="nil"/>
              <w:left w:val="nil"/>
              <w:bottom w:val="nil"/>
              <w:right w:val="nil"/>
            </w:tcBorders>
            <w:shd w:val="clear" w:color="auto" w:fill="FFFFFF"/>
            <w:vAlign w:val="bottom"/>
          </w:tcPr>
          <w:p w14:paraId="534BCE7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Concession - Medical cooling and heating electricity</w:t>
            </w:r>
          </w:p>
        </w:tc>
        <w:tc>
          <w:tcPr>
            <w:tcW w:w="964" w:type="dxa"/>
            <w:tcBorders>
              <w:top w:val="nil"/>
              <w:left w:val="nil"/>
              <w:bottom w:val="single" w:sz="2" w:space="0" w:color="auto"/>
              <w:right w:val="nil"/>
            </w:tcBorders>
            <w:shd w:val="clear" w:color="auto" w:fill="FFFFFF"/>
            <w:vAlign w:val="bottom"/>
          </w:tcPr>
          <w:p w14:paraId="1E3D49E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1,627</w:t>
            </w:r>
          </w:p>
        </w:tc>
        <w:tc>
          <w:tcPr>
            <w:tcW w:w="964" w:type="dxa"/>
            <w:tcBorders>
              <w:top w:val="nil"/>
              <w:left w:val="nil"/>
              <w:bottom w:val="single" w:sz="2" w:space="0" w:color="auto"/>
              <w:right w:val="nil"/>
            </w:tcBorders>
            <w:shd w:val="clear" w:color="auto" w:fill="FFFFFF"/>
            <w:vAlign w:val="bottom"/>
          </w:tcPr>
          <w:p w14:paraId="3049217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1,548</w:t>
            </w:r>
          </w:p>
        </w:tc>
      </w:tr>
      <w:tr w:rsidR="002E375F" w14:paraId="4DDDB8E9" w14:textId="77777777" w:rsidTr="00A505CE">
        <w:tc>
          <w:tcPr>
            <w:tcW w:w="7124" w:type="dxa"/>
            <w:tcBorders>
              <w:top w:val="nil"/>
              <w:left w:val="nil"/>
              <w:bottom w:val="nil"/>
              <w:right w:val="nil"/>
            </w:tcBorders>
            <w:shd w:val="clear" w:color="auto" w:fill="FFFFFF"/>
            <w:vAlign w:val="bottom"/>
          </w:tcPr>
          <w:p w14:paraId="1342E99F"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concession payments</w:t>
            </w:r>
          </w:p>
        </w:tc>
        <w:tc>
          <w:tcPr>
            <w:tcW w:w="964" w:type="dxa"/>
            <w:tcBorders>
              <w:top w:val="nil"/>
              <w:left w:val="nil"/>
              <w:bottom w:val="single" w:sz="2" w:space="0" w:color="auto"/>
              <w:right w:val="nil"/>
            </w:tcBorders>
            <w:shd w:val="clear" w:color="auto" w:fill="FFFFFF"/>
            <w:vAlign w:val="bottom"/>
          </w:tcPr>
          <w:p w14:paraId="09093EC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682,904</w:t>
            </w:r>
          </w:p>
        </w:tc>
        <w:tc>
          <w:tcPr>
            <w:tcW w:w="964" w:type="dxa"/>
            <w:tcBorders>
              <w:top w:val="nil"/>
              <w:left w:val="nil"/>
              <w:bottom w:val="single" w:sz="2" w:space="0" w:color="auto"/>
              <w:right w:val="nil"/>
            </w:tcBorders>
            <w:shd w:val="clear" w:color="auto" w:fill="FFFFFF"/>
            <w:vAlign w:val="bottom"/>
          </w:tcPr>
          <w:p w14:paraId="42B8FD6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373,916</w:t>
            </w:r>
          </w:p>
        </w:tc>
      </w:tr>
      <w:tr w:rsidR="002E375F" w14:paraId="020B4665" w14:textId="77777777" w:rsidTr="00A505CE">
        <w:tc>
          <w:tcPr>
            <w:tcW w:w="7124" w:type="dxa"/>
            <w:tcBorders>
              <w:top w:val="nil"/>
              <w:left w:val="nil"/>
              <w:bottom w:val="nil"/>
              <w:right w:val="nil"/>
            </w:tcBorders>
            <w:shd w:val="clear" w:color="auto" w:fill="FFFFFF"/>
            <w:vAlign w:val="bottom"/>
          </w:tcPr>
          <w:p w14:paraId="4E0BA10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2F2E6AD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2,328,217</w:t>
            </w:r>
          </w:p>
        </w:tc>
        <w:tc>
          <w:tcPr>
            <w:tcW w:w="964" w:type="dxa"/>
            <w:tcBorders>
              <w:top w:val="nil"/>
              <w:left w:val="nil"/>
              <w:bottom w:val="single" w:sz="2" w:space="0" w:color="auto"/>
              <w:right w:val="nil"/>
            </w:tcBorders>
            <w:shd w:val="clear" w:color="auto" w:fill="FFFFFF"/>
            <w:vAlign w:val="bottom"/>
          </w:tcPr>
          <w:p w14:paraId="22C5319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1,457,858</w:t>
            </w:r>
          </w:p>
        </w:tc>
      </w:tr>
    </w:tbl>
    <w:p w14:paraId="05984572" w14:textId="77777777" w:rsidR="00255F08" w:rsidRPr="00255F08" w:rsidRDefault="00255F08" w:rsidP="00255F08">
      <w:pPr>
        <w:pStyle w:val="Heading3"/>
      </w:pPr>
      <w:r w:rsidRPr="00255F08">
        <w:t xml:space="preserve">G1-5 </w:t>
      </w:r>
      <w:r w:rsidRPr="00255F08">
        <w:tab/>
        <w:t>Other Expenses</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3946AB53" w14:textId="77777777" w:rsidTr="00A505CE">
        <w:tc>
          <w:tcPr>
            <w:tcW w:w="7124" w:type="dxa"/>
            <w:tcBorders>
              <w:top w:val="nil"/>
              <w:left w:val="nil"/>
              <w:bottom w:val="nil"/>
              <w:right w:val="nil"/>
            </w:tcBorders>
            <w:shd w:val="clear" w:color="auto" w:fill="FFFFFF"/>
            <w:vAlign w:val="bottom"/>
          </w:tcPr>
          <w:p w14:paraId="3DACD519" w14:textId="77777777" w:rsidR="002E375F" w:rsidRDefault="002E375F" w:rsidP="00943EF1">
            <w:pPr>
              <w:pStyle w:val="Heading3"/>
            </w:pPr>
          </w:p>
        </w:tc>
        <w:tc>
          <w:tcPr>
            <w:tcW w:w="964" w:type="dxa"/>
            <w:tcBorders>
              <w:top w:val="nil"/>
              <w:left w:val="nil"/>
              <w:bottom w:val="nil"/>
              <w:right w:val="nil"/>
            </w:tcBorders>
            <w:shd w:val="clear" w:color="auto" w:fill="FFFFFF"/>
            <w:vAlign w:val="bottom"/>
          </w:tcPr>
          <w:p w14:paraId="2A77F0C6"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565C982C" w14:textId="77777777" w:rsidR="002E375F" w:rsidRDefault="00EB2569" w:rsidP="00862FE1">
            <w:pPr>
              <w:pStyle w:val="Heading3"/>
              <w:jc w:val="right"/>
            </w:pPr>
            <w:r>
              <w:rPr>
                <w:rFonts w:ascii="Arial" w:hAnsi="Arial" w:cs="Arial"/>
                <w:sz w:val="18"/>
                <w:szCs w:val="18"/>
              </w:rPr>
              <w:t>2019</w:t>
            </w:r>
            <w:r>
              <w:rPr>
                <w:rFonts w:ascii="Arial" w:hAnsi="Arial" w:cs="Arial"/>
                <w:sz w:val="18"/>
                <w:szCs w:val="18"/>
              </w:rPr>
              <w:br/>
              <w:t>$'000</w:t>
            </w:r>
          </w:p>
        </w:tc>
      </w:tr>
      <w:tr w:rsidR="002E375F" w14:paraId="41C9AC57" w14:textId="77777777" w:rsidTr="00A505CE">
        <w:tc>
          <w:tcPr>
            <w:tcW w:w="7124" w:type="dxa"/>
            <w:tcBorders>
              <w:top w:val="nil"/>
              <w:left w:val="nil"/>
              <w:bottom w:val="nil"/>
              <w:right w:val="nil"/>
            </w:tcBorders>
            <w:shd w:val="clear" w:color="auto" w:fill="FFFFFF"/>
            <w:vAlign w:val="bottom"/>
          </w:tcPr>
          <w:p w14:paraId="672752BC"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Departmental appropriation adjustments</w:t>
            </w:r>
          </w:p>
        </w:tc>
        <w:tc>
          <w:tcPr>
            <w:tcW w:w="964" w:type="dxa"/>
            <w:tcBorders>
              <w:top w:val="nil"/>
              <w:left w:val="nil"/>
              <w:bottom w:val="single" w:sz="2" w:space="0" w:color="auto"/>
              <w:right w:val="nil"/>
            </w:tcBorders>
            <w:shd w:val="clear" w:color="auto" w:fill="FFFFFF"/>
            <w:vAlign w:val="bottom"/>
          </w:tcPr>
          <w:p w14:paraId="6A9DF05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481AA8C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155,617</w:t>
            </w:r>
          </w:p>
        </w:tc>
      </w:tr>
      <w:tr w:rsidR="002E375F" w14:paraId="11656DF4" w14:textId="77777777" w:rsidTr="00A505CE">
        <w:tc>
          <w:tcPr>
            <w:tcW w:w="7124" w:type="dxa"/>
            <w:tcBorders>
              <w:top w:val="nil"/>
              <w:left w:val="nil"/>
              <w:bottom w:val="nil"/>
              <w:right w:val="nil"/>
            </w:tcBorders>
            <w:shd w:val="clear" w:color="auto" w:fill="FFFFFF"/>
            <w:vAlign w:val="bottom"/>
          </w:tcPr>
          <w:p w14:paraId="70E55B7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29F310F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single" w:sz="2" w:space="0" w:color="auto"/>
              <w:right w:val="nil"/>
            </w:tcBorders>
            <w:shd w:val="clear" w:color="auto" w:fill="FFFFFF"/>
            <w:vAlign w:val="bottom"/>
          </w:tcPr>
          <w:p w14:paraId="6CDDBB4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155,617</w:t>
            </w:r>
          </w:p>
        </w:tc>
      </w:tr>
    </w:tbl>
    <w:p w14:paraId="7B37EC19" w14:textId="77777777" w:rsidR="00255F08" w:rsidRPr="00255F08" w:rsidRDefault="00255F08" w:rsidP="00255F08">
      <w:pPr>
        <w:pStyle w:val="Heading3"/>
      </w:pPr>
      <w:r w:rsidRPr="00255F08">
        <w:t xml:space="preserve">G1-6 </w:t>
      </w:r>
      <w:r w:rsidRPr="00255F08">
        <w:tab/>
        <w:t>Receivables</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3FDBFBC5" w14:textId="77777777" w:rsidTr="00A505CE">
        <w:tc>
          <w:tcPr>
            <w:tcW w:w="7124" w:type="dxa"/>
            <w:tcBorders>
              <w:top w:val="nil"/>
              <w:left w:val="nil"/>
              <w:bottom w:val="nil"/>
              <w:right w:val="nil"/>
            </w:tcBorders>
            <w:shd w:val="clear" w:color="auto" w:fill="FFFFFF"/>
            <w:vAlign w:val="bottom"/>
          </w:tcPr>
          <w:p w14:paraId="2B697FB5" w14:textId="77777777" w:rsidR="002E375F" w:rsidRDefault="002E375F" w:rsidP="00943EF1">
            <w:pPr>
              <w:pStyle w:val="Heading3"/>
            </w:pPr>
          </w:p>
        </w:tc>
        <w:tc>
          <w:tcPr>
            <w:tcW w:w="964" w:type="dxa"/>
            <w:tcBorders>
              <w:top w:val="nil"/>
              <w:left w:val="nil"/>
              <w:bottom w:val="nil"/>
              <w:right w:val="nil"/>
            </w:tcBorders>
            <w:shd w:val="clear" w:color="auto" w:fill="FFFFFF"/>
            <w:vAlign w:val="bottom"/>
          </w:tcPr>
          <w:p w14:paraId="095509B7"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1E62657C" w14:textId="77777777" w:rsidR="002E375F" w:rsidRDefault="00EB2569" w:rsidP="00862FE1">
            <w:pPr>
              <w:pStyle w:val="Heading3"/>
              <w:jc w:val="right"/>
            </w:pPr>
            <w:r>
              <w:rPr>
                <w:rFonts w:ascii="Arial" w:hAnsi="Arial" w:cs="Arial"/>
                <w:sz w:val="18"/>
                <w:szCs w:val="18"/>
              </w:rPr>
              <w:t>2019</w:t>
            </w:r>
            <w:r>
              <w:rPr>
                <w:rFonts w:ascii="Arial" w:hAnsi="Arial" w:cs="Arial"/>
                <w:sz w:val="18"/>
                <w:szCs w:val="18"/>
              </w:rPr>
              <w:br/>
              <w:t>$'000</w:t>
            </w:r>
          </w:p>
        </w:tc>
      </w:tr>
      <w:tr w:rsidR="002E375F" w14:paraId="0EEC0C0A" w14:textId="77777777" w:rsidTr="00A505CE">
        <w:tc>
          <w:tcPr>
            <w:tcW w:w="7124" w:type="dxa"/>
            <w:tcBorders>
              <w:top w:val="nil"/>
              <w:left w:val="nil"/>
              <w:bottom w:val="nil"/>
              <w:right w:val="nil"/>
            </w:tcBorders>
            <w:shd w:val="clear" w:color="auto" w:fill="FFFFFF"/>
            <w:vAlign w:val="bottom"/>
          </w:tcPr>
          <w:p w14:paraId="7556977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Current</w:t>
            </w:r>
          </w:p>
        </w:tc>
        <w:tc>
          <w:tcPr>
            <w:tcW w:w="964" w:type="dxa"/>
            <w:tcBorders>
              <w:top w:val="nil"/>
              <w:left w:val="nil"/>
              <w:bottom w:val="nil"/>
              <w:right w:val="nil"/>
            </w:tcBorders>
            <w:shd w:val="clear" w:color="auto" w:fill="FFFFFF"/>
            <w:vAlign w:val="bottom"/>
          </w:tcPr>
          <w:p w14:paraId="15FDCDCF"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4CD3160"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4ECAF29D" w14:textId="77777777" w:rsidTr="00A505CE">
        <w:tc>
          <w:tcPr>
            <w:tcW w:w="7124" w:type="dxa"/>
            <w:tcBorders>
              <w:top w:val="nil"/>
              <w:left w:val="nil"/>
              <w:bottom w:val="nil"/>
              <w:right w:val="nil"/>
            </w:tcBorders>
            <w:shd w:val="clear" w:color="auto" w:fill="FFFFFF"/>
            <w:vAlign w:val="bottom"/>
          </w:tcPr>
          <w:p w14:paraId="10969F25"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GST input tax credits receivable</w:t>
            </w:r>
          </w:p>
        </w:tc>
        <w:tc>
          <w:tcPr>
            <w:tcW w:w="964" w:type="dxa"/>
            <w:tcBorders>
              <w:top w:val="nil"/>
              <w:left w:val="nil"/>
              <w:bottom w:val="nil"/>
              <w:right w:val="nil"/>
            </w:tcBorders>
            <w:shd w:val="clear" w:color="auto" w:fill="FFFFFF"/>
            <w:vAlign w:val="bottom"/>
          </w:tcPr>
          <w:p w14:paraId="7D641B2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2,163</w:t>
            </w:r>
          </w:p>
        </w:tc>
        <w:tc>
          <w:tcPr>
            <w:tcW w:w="964" w:type="dxa"/>
            <w:tcBorders>
              <w:top w:val="nil"/>
              <w:left w:val="nil"/>
              <w:bottom w:val="nil"/>
              <w:right w:val="nil"/>
            </w:tcBorders>
            <w:shd w:val="clear" w:color="auto" w:fill="FFFFFF"/>
            <w:vAlign w:val="bottom"/>
          </w:tcPr>
          <w:p w14:paraId="04731A77"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2,202</w:t>
            </w:r>
          </w:p>
        </w:tc>
      </w:tr>
      <w:tr w:rsidR="002E375F" w14:paraId="7C2EF39D" w14:textId="77777777" w:rsidTr="00A505CE">
        <w:tc>
          <w:tcPr>
            <w:tcW w:w="7124" w:type="dxa"/>
            <w:tcBorders>
              <w:top w:val="nil"/>
              <w:left w:val="nil"/>
              <w:bottom w:val="nil"/>
              <w:right w:val="nil"/>
            </w:tcBorders>
            <w:shd w:val="clear" w:color="auto" w:fill="FFFFFF"/>
            <w:vAlign w:val="bottom"/>
          </w:tcPr>
          <w:p w14:paraId="5ACA516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Appropriation revenue receivable</w:t>
            </w:r>
          </w:p>
        </w:tc>
        <w:tc>
          <w:tcPr>
            <w:tcW w:w="964" w:type="dxa"/>
            <w:tcBorders>
              <w:top w:val="nil"/>
              <w:left w:val="nil"/>
              <w:bottom w:val="single" w:sz="2" w:space="0" w:color="auto"/>
              <w:right w:val="nil"/>
            </w:tcBorders>
            <w:shd w:val="clear" w:color="auto" w:fill="FFFFFF"/>
            <w:vAlign w:val="bottom"/>
          </w:tcPr>
          <w:p w14:paraId="1EA159CC"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14,801</w:t>
            </w:r>
          </w:p>
        </w:tc>
        <w:tc>
          <w:tcPr>
            <w:tcW w:w="964" w:type="dxa"/>
            <w:tcBorders>
              <w:top w:val="nil"/>
              <w:left w:val="nil"/>
              <w:bottom w:val="single" w:sz="2" w:space="0" w:color="auto"/>
              <w:right w:val="nil"/>
            </w:tcBorders>
            <w:shd w:val="clear" w:color="auto" w:fill="FFFFFF"/>
            <w:vAlign w:val="bottom"/>
          </w:tcPr>
          <w:p w14:paraId="2EFEB33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w:t>
            </w:r>
          </w:p>
        </w:tc>
      </w:tr>
      <w:tr w:rsidR="002E375F" w14:paraId="688409DF" w14:textId="77777777" w:rsidTr="00A505CE">
        <w:tc>
          <w:tcPr>
            <w:tcW w:w="7124" w:type="dxa"/>
            <w:tcBorders>
              <w:top w:val="nil"/>
              <w:left w:val="nil"/>
              <w:bottom w:val="nil"/>
              <w:right w:val="nil"/>
            </w:tcBorders>
            <w:shd w:val="clear" w:color="auto" w:fill="FFFFFF"/>
            <w:vAlign w:val="bottom"/>
          </w:tcPr>
          <w:p w14:paraId="3044C0AD"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58A0836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16,964</w:t>
            </w:r>
          </w:p>
        </w:tc>
        <w:tc>
          <w:tcPr>
            <w:tcW w:w="964" w:type="dxa"/>
            <w:tcBorders>
              <w:top w:val="nil"/>
              <w:left w:val="nil"/>
              <w:bottom w:val="single" w:sz="2" w:space="0" w:color="auto"/>
              <w:right w:val="nil"/>
            </w:tcBorders>
            <w:shd w:val="clear" w:color="auto" w:fill="FFFFFF"/>
            <w:vAlign w:val="bottom"/>
          </w:tcPr>
          <w:p w14:paraId="20DD654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2,202</w:t>
            </w:r>
          </w:p>
        </w:tc>
      </w:tr>
    </w:tbl>
    <w:p w14:paraId="2C7B941E"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1BEE1027"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16EE6610"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52CE28A3"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49F9D13A"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0FDC7A03" w14:textId="77777777" w:rsidR="00A505CE" w:rsidRDefault="00A505CE" w:rsidP="00A505CE">
      <w:pPr>
        <w:pStyle w:val="Heading3"/>
      </w:pPr>
      <w:r>
        <w:t>G1 Administered (continued)</w:t>
      </w:r>
    </w:p>
    <w:p w14:paraId="184173B3" w14:textId="77777777" w:rsidR="00A505CE" w:rsidRDefault="00A505CE" w:rsidP="00A505CE">
      <w:pPr>
        <w:pStyle w:val="Heading3"/>
        <w:rPr>
          <w:rFonts w:ascii="Times New Roman" w:hAnsi="Times New Roman" w:cs="Times New Roman"/>
        </w:rPr>
      </w:pPr>
      <w:r>
        <w:t>G1-7 Payables</w:t>
      </w:r>
    </w:p>
    <w:tbl>
      <w:tblPr>
        <w:tblW w:w="9052" w:type="dxa"/>
        <w:tblLayout w:type="fixed"/>
        <w:tblCellMar>
          <w:left w:w="0" w:type="dxa"/>
          <w:right w:w="0" w:type="dxa"/>
        </w:tblCellMar>
        <w:tblLook w:val="0000" w:firstRow="0" w:lastRow="0" w:firstColumn="0" w:lastColumn="0" w:noHBand="0" w:noVBand="0"/>
      </w:tblPr>
      <w:tblGrid>
        <w:gridCol w:w="7124"/>
        <w:gridCol w:w="964"/>
        <w:gridCol w:w="964"/>
      </w:tblGrid>
      <w:tr w:rsidR="002E375F" w14:paraId="09136519" w14:textId="77777777" w:rsidTr="00A505CE">
        <w:tc>
          <w:tcPr>
            <w:tcW w:w="7124" w:type="dxa"/>
            <w:tcBorders>
              <w:top w:val="nil"/>
              <w:left w:val="nil"/>
              <w:bottom w:val="nil"/>
              <w:right w:val="nil"/>
            </w:tcBorders>
            <w:shd w:val="clear" w:color="auto" w:fill="FFFFFF"/>
            <w:vAlign w:val="bottom"/>
          </w:tcPr>
          <w:p w14:paraId="22004CC2" w14:textId="77777777" w:rsidR="002E375F" w:rsidRDefault="002E375F" w:rsidP="00943EF1">
            <w:pPr>
              <w:pStyle w:val="Heading3"/>
            </w:pPr>
          </w:p>
        </w:tc>
        <w:tc>
          <w:tcPr>
            <w:tcW w:w="964" w:type="dxa"/>
            <w:tcBorders>
              <w:top w:val="nil"/>
              <w:left w:val="nil"/>
              <w:bottom w:val="nil"/>
              <w:right w:val="nil"/>
            </w:tcBorders>
            <w:shd w:val="clear" w:color="auto" w:fill="FFFFFF"/>
            <w:vAlign w:val="bottom"/>
          </w:tcPr>
          <w:p w14:paraId="008D60D5"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4AC88141" w14:textId="77777777" w:rsidR="002E375F" w:rsidRDefault="00EB2569" w:rsidP="00862FE1">
            <w:pPr>
              <w:pStyle w:val="Heading3"/>
              <w:jc w:val="right"/>
            </w:pPr>
            <w:r>
              <w:rPr>
                <w:rFonts w:ascii="Arial" w:hAnsi="Arial" w:cs="Arial"/>
                <w:sz w:val="18"/>
                <w:szCs w:val="18"/>
              </w:rPr>
              <w:t>2019</w:t>
            </w:r>
            <w:r>
              <w:rPr>
                <w:rFonts w:ascii="Arial" w:hAnsi="Arial" w:cs="Arial"/>
                <w:sz w:val="18"/>
                <w:szCs w:val="18"/>
              </w:rPr>
              <w:br/>
              <w:t>$'000</w:t>
            </w:r>
          </w:p>
        </w:tc>
      </w:tr>
      <w:tr w:rsidR="002E375F" w14:paraId="2F6085C8" w14:textId="77777777" w:rsidTr="00A505CE">
        <w:tc>
          <w:tcPr>
            <w:tcW w:w="7124" w:type="dxa"/>
            <w:tcBorders>
              <w:top w:val="nil"/>
              <w:left w:val="nil"/>
              <w:bottom w:val="nil"/>
              <w:right w:val="nil"/>
            </w:tcBorders>
            <w:shd w:val="clear" w:color="auto" w:fill="FFFFFF"/>
            <w:vAlign w:val="bottom"/>
          </w:tcPr>
          <w:p w14:paraId="481A1DCA"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Current</w:t>
            </w:r>
          </w:p>
        </w:tc>
        <w:tc>
          <w:tcPr>
            <w:tcW w:w="964" w:type="dxa"/>
            <w:tcBorders>
              <w:top w:val="nil"/>
              <w:left w:val="nil"/>
              <w:bottom w:val="nil"/>
              <w:right w:val="nil"/>
            </w:tcBorders>
            <w:shd w:val="clear" w:color="auto" w:fill="FFFFFF"/>
            <w:vAlign w:val="bottom"/>
          </w:tcPr>
          <w:p w14:paraId="2CF5A095"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661E3191"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6FD7360F" w14:textId="77777777" w:rsidTr="00A505CE">
        <w:tc>
          <w:tcPr>
            <w:tcW w:w="7124" w:type="dxa"/>
            <w:tcBorders>
              <w:top w:val="nil"/>
              <w:left w:val="nil"/>
              <w:bottom w:val="nil"/>
              <w:right w:val="nil"/>
            </w:tcBorders>
            <w:shd w:val="clear" w:color="auto" w:fill="FFFFFF"/>
            <w:vAlign w:val="bottom"/>
          </w:tcPr>
          <w:p w14:paraId="24F9180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Service concessions available</w:t>
            </w:r>
          </w:p>
        </w:tc>
        <w:tc>
          <w:tcPr>
            <w:tcW w:w="964" w:type="dxa"/>
            <w:tcBorders>
              <w:top w:val="nil"/>
              <w:left w:val="nil"/>
              <w:bottom w:val="nil"/>
              <w:right w:val="nil"/>
            </w:tcBorders>
            <w:shd w:val="clear" w:color="auto" w:fill="FFFFFF"/>
            <w:vAlign w:val="bottom"/>
          </w:tcPr>
          <w:p w14:paraId="031BC499"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93,867</w:t>
            </w:r>
          </w:p>
        </w:tc>
        <w:tc>
          <w:tcPr>
            <w:tcW w:w="964" w:type="dxa"/>
            <w:tcBorders>
              <w:top w:val="nil"/>
              <w:left w:val="nil"/>
              <w:bottom w:val="nil"/>
              <w:right w:val="nil"/>
            </w:tcBorders>
            <w:shd w:val="clear" w:color="auto" w:fill="FFFFFF"/>
            <w:vAlign w:val="bottom"/>
          </w:tcPr>
          <w:p w14:paraId="5B51E551"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19,502</w:t>
            </w:r>
          </w:p>
        </w:tc>
      </w:tr>
      <w:tr w:rsidR="002E375F" w14:paraId="614086BA" w14:textId="77777777" w:rsidTr="00A505CE">
        <w:tc>
          <w:tcPr>
            <w:tcW w:w="7124" w:type="dxa"/>
            <w:tcBorders>
              <w:top w:val="nil"/>
              <w:left w:val="nil"/>
              <w:bottom w:val="nil"/>
              <w:right w:val="nil"/>
            </w:tcBorders>
            <w:shd w:val="clear" w:color="auto" w:fill="FFFFFF"/>
            <w:vAlign w:val="bottom"/>
          </w:tcPr>
          <w:p w14:paraId="2E41C1EE"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Appropriation revenue payable</w:t>
            </w:r>
          </w:p>
        </w:tc>
        <w:tc>
          <w:tcPr>
            <w:tcW w:w="964" w:type="dxa"/>
            <w:tcBorders>
              <w:top w:val="nil"/>
              <w:left w:val="nil"/>
              <w:bottom w:val="nil"/>
              <w:right w:val="nil"/>
            </w:tcBorders>
            <w:shd w:val="clear" w:color="auto" w:fill="FFFFFF"/>
            <w:vAlign w:val="bottom"/>
          </w:tcPr>
          <w:p w14:paraId="2BB9914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w:t>
            </w:r>
          </w:p>
        </w:tc>
        <w:tc>
          <w:tcPr>
            <w:tcW w:w="964" w:type="dxa"/>
            <w:tcBorders>
              <w:top w:val="nil"/>
              <w:left w:val="nil"/>
              <w:bottom w:val="nil"/>
              <w:right w:val="nil"/>
            </w:tcBorders>
            <w:shd w:val="clear" w:color="auto" w:fill="FFFFFF"/>
            <w:vAlign w:val="bottom"/>
          </w:tcPr>
          <w:p w14:paraId="0906B45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155,617</w:t>
            </w:r>
          </w:p>
        </w:tc>
      </w:tr>
      <w:tr w:rsidR="002E375F" w14:paraId="09AAB7B7" w14:textId="77777777" w:rsidTr="00A505CE">
        <w:tc>
          <w:tcPr>
            <w:tcW w:w="7124" w:type="dxa"/>
            <w:tcBorders>
              <w:top w:val="nil"/>
              <w:left w:val="nil"/>
              <w:bottom w:val="nil"/>
              <w:right w:val="nil"/>
            </w:tcBorders>
            <w:shd w:val="clear" w:color="auto" w:fill="FFFFFF"/>
            <w:vAlign w:val="bottom"/>
          </w:tcPr>
          <w:p w14:paraId="037D7EB7"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Trade creditors and accruals</w:t>
            </w:r>
          </w:p>
        </w:tc>
        <w:tc>
          <w:tcPr>
            <w:tcW w:w="964" w:type="dxa"/>
            <w:tcBorders>
              <w:top w:val="nil"/>
              <w:left w:val="nil"/>
              <w:bottom w:val="nil"/>
              <w:right w:val="nil"/>
            </w:tcBorders>
            <w:shd w:val="clear" w:color="auto" w:fill="FFFFFF"/>
            <w:vAlign w:val="bottom"/>
          </w:tcPr>
          <w:p w14:paraId="0072F09A"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10</w:t>
            </w:r>
          </w:p>
        </w:tc>
        <w:tc>
          <w:tcPr>
            <w:tcW w:w="964" w:type="dxa"/>
            <w:tcBorders>
              <w:top w:val="nil"/>
              <w:left w:val="nil"/>
              <w:bottom w:val="nil"/>
              <w:right w:val="nil"/>
            </w:tcBorders>
            <w:shd w:val="clear" w:color="auto" w:fill="FFFFFF"/>
            <w:vAlign w:val="bottom"/>
          </w:tcPr>
          <w:p w14:paraId="5484E74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2,008</w:t>
            </w:r>
          </w:p>
        </w:tc>
      </w:tr>
      <w:tr w:rsidR="002E375F" w14:paraId="044FD1DF" w14:textId="77777777" w:rsidTr="00A505CE">
        <w:tc>
          <w:tcPr>
            <w:tcW w:w="7124" w:type="dxa"/>
            <w:tcBorders>
              <w:top w:val="nil"/>
              <w:left w:val="nil"/>
              <w:bottom w:val="nil"/>
              <w:right w:val="nil"/>
            </w:tcBorders>
            <w:shd w:val="clear" w:color="auto" w:fill="FFFFFF"/>
            <w:vAlign w:val="bottom"/>
          </w:tcPr>
          <w:p w14:paraId="7556A9A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Grants and subsidies payable</w:t>
            </w:r>
          </w:p>
        </w:tc>
        <w:tc>
          <w:tcPr>
            <w:tcW w:w="964" w:type="dxa"/>
            <w:tcBorders>
              <w:top w:val="nil"/>
              <w:left w:val="nil"/>
              <w:bottom w:val="nil"/>
              <w:right w:val="nil"/>
            </w:tcBorders>
            <w:shd w:val="clear" w:color="auto" w:fill="FFFFFF"/>
            <w:vAlign w:val="bottom"/>
          </w:tcPr>
          <w:p w14:paraId="18B6E15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141,895</w:t>
            </w:r>
          </w:p>
        </w:tc>
        <w:tc>
          <w:tcPr>
            <w:tcW w:w="964" w:type="dxa"/>
            <w:tcBorders>
              <w:top w:val="nil"/>
              <w:left w:val="nil"/>
              <w:bottom w:val="nil"/>
              <w:right w:val="nil"/>
            </w:tcBorders>
            <w:shd w:val="clear" w:color="auto" w:fill="FFFFFF"/>
            <w:vAlign w:val="bottom"/>
          </w:tcPr>
          <w:p w14:paraId="3AEF2AF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152,391</w:t>
            </w:r>
          </w:p>
        </w:tc>
      </w:tr>
      <w:tr w:rsidR="002E375F" w14:paraId="7429693E" w14:textId="77777777" w:rsidTr="00A505CE">
        <w:tc>
          <w:tcPr>
            <w:tcW w:w="7124" w:type="dxa"/>
            <w:tcBorders>
              <w:top w:val="nil"/>
              <w:left w:val="nil"/>
              <w:bottom w:val="nil"/>
              <w:right w:val="nil"/>
            </w:tcBorders>
            <w:shd w:val="clear" w:color="auto" w:fill="FFFFFF"/>
            <w:vAlign w:val="bottom"/>
          </w:tcPr>
          <w:p w14:paraId="05331BD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Other</w:t>
            </w:r>
          </w:p>
        </w:tc>
        <w:tc>
          <w:tcPr>
            <w:tcW w:w="964" w:type="dxa"/>
            <w:tcBorders>
              <w:top w:val="nil"/>
              <w:left w:val="nil"/>
              <w:bottom w:val="single" w:sz="2" w:space="0" w:color="auto"/>
              <w:right w:val="nil"/>
            </w:tcBorders>
            <w:shd w:val="clear" w:color="auto" w:fill="FFFFFF"/>
            <w:vAlign w:val="bottom"/>
          </w:tcPr>
          <w:p w14:paraId="14BF2FE4"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w:t>
            </w:r>
          </w:p>
        </w:tc>
        <w:tc>
          <w:tcPr>
            <w:tcW w:w="964" w:type="dxa"/>
            <w:tcBorders>
              <w:top w:val="nil"/>
              <w:left w:val="nil"/>
              <w:bottom w:val="single" w:sz="2" w:space="0" w:color="auto"/>
              <w:right w:val="nil"/>
            </w:tcBorders>
            <w:shd w:val="clear" w:color="auto" w:fill="FFFFFF"/>
            <w:vAlign w:val="bottom"/>
          </w:tcPr>
          <w:p w14:paraId="059D073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1</w:t>
            </w:r>
          </w:p>
        </w:tc>
      </w:tr>
      <w:tr w:rsidR="002E375F" w14:paraId="24CE3CA9" w14:textId="77777777" w:rsidTr="00A505CE">
        <w:tc>
          <w:tcPr>
            <w:tcW w:w="7124" w:type="dxa"/>
            <w:tcBorders>
              <w:top w:val="nil"/>
              <w:left w:val="nil"/>
              <w:bottom w:val="nil"/>
              <w:right w:val="nil"/>
            </w:tcBorders>
            <w:shd w:val="clear" w:color="auto" w:fill="FFFFFF"/>
            <w:vAlign w:val="bottom"/>
          </w:tcPr>
          <w:p w14:paraId="73B76130"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w:t>
            </w:r>
          </w:p>
        </w:tc>
        <w:tc>
          <w:tcPr>
            <w:tcW w:w="964" w:type="dxa"/>
            <w:tcBorders>
              <w:top w:val="nil"/>
              <w:left w:val="nil"/>
              <w:bottom w:val="single" w:sz="2" w:space="0" w:color="auto"/>
              <w:right w:val="nil"/>
            </w:tcBorders>
            <w:shd w:val="clear" w:color="auto" w:fill="FFFFFF"/>
            <w:vAlign w:val="bottom"/>
          </w:tcPr>
          <w:p w14:paraId="5D185D6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235,774</w:t>
            </w:r>
          </w:p>
        </w:tc>
        <w:tc>
          <w:tcPr>
            <w:tcW w:w="964" w:type="dxa"/>
            <w:tcBorders>
              <w:top w:val="nil"/>
              <w:left w:val="nil"/>
              <w:bottom w:val="single" w:sz="2" w:space="0" w:color="auto"/>
              <w:right w:val="nil"/>
            </w:tcBorders>
            <w:shd w:val="clear" w:color="auto" w:fill="FFFFFF"/>
            <w:vAlign w:val="bottom"/>
          </w:tcPr>
          <w:p w14:paraId="0AC43913"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329,519</w:t>
            </w:r>
          </w:p>
        </w:tc>
      </w:tr>
    </w:tbl>
    <w:p w14:paraId="16F9E00F" w14:textId="77777777" w:rsidR="00A505CE" w:rsidRDefault="00A505CE" w:rsidP="00862FE1">
      <w:pPr>
        <w:pStyle w:val="Heading3"/>
        <w:spacing w:before="240"/>
      </w:pPr>
      <w:r>
        <w:t>G1-8 Financial Instruments</w:t>
      </w:r>
    </w:p>
    <w:p w14:paraId="0B156FED" w14:textId="77777777" w:rsidR="002E375F" w:rsidRDefault="00EB2569" w:rsidP="00BD728B">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 does not consider that there are any material financial management risks associated with the above financial assets and liabilities.</w:t>
      </w:r>
    </w:p>
    <w:p w14:paraId="50738DB8" w14:textId="77777777" w:rsidR="002E375F" w:rsidRDefault="00EB2569" w:rsidP="00BD728B">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The department has the following categories of financial assets and financial liabilities:</w:t>
      </w:r>
    </w:p>
    <w:tbl>
      <w:tblPr>
        <w:tblW w:w="0" w:type="auto"/>
        <w:tblLayout w:type="fixed"/>
        <w:tblCellMar>
          <w:left w:w="0" w:type="dxa"/>
          <w:right w:w="0" w:type="dxa"/>
        </w:tblCellMar>
        <w:tblLook w:val="0000" w:firstRow="0" w:lastRow="0" w:firstColumn="0" w:lastColumn="0" w:noHBand="0" w:noVBand="0"/>
      </w:tblPr>
      <w:tblGrid>
        <w:gridCol w:w="6537"/>
        <w:gridCol w:w="567"/>
        <w:gridCol w:w="964"/>
        <w:gridCol w:w="965"/>
      </w:tblGrid>
      <w:tr w:rsidR="002E375F" w14:paraId="040E970F" w14:textId="77777777">
        <w:tc>
          <w:tcPr>
            <w:tcW w:w="6537" w:type="dxa"/>
            <w:tcBorders>
              <w:top w:val="nil"/>
              <w:left w:val="nil"/>
              <w:bottom w:val="nil"/>
              <w:right w:val="nil"/>
            </w:tcBorders>
            <w:shd w:val="clear" w:color="auto" w:fill="FFFFFF"/>
            <w:vAlign w:val="bottom"/>
          </w:tcPr>
          <w:p w14:paraId="7C10B5A4" w14:textId="77777777" w:rsidR="002E375F" w:rsidRDefault="002E375F" w:rsidP="00943EF1">
            <w:pPr>
              <w:pStyle w:val="Heading3"/>
            </w:pPr>
          </w:p>
        </w:tc>
        <w:tc>
          <w:tcPr>
            <w:tcW w:w="567" w:type="dxa"/>
            <w:tcBorders>
              <w:top w:val="nil"/>
              <w:left w:val="nil"/>
              <w:bottom w:val="nil"/>
              <w:right w:val="nil"/>
            </w:tcBorders>
            <w:shd w:val="clear" w:color="auto" w:fill="FFFFFF"/>
            <w:vAlign w:val="bottom"/>
          </w:tcPr>
          <w:p w14:paraId="281540B4" w14:textId="77777777" w:rsidR="002E375F" w:rsidRDefault="00EB2569" w:rsidP="00943EF1">
            <w:pPr>
              <w:pStyle w:val="Heading3"/>
            </w:pPr>
            <w:r>
              <w:rPr>
                <w:rFonts w:ascii="Arial" w:hAnsi="Arial" w:cs="Arial"/>
                <w:b/>
                <w:bCs/>
                <w:sz w:val="18"/>
                <w:szCs w:val="18"/>
              </w:rPr>
              <w:t>Note</w:t>
            </w:r>
          </w:p>
        </w:tc>
        <w:tc>
          <w:tcPr>
            <w:tcW w:w="964" w:type="dxa"/>
            <w:tcBorders>
              <w:top w:val="nil"/>
              <w:left w:val="nil"/>
              <w:bottom w:val="nil"/>
              <w:right w:val="nil"/>
            </w:tcBorders>
            <w:shd w:val="clear" w:color="auto" w:fill="FFFFFF"/>
            <w:vAlign w:val="bottom"/>
          </w:tcPr>
          <w:p w14:paraId="525FF110" w14:textId="77777777" w:rsidR="002E375F" w:rsidRDefault="00EB2569" w:rsidP="00862FE1">
            <w:pPr>
              <w:pStyle w:val="Heading3"/>
              <w:jc w:val="right"/>
            </w:pPr>
            <w:r>
              <w:rPr>
                <w:rFonts w:ascii="Arial" w:hAnsi="Arial" w:cs="Arial"/>
                <w:b/>
                <w:bCs/>
                <w:sz w:val="18"/>
                <w:szCs w:val="18"/>
              </w:rPr>
              <w:t>2020</w:t>
            </w:r>
            <w:r>
              <w:rPr>
                <w:rFonts w:ascii="Arial" w:hAnsi="Arial" w:cs="Arial"/>
                <w:b/>
                <w:bCs/>
                <w:sz w:val="18"/>
                <w:szCs w:val="18"/>
              </w:rPr>
              <w:br/>
              <w:t>$'000</w:t>
            </w:r>
          </w:p>
        </w:tc>
        <w:tc>
          <w:tcPr>
            <w:tcW w:w="964" w:type="dxa"/>
            <w:tcBorders>
              <w:top w:val="nil"/>
              <w:left w:val="nil"/>
              <w:bottom w:val="nil"/>
              <w:right w:val="nil"/>
            </w:tcBorders>
            <w:shd w:val="clear" w:color="auto" w:fill="FFFFFF"/>
            <w:vAlign w:val="bottom"/>
          </w:tcPr>
          <w:p w14:paraId="45AFCB14" w14:textId="77777777" w:rsidR="002E375F" w:rsidRDefault="00EB2569" w:rsidP="00862FE1">
            <w:pPr>
              <w:pStyle w:val="Heading3"/>
              <w:jc w:val="right"/>
            </w:pPr>
            <w:r>
              <w:rPr>
                <w:rFonts w:ascii="Arial" w:hAnsi="Arial" w:cs="Arial"/>
                <w:sz w:val="18"/>
                <w:szCs w:val="18"/>
              </w:rPr>
              <w:t>2019</w:t>
            </w:r>
            <w:r>
              <w:rPr>
                <w:rFonts w:ascii="Arial" w:hAnsi="Arial" w:cs="Arial"/>
                <w:sz w:val="18"/>
                <w:szCs w:val="18"/>
              </w:rPr>
              <w:br/>
              <w:t>$'000</w:t>
            </w:r>
          </w:p>
        </w:tc>
      </w:tr>
      <w:tr w:rsidR="002E375F" w14:paraId="1E54F150" w14:textId="77777777">
        <w:tc>
          <w:tcPr>
            <w:tcW w:w="6537" w:type="dxa"/>
            <w:tcBorders>
              <w:top w:val="nil"/>
              <w:left w:val="nil"/>
              <w:bottom w:val="nil"/>
              <w:right w:val="nil"/>
            </w:tcBorders>
            <w:shd w:val="clear" w:color="auto" w:fill="FFFFFF"/>
            <w:vAlign w:val="bottom"/>
          </w:tcPr>
          <w:p w14:paraId="3EC5D74B"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Financial Assets</w:t>
            </w:r>
          </w:p>
        </w:tc>
        <w:tc>
          <w:tcPr>
            <w:tcW w:w="567" w:type="dxa"/>
            <w:tcBorders>
              <w:top w:val="nil"/>
              <w:left w:val="nil"/>
              <w:bottom w:val="nil"/>
              <w:right w:val="nil"/>
            </w:tcBorders>
            <w:shd w:val="clear" w:color="auto" w:fill="FFFFFF"/>
            <w:vAlign w:val="bottom"/>
          </w:tcPr>
          <w:p w14:paraId="46E11E9B"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55FE94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0B85929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593D50B2" w14:textId="77777777">
        <w:tc>
          <w:tcPr>
            <w:tcW w:w="6537" w:type="dxa"/>
            <w:tcBorders>
              <w:top w:val="nil"/>
              <w:left w:val="nil"/>
              <w:bottom w:val="nil"/>
              <w:right w:val="nil"/>
            </w:tcBorders>
            <w:shd w:val="clear" w:color="auto" w:fill="FFFFFF"/>
            <w:vAlign w:val="bottom"/>
          </w:tcPr>
          <w:p w14:paraId="3BBA50B8"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Cash and cash equivalents</w:t>
            </w:r>
          </w:p>
        </w:tc>
        <w:tc>
          <w:tcPr>
            <w:tcW w:w="567" w:type="dxa"/>
            <w:tcBorders>
              <w:top w:val="nil"/>
              <w:left w:val="nil"/>
              <w:bottom w:val="nil"/>
              <w:right w:val="nil"/>
            </w:tcBorders>
            <w:shd w:val="clear" w:color="auto" w:fill="FFFFFF"/>
            <w:vAlign w:val="bottom"/>
          </w:tcPr>
          <w:p w14:paraId="75B787B2"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1CDDA43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190,692</w:t>
            </w:r>
          </w:p>
        </w:tc>
        <w:tc>
          <w:tcPr>
            <w:tcW w:w="964" w:type="dxa"/>
            <w:tcBorders>
              <w:top w:val="nil"/>
              <w:left w:val="nil"/>
              <w:bottom w:val="nil"/>
              <w:right w:val="nil"/>
            </w:tcBorders>
            <w:shd w:val="clear" w:color="auto" w:fill="FFFFFF"/>
            <w:vAlign w:val="bottom"/>
          </w:tcPr>
          <w:p w14:paraId="7DF2734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256,300</w:t>
            </w:r>
          </w:p>
        </w:tc>
      </w:tr>
      <w:tr w:rsidR="002E375F" w14:paraId="5BC1A277" w14:textId="77777777">
        <w:tc>
          <w:tcPr>
            <w:tcW w:w="9033" w:type="dxa"/>
            <w:gridSpan w:val="4"/>
            <w:tcBorders>
              <w:top w:val="nil"/>
              <w:left w:val="nil"/>
              <w:bottom w:val="nil"/>
              <w:right w:val="nil"/>
            </w:tcBorders>
            <w:shd w:val="clear" w:color="auto" w:fill="FFFFFF"/>
            <w:vAlign w:val="bottom"/>
          </w:tcPr>
          <w:p w14:paraId="204D97B4"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Financial assets at amortised cost:</w:t>
            </w:r>
          </w:p>
        </w:tc>
      </w:tr>
      <w:tr w:rsidR="002E375F" w14:paraId="0C008D51" w14:textId="77777777">
        <w:tc>
          <w:tcPr>
            <w:tcW w:w="6537" w:type="dxa"/>
            <w:tcBorders>
              <w:top w:val="nil"/>
              <w:left w:val="nil"/>
              <w:bottom w:val="nil"/>
              <w:right w:val="nil"/>
            </w:tcBorders>
            <w:shd w:val="clear" w:color="auto" w:fill="FFFFFF"/>
            <w:vAlign w:val="bottom"/>
          </w:tcPr>
          <w:p w14:paraId="2E82936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Current Receivables</w:t>
            </w:r>
          </w:p>
        </w:tc>
        <w:tc>
          <w:tcPr>
            <w:tcW w:w="567" w:type="dxa"/>
            <w:tcBorders>
              <w:top w:val="nil"/>
              <w:left w:val="nil"/>
              <w:bottom w:val="nil"/>
              <w:right w:val="nil"/>
            </w:tcBorders>
            <w:shd w:val="clear" w:color="auto" w:fill="FFFFFF"/>
            <w:vAlign w:val="bottom"/>
          </w:tcPr>
          <w:p w14:paraId="625DF75D"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 xml:space="preserve">G1-6 </w:t>
            </w:r>
          </w:p>
        </w:tc>
        <w:tc>
          <w:tcPr>
            <w:tcW w:w="964" w:type="dxa"/>
            <w:tcBorders>
              <w:top w:val="nil"/>
              <w:left w:val="nil"/>
              <w:bottom w:val="single" w:sz="2" w:space="0" w:color="auto"/>
              <w:right w:val="nil"/>
            </w:tcBorders>
            <w:shd w:val="clear" w:color="auto" w:fill="FFFFFF"/>
            <w:vAlign w:val="bottom"/>
          </w:tcPr>
          <w:p w14:paraId="49E78AEB"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16,964</w:t>
            </w:r>
          </w:p>
        </w:tc>
        <w:tc>
          <w:tcPr>
            <w:tcW w:w="964" w:type="dxa"/>
            <w:tcBorders>
              <w:top w:val="nil"/>
              <w:left w:val="nil"/>
              <w:bottom w:val="single" w:sz="2" w:space="0" w:color="auto"/>
              <w:right w:val="nil"/>
            </w:tcBorders>
            <w:shd w:val="clear" w:color="auto" w:fill="FFFFFF"/>
            <w:vAlign w:val="bottom"/>
          </w:tcPr>
          <w:p w14:paraId="52C934EF"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2,202</w:t>
            </w:r>
          </w:p>
        </w:tc>
      </w:tr>
      <w:tr w:rsidR="002E375F" w14:paraId="6D002C12" w14:textId="77777777">
        <w:tc>
          <w:tcPr>
            <w:tcW w:w="6537" w:type="dxa"/>
            <w:tcBorders>
              <w:top w:val="nil"/>
              <w:left w:val="nil"/>
              <w:bottom w:val="nil"/>
              <w:right w:val="nil"/>
            </w:tcBorders>
            <w:shd w:val="clear" w:color="auto" w:fill="FFFFFF"/>
            <w:vAlign w:val="bottom"/>
          </w:tcPr>
          <w:p w14:paraId="0C3A23C3"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financial assets</w:t>
            </w:r>
          </w:p>
        </w:tc>
        <w:tc>
          <w:tcPr>
            <w:tcW w:w="567" w:type="dxa"/>
            <w:tcBorders>
              <w:top w:val="nil"/>
              <w:left w:val="nil"/>
              <w:bottom w:val="nil"/>
              <w:right w:val="nil"/>
            </w:tcBorders>
            <w:shd w:val="clear" w:color="auto" w:fill="FFFFFF"/>
            <w:vAlign w:val="bottom"/>
          </w:tcPr>
          <w:p w14:paraId="2D7AA052"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54653145"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207,656</w:t>
            </w:r>
          </w:p>
        </w:tc>
        <w:tc>
          <w:tcPr>
            <w:tcW w:w="964" w:type="dxa"/>
            <w:tcBorders>
              <w:top w:val="nil"/>
              <w:left w:val="nil"/>
              <w:bottom w:val="single" w:sz="2" w:space="0" w:color="auto"/>
              <w:right w:val="nil"/>
            </w:tcBorders>
            <w:shd w:val="clear" w:color="auto" w:fill="FFFFFF"/>
            <w:vAlign w:val="bottom"/>
          </w:tcPr>
          <w:p w14:paraId="492008D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258,502</w:t>
            </w:r>
          </w:p>
        </w:tc>
      </w:tr>
      <w:tr w:rsidR="002E375F" w14:paraId="49E82ECF" w14:textId="77777777">
        <w:tc>
          <w:tcPr>
            <w:tcW w:w="9033" w:type="dxa"/>
            <w:gridSpan w:val="4"/>
            <w:tcBorders>
              <w:top w:val="nil"/>
              <w:left w:val="nil"/>
              <w:bottom w:val="nil"/>
              <w:right w:val="nil"/>
            </w:tcBorders>
            <w:shd w:val="clear" w:color="auto" w:fill="FFFFFF"/>
            <w:vAlign w:val="bottom"/>
          </w:tcPr>
          <w:p w14:paraId="3AA79411"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Financial Liabilities</w:t>
            </w:r>
          </w:p>
        </w:tc>
      </w:tr>
      <w:tr w:rsidR="002E375F" w14:paraId="62B4EE9C" w14:textId="77777777">
        <w:tc>
          <w:tcPr>
            <w:tcW w:w="6537" w:type="dxa"/>
            <w:tcBorders>
              <w:top w:val="nil"/>
              <w:left w:val="nil"/>
              <w:bottom w:val="nil"/>
              <w:right w:val="nil"/>
            </w:tcBorders>
            <w:shd w:val="clear" w:color="auto" w:fill="FFFFFF"/>
            <w:vAlign w:val="bottom"/>
          </w:tcPr>
          <w:p w14:paraId="6B58A4D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Financial liabilities at amortised cost - comprising:</w:t>
            </w:r>
          </w:p>
        </w:tc>
        <w:tc>
          <w:tcPr>
            <w:tcW w:w="567" w:type="dxa"/>
            <w:tcBorders>
              <w:top w:val="nil"/>
              <w:left w:val="nil"/>
              <w:bottom w:val="nil"/>
              <w:right w:val="nil"/>
            </w:tcBorders>
            <w:shd w:val="clear" w:color="auto" w:fill="FFFFFF"/>
            <w:vAlign w:val="bottom"/>
          </w:tcPr>
          <w:p w14:paraId="42B8F70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4CE93ABB"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vAlign w:val="bottom"/>
          </w:tcPr>
          <w:p w14:paraId="2A7EEF74"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r>
      <w:tr w:rsidR="002E375F" w14:paraId="73043FCA" w14:textId="77777777">
        <w:tc>
          <w:tcPr>
            <w:tcW w:w="6537" w:type="dxa"/>
            <w:tcBorders>
              <w:top w:val="nil"/>
              <w:left w:val="nil"/>
              <w:bottom w:val="nil"/>
              <w:right w:val="nil"/>
            </w:tcBorders>
            <w:shd w:val="clear" w:color="auto" w:fill="FFFFFF"/>
            <w:vAlign w:val="bottom"/>
          </w:tcPr>
          <w:p w14:paraId="5232BCB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Payables</w:t>
            </w:r>
          </w:p>
        </w:tc>
        <w:tc>
          <w:tcPr>
            <w:tcW w:w="567" w:type="dxa"/>
            <w:tcBorders>
              <w:top w:val="nil"/>
              <w:left w:val="nil"/>
              <w:bottom w:val="nil"/>
              <w:right w:val="nil"/>
            </w:tcBorders>
            <w:shd w:val="clear" w:color="auto" w:fill="FFFFFF"/>
            <w:vAlign w:val="bottom"/>
          </w:tcPr>
          <w:p w14:paraId="7F7EEE2E" w14:textId="77777777" w:rsidR="002E375F" w:rsidRDefault="00EB2569">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 xml:space="preserve">G1-7 </w:t>
            </w:r>
          </w:p>
        </w:tc>
        <w:tc>
          <w:tcPr>
            <w:tcW w:w="964" w:type="dxa"/>
            <w:tcBorders>
              <w:top w:val="nil"/>
              <w:left w:val="nil"/>
              <w:bottom w:val="single" w:sz="2" w:space="0" w:color="auto"/>
              <w:right w:val="nil"/>
            </w:tcBorders>
            <w:shd w:val="clear" w:color="auto" w:fill="FFFFFF"/>
            <w:vAlign w:val="bottom"/>
          </w:tcPr>
          <w:p w14:paraId="438446E8"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235,774</w:t>
            </w:r>
          </w:p>
        </w:tc>
        <w:tc>
          <w:tcPr>
            <w:tcW w:w="964" w:type="dxa"/>
            <w:tcBorders>
              <w:top w:val="nil"/>
              <w:left w:val="nil"/>
              <w:bottom w:val="single" w:sz="2" w:space="0" w:color="auto"/>
              <w:right w:val="nil"/>
            </w:tcBorders>
            <w:shd w:val="clear" w:color="auto" w:fill="FFFFFF"/>
            <w:vAlign w:val="bottom"/>
          </w:tcPr>
          <w:p w14:paraId="44A11736"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329,519</w:t>
            </w:r>
          </w:p>
        </w:tc>
      </w:tr>
      <w:tr w:rsidR="002E375F" w14:paraId="64CCCE55" w14:textId="77777777">
        <w:tc>
          <w:tcPr>
            <w:tcW w:w="6537" w:type="dxa"/>
            <w:tcBorders>
              <w:top w:val="nil"/>
              <w:left w:val="nil"/>
              <w:bottom w:val="nil"/>
              <w:right w:val="nil"/>
            </w:tcBorders>
            <w:shd w:val="clear" w:color="auto" w:fill="FFFFFF"/>
            <w:vAlign w:val="bottom"/>
          </w:tcPr>
          <w:p w14:paraId="05102C09" w14:textId="77777777" w:rsidR="002E375F" w:rsidRDefault="00EB2569">
            <w:pPr>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Total financial liabilities at amortised cost</w:t>
            </w:r>
          </w:p>
        </w:tc>
        <w:tc>
          <w:tcPr>
            <w:tcW w:w="567" w:type="dxa"/>
            <w:tcBorders>
              <w:top w:val="nil"/>
              <w:left w:val="nil"/>
              <w:bottom w:val="nil"/>
              <w:right w:val="nil"/>
            </w:tcBorders>
            <w:shd w:val="clear" w:color="auto" w:fill="FFFFFF"/>
            <w:vAlign w:val="bottom"/>
          </w:tcPr>
          <w:p w14:paraId="58760E4A" w14:textId="77777777" w:rsidR="002E375F" w:rsidRDefault="002E375F">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single" w:sz="2" w:space="0" w:color="auto"/>
              <w:right w:val="nil"/>
            </w:tcBorders>
            <w:shd w:val="clear" w:color="auto" w:fill="FFFFFF"/>
            <w:vAlign w:val="bottom"/>
          </w:tcPr>
          <w:p w14:paraId="440F0F7D"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235,774</w:t>
            </w:r>
          </w:p>
        </w:tc>
        <w:tc>
          <w:tcPr>
            <w:tcW w:w="964" w:type="dxa"/>
            <w:tcBorders>
              <w:top w:val="nil"/>
              <w:left w:val="nil"/>
              <w:bottom w:val="single" w:sz="2" w:space="0" w:color="auto"/>
              <w:right w:val="nil"/>
            </w:tcBorders>
            <w:shd w:val="clear" w:color="auto" w:fill="FFFFFF"/>
            <w:vAlign w:val="bottom"/>
          </w:tcPr>
          <w:p w14:paraId="10D209C0" w14:textId="77777777" w:rsidR="002E375F" w:rsidRDefault="00EB2569">
            <w:pPr>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329,519</w:t>
            </w:r>
          </w:p>
        </w:tc>
      </w:tr>
    </w:tbl>
    <w:p w14:paraId="20148CF0"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4F6FA8E8"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09AF9E55"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3159D262" w14:textId="77777777" w:rsidR="002E375F" w:rsidRDefault="00EB2569" w:rsidP="008405EE">
      <w:pPr>
        <w:pStyle w:val="Heading2"/>
        <w:spacing w:before="0"/>
        <w:rPr>
          <w:rFonts w:ascii="Times New Roman" w:hAnsi="Times New Roman" w:cs="Times New Roman"/>
          <w:sz w:val="24"/>
          <w:szCs w:val="24"/>
        </w:rPr>
      </w:pPr>
      <w:r>
        <w:t>Notes to the Financial Statements</w:t>
      </w:r>
    </w:p>
    <w:p w14:paraId="5DE8D995"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48F01D1E"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3E99E8A2" w14:textId="77777777" w:rsidR="00B42ADD" w:rsidRPr="00255F08" w:rsidRDefault="00B42ADD" w:rsidP="00255F08">
      <w:pPr>
        <w:pStyle w:val="Heading3"/>
      </w:pPr>
      <w:r w:rsidRPr="00255F08">
        <w:t>G1 Administered (continued)</w:t>
      </w:r>
    </w:p>
    <w:p w14:paraId="317E556F" w14:textId="77777777" w:rsidR="00B42ADD" w:rsidRPr="00255F08" w:rsidRDefault="00B42ADD" w:rsidP="00255F08">
      <w:pPr>
        <w:pStyle w:val="Heading3"/>
      </w:pPr>
      <w:r w:rsidRPr="00255F08">
        <w:t>G1-9 Budgetary Reporting Disclosures</w:t>
      </w:r>
    </w:p>
    <w:p w14:paraId="56A06135" w14:textId="77777777" w:rsidR="00B42ADD" w:rsidRPr="00B42ADD" w:rsidRDefault="00B42ADD" w:rsidP="00B42ADD">
      <w:pPr>
        <w:pStyle w:val="Heading3"/>
      </w:pPr>
      <w:r w:rsidRPr="00B42ADD">
        <w:t>Explanation of Major Variances - Income Statement</w:t>
      </w:r>
    </w:p>
    <w:p w14:paraId="61BE1EF2" w14:textId="77777777" w:rsidR="002E375F" w:rsidRPr="00E116EC" w:rsidRDefault="00EB2569" w:rsidP="00BD728B">
      <w:pPr>
        <w:pStyle w:val="Heading3"/>
        <w:rPr>
          <w:sz w:val="18"/>
          <w:szCs w:val="18"/>
        </w:rPr>
      </w:pPr>
      <w:r w:rsidRPr="00E116EC">
        <w:rPr>
          <w:sz w:val="18"/>
          <w:szCs w:val="18"/>
        </w:rPr>
        <w:t>Appropriation revenue</w:t>
      </w:r>
    </w:p>
    <w:p w14:paraId="55B60AF2" w14:textId="77777777" w:rsidR="002E375F" w:rsidRDefault="00EB2569" w:rsidP="00BD728B">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Administered appropriation revenue is $785.886M (51.5%) over budget of $1,527.222M due to additional funding being received to support the slower than anticipated transition of specialist disability services' clients to the NDIS, and for announced State Government COVID-19 pandemic economic stimulus packages inclusive of the residential household relief and small to medium business electricity rebates.</w:t>
      </w:r>
    </w:p>
    <w:p w14:paraId="43CEC85F" w14:textId="77777777" w:rsidR="002E375F" w:rsidRPr="00E116EC" w:rsidRDefault="00EB2569" w:rsidP="00BD728B">
      <w:pPr>
        <w:pStyle w:val="Heading3"/>
        <w:rPr>
          <w:sz w:val="18"/>
          <w:szCs w:val="18"/>
        </w:rPr>
      </w:pPr>
      <w:r w:rsidRPr="00E116EC">
        <w:rPr>
          <w:sz w:val="18"/>
          <w:szCs w:val="18"/>
        </w:rPr>
        <w:t>Grants and other contributions</w:t>
      </w:r>
    </w:p>
    <w:p w14:paraId="6EE9B1E9" w14:textId="77777777" w:rsidR="002E375F" w:rsidRDefault="00EB2569" w:rsidP="00BD728B">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Grants and other contributions were $2.676M (3.9%) higher than budget of $69.273M due to natural disaster relief and recovery grants received from the Queensland Reconstruction Authority as a result of community recovery activations.</w:t>
      </w:r>
    </w:p>
    <w:p w14:paraId="165B29D7" w14:textId="77777777" w:rsidR="002E375F" w:rsidRPr="00E116EC" w:rsidRDefault="00EB2569" w:rsidP="00BD728B">
      <w:pPr>
        <w:pStyle w:val="Heading3"/>
        <w:rPr>
          <w:sz w:val="18"/>
          <w:szCs w:val="18"/>
        </w:rPr>
      </w:pPr>
      <w:r w:rsidRPr="00E116EC">
        <w:rPr>
          <w:sz w:val="18"/>
          <w:szCs w:val="18"/>
        </w:rPr>
        <w:t>Employee expenses</w:t>
      </w:r>
    </w:p>
    <w:p w14:paraId="4260C9B0" w14:textId="77777777" w:rsidR="002E375F" w:rsidRDefault="00EB2569" w:rsidP="00BD728B">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Employee expenses of $2.940M were incurred in relation to natural disaster relief and recovery events, and are recoverable from the Queensland Reconstruction Authority.</w:t>
      </w:r>
    </w:p>
    <w:p w14:paraId="162641B4" w14:textId="77777777" w:rsidR="002E375F" w:rsidRPr="00E116EC" w:rsidRDefault="00EB2569" w:rsidP="00BD728B">
      <w:pPr>
        <w:pStyle w:val="Heading3"/>
        <w:rPr>
          <w:sz w:val="18"/>
          <w:szCs w:val="18"/>
        </w:rPr>
      </w:pPr>
      <w:r w:rsidRPr="00E116EC">
        <w:rPr>
          <w:sz w:val="18"/>
          <w:szCs w:val="18"/>
        </w:rPr>
        <w:t>Supplies and services</w:t>
      </w:r>
    </w:p>
    <w:p w14:paraId="54B344EC" w14:textId="77777777" w:rsidR="002E375F" w:rsidRDefault="00EB2569" w:rsidP="00BD728B">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Supplies and services of $8.612M were incurred in relation to natural disaster relief and recovery events, and are recoverable from the Queensland Reconstruction Authority.</w:t>
      </w:r>
    </w:p>
    <w:p w14:paraId="7C67E3DA" w14:textId="77777777" w:rsidR="002E375F" w:rsidRPr="00E116EC" w:rsidRDefault="00EB2569" w:rsidP="00BD728B">
      <w:pPr>
        <w:pStyle w:val="Heading3"/>
        <w:rPr>
          <w:sz w:val="18"/>
          <w:szCs w:val="18"/>
        </w:rPr>
      </w:pPr>
      <w:r w:rsidRPr="00E116EC">
        <w:rPr>
          <w:sz w:val="18"/>
          <w:szCs w:val="18"/>
        </w:rPr>
        <w:t>Grants and Subsidies</w:t>
      </w:r>
    </w:p>
    <w:p w14:paraId="389D2565" w14:textId="77777777" w:rsidR="002E375F" w:rsidRDefault="00EB2569" w:rsidP="00BD728B">
      <w:pPr>
        <w:autoSpaceDE w:val="0"/>
        <w:autoSpaceDN w:val="0"/>
        <w:adjustRightInd w:val="0"/>
        <w:spacing w:after="141" w:line="240" w:lineRule="auto"/>
        <w:rPr>
          <w:rFonts w:ascii="Arial" w:hAnsi="Arial" w:cs="Arial"/>
          <w:sz w:val="18"/>
          <w:szCs w:val="18"/>
        </w:rPr>
      </w:pPr>
      <w:r>
        <w:rPr>
          <w:rFonts w:ascii="Arial" w:hAnsi="Arial" w:cs="Arial"/>
          <w:sz w:val="18"/>
          <w:szCs w:val="18"/>
        </w:rPr>
        <w:t>Grants and subsidies were $736.009M (46.2%) higher than budget of $1,592.208M due to increased payments to the NDIA based on the number of specialist disability services’ clients transitioned to the NDIS, and economic stimulus payments for the residential household relief and small to medium business electricity rebates provided in response to the COVID-19 pandemic.</w:t>
      </w:r>
    </w:p>
    <w:p w14:paraId="7FB06FA0" w14:textId="77777777" w:rsidR="00B42ADD" w:rsidRPr="00B42ADD" w:rsidRDefault="00B42ADD" w:rsidP="00B42ADD">
      <w:pPr>
        <w:pStyle w:val="Heading3"/>
        <w:rPr>
          <w:rFonts w:ascii="Times New Roman" w:hAnsi="Times New Roman" w:cs="Times New Roman"/>
        </w:rPr>
      </w:pPr>
      <w:r w:rsidRPr="00B42ADD">
        <w:t>Explanation of Major Variances – Balance Sheet</w:t>
      </w:r>
    </w:p>
    <w:p w14:paraId="2EB74875" w14:textId="77777777" w:rsidR="002E375F" w:rsidRPr="00E116EC" w:rsidRDefault="00EB2569" w:rsidP="00BD728B">
      <w:pPr>
        <w:pStyle w:val="Heading3"/>
        <w:rPr>
          <w:sz w:val="18"/>
          <w:szCs w:val="18"/>
        </w:rPr>
      </w:pPr>
      <w:r w:rsidRPr="00E116EC">
        <w:rPr>
          <w:sz w:val="18"/>
          <w:szCs w:val="18"/>
        </w:rPr>
        <w:t>Cash and cash equivalents</w:t>
      </w:r>
    </w:p>
    <w:p w14:paraId="486389BE" w14:textId="77777777" w:rsidR="002E375F" w:rsidRDefault="00EB2569" w:rsidP="00BD728B">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Cash and cash equivalents were $141.213M (285.4%) higher than budget of $49.479M due to alignment with the 2018-19 audited closing balance updating the 2019-20 opening balance, and the timing of receipts relative to expenditure incurred for specialist disability services’ clients transitioned to the NDIS, and State Government economic stimulus for the residential household relief and small to medium business electricity rebates provided in response to the COVID-19 pandemic.</w:t>
      </w:r>
    </w:p>
    <w:p w14:paraId="2DA824AD" w14:textId="77777777" w:rsidR="002E375F" w:rsidRPr="00E116EC" w:rsidRDefault="00EB2569" w:rsidP="00BD728B">
      <w:pPr>
        <w:pStyle w:val="Heading3"/>
        <w:rPr>
          <w:sz w:val="18"/>
          <w:szCs w:val="18"/>
        </w:rPr>
      </w:pPr>
      <w:r w:rsidRPr="00E116EC">
        <w:rPr>
          <w:sz w:val="18"/>
          <w:szCs w:val="18"/>
        </w:rPr>
        <w:t>Receivables</w:t>
      </w:r>
    </w:p>
    <w:p w14:paraId="2693D4D8" w14:textId="77777777" w:rsidR="002E375F" w:rsidRDefault="00EB2569" w:rsidP="00BD728B">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Current receivables at year end are $15.351M (951.7%) higher than budget of $1.613M due to alignment with the 2018-19 audited closing balance updating the 2019-20 opening balance, and end of year appropriation funding adjustments for increased payments to the NDIA, based on the number of specialist disability services’ clients transitioned to the NDIS, being recognised within the departmental appropriation receivable account.</w:t>
      </w:r>
    </w:p>
    <w:p w14:paraId="10592DB3" w14:textId="77777777" w:rsidR="002E375F" w:rsidRPr="00E116EC" w:rsidRDefault="00EB2569" w:rsidP="00BD728B">
      <w:pPr>
        <w:pStyle w:val="Heading3"/>
        <w:rPr>
          <w:sz w:val="18"/>
          <w:szCs w:val="18"/>
        </w:rPr>
      </w:pPr>
      <w:r w:rsidRPr="00E116EC">
        <w:rPr>
          <w:sz w:val="18"/>
          <w:szCs w:val="18"/>
        </w:rPr>
        <w:t>Payables</w:t>
      </w:r>
    </w:p>
    <w:p w14:paraId="483AED97" w14:textId="77777777" w:rsidR="002E375F" w:rsidRDefault="00EB2569" w:rsidP="00BD728B">
      <w:pPr>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Payables were $173.115M (276.3%) higher than budget of $62.659M due to alignment with the 2018-19 audited closing balance updating the 2019-20 opening balance, and monies owed to the NDIA at financial year end.</w:t>
      </w:r>
    </w:p>
    <w:p w14:paraId="17B9913A" w14:textId="77777777" w:rsidR="002E375F" w:rsidRDefault="002E375F">
      <w:pPr>
        <w:widowControl w:val="0"/>
        <w:autoSpaceDE w:val="0"/>
        <w:autoSpaceDN w:val="0"/>
        <w:adjustRightInd w:val="0"/>
        <w:spacing w:after="0" w:line="240" w:lineRule="atLeast"/>
        <w:jc w:val="distribute"/>
        <w:rPr>
          <w:rFonts w:ascii="Times New Roman" w:hAnsi="Times New Roman" w:cs="Times New Roman"/>
          <w:sz w:val="24"/>
          <w:szCs w:val="24"/>
        </w:rPr>
        <w:sectPr w:rsidR="002E375F" w:rsidSect="00D40BAA">
          <w:pgSz w:w="11909" w:h="16834"/>
          <w:pgMar w:top="1440" w:right="1440" w:bottom="1440" w:left="1440" w:header="720" w:footer="720" w:gutter="0"/>
          <w:cols w:space="720"/>
          <w:noEndnote/>
        </w:sectPr>
      </w:pPr>
    </w:p>
    <w:p w14:paraId="4505099B" w14:textId="77777777" w:rsidR="002E375F" w:rsidRDefault="00EB2569" w:rsidP="008405EE">
      <w:pPr>
        <w:pStyle w:val="Heading2"/>
        <w:spacing w:before="0"/>
        <w:rPr>
          <w:rFonts w:ascii="Times New Roman" w:hAnsi="Times New Roman" w:cs="Times New Roman"/>
          <w:sz w:val="24"/>
          <w:szCs w:val="24"/>
        </w:rPr>
      </w:pPr>
      <w:r>
        <w:lastRenderedPageBreak/>
        <w:t>Department of Communities, Disability Services and Seniors</w:t>
      </w:r>
    </w:p>
    <w:p w14:paraId="6D4E473D" w14:textId="77777777" w:rsidR="002E375F" w:rsidRDefault="00EB2569" w:rsidP="008405EE">
      <w:pPr>
        <w:pStyle w:val="Heading2"/>
        <w:spacing w:before="0"/>
        <w:rPr>
          <w:rFonts w:ascii="Times New Roman" w:hAnsi="Times New Roman" w:cs="Times New Roman"/>
          <w:sz w:val="24"/>
          <w:szCs w:val="24"/>
        </w:rPr>
      </w:pPr>
      <w:r>
        <w:t>Management Certificate</w:t>
      </w:r>
    </w:p>
    <w:p w14:paraId="6F0FD762" w14:textId="77777777" w:rsidR="002E375F" w:rsidRDefault="00EB2569" w:rsidP="008405EE">
      <w:pPr>
        <w:pStyle w:val="Heading2"/>
        <w:spacing w:before="0"/>
        <w:rPr>
          <w:rFonts w:ascii="Times New Roman" w:hAnsi="Times New Roman" w:cs="Times New Roman"/>
          <w:sz w:val="24"/>
          <w:szCs w:val="24"/>
        </w:rPr>
      </w:pPr>
      <w:r>
        <w:t>For the year ended 30 June 2020</w:t>
      </w:r>
    </w:p>
    <w:p w14:paraId="4DC6BDEA" w14:textId="77777777" w:rsidR="002E375F" w:rsidRDefault="002E375F">
      <w:pPr>
        <w:autoSpaceDE w:val="0"/>
        <w:autoSpaceDN w:val="0"/>
        <w:adjustRightInd w:val="0"/>
        <w:spacing w:after="0" w:line="240" w:lineRule="auto"/>
        <w:rPr>
          <w:rFonts w:ascii="Times New Roman" w:hAnsi="Times New Roman" w:cs="Times New Roman"/>
          <w:sz w:val="24"/>
          <w:szCs w:val="24"/>
        </w:rPr>
      </w:pPr>
    </w:p>
    <w:p w14:paraId="5C70A8D3" w14:textId="77777777" w:rsidR="002E375F" w:rsidRDefault="00EB2569" w:rsidP="0067687B">
      <w:pPr>
        <w:pStyle w:val="Heading3"/>
        <w:rPr>
          <w:rFonts w:ascii="Times New Roman" w:hAnsi="Times New Roman" w:cs="Times New Roman"/>
        </w:rPr>
      </w:pPr>
      <w:r>
        <w:t>CERTIFICATE OF THE DEPARTMENT OF COMMUNITIES, DISABILITY SERVICES AND SENIORS</w:t>
      </w:r>
    </w:p>
    <w:p w14:paraId="6909994A" w14:textId="77777777" w:rsidR="002E375F" w:rsidRDefault="00EB2569" w:rsidP="00BD728B">
      <w:pPr>
        <w:autoSpaceDE w:val="0"/>
        <w:autoSpaceDN w:val="0"/>
        <w:adjustRightInd w:val="0"/>
        <w:spacing w:after="141" w:line="240" w:lineRule="auto"/>
        <w:rPr>
          <w:rFonts w:ascii="Arial" w:hAnsi="Arial" w:cs="Arial"/>
          <w:sz w:val="18"/>
          <w:szCs w:val="18"/>
        </w:rPr>
      </w:pPr>
      <w:r>
        <w:rPr>
          <w:rFonts w:ascii="Arial" w:hAnsi="Arial" w:cs="Arial"/>
          <w:sz w:val="18"/>
          <w:szCs w:val="18"/>
        </w:rPr>
        <w:t xml:space="preserve">These </w:t>
      </w:r>
      <w:proofErr w:type="gramStart"/>
      <w:r>
        <w:rPr>
          <w:rFonts w:ascii="Arial" w:hAnsi="Arial" w:cs="Arial"/>
          <w:sz w:val="18"/>
          <w:szCs w:val="18"/>
        </w:rPr>
        <w:t>general purpose</w:t>
      </w:r>
      <w:proofErr w:type="gramEnd"/>
      <w:r>
        <w:rPr>
          <w:rFonts w:ascii="Arial" w:hAnsi="Arial" w:cs="Arial"/>
          <w:sz w:val="18"/>
          <w:szCs w:val="18"/>
        </w:rPr>
        <w:t xml:space="preserve"> financial statements have been prepared pursuant to s.62(1) of the </w:t>
      </w:r>
      <w:r>
        <w:rPr>
          <w:rFonts w:ascii="Arial" w:hAnsi="Arial" w:cs="Arial"/>
          <w:i/>
          <w:iCs/>
          <w:sz w:val="18"/>
          <w:szCs w:val="18"/>
        </w:rPr>
        <w:t>Financial Accountability Act 2009</w:t>
      </w:r>
      <w:r>
        <w:rPr>
          <w:rFonts w:ascii="Arial" w:hAnsi="Arial" w:cs="Arial"/>
          <w:sz w:val="18"/>
          <w:szCs w:val="18"/>
        </w:rPr>
        <w:t xml:space="preserve"> (the Act), section 38 of the </w:t>
      </w:r>
      <w:r>
        <w:rPr>
          <w:rFonts w:ascii="Arial" w:hAnsi="Arial" w:cs="Arial"/>
          <w:i/>
          <w:iCs/>
          <w:sz w:val="18"/>
          <w:szCs w:val="18"/>
        </w:rPr>
        <w:t>Financial and Performance Management Standard 2019</w:t>
      </w:r>
      <w:r>
        <w:rPr>
          <w:rFonts w:ascii="Arial" w:hAnsi="Arial" w:cs="Arial"/>
          <w:sz w:val="18"/>
          <w:szCs w:val="18"/>
        </w:rPr>
        <w:t xml:space="preserve"> and other prescribed requirements. In accordance with s.62(1)(b) of the Act we certify that in our opinion:</w:t>
      </w:r>
    </w:p>
    <w:p w14:paraId="304AA8A4" w14:textId="77777777" w:rsidR="008622A4" w:rsidRPr="008622A4" w:rsidRDefault="008622A4" w:rsidP="00BD728B">
      <w:pPr>
        <w:pStyle w:val="ListParagraph"/>
        <w:autoSpaceDE w:val="0"/>
        <w:autoSpaceDN w:val="0"/>
        <w:adjustRightInd w:val="0"/>
        <w:spacing w:after="141" w:line="240" w:lineRule="auto"/>
        <w:rPr>
          <w:rFonts w:ascii="Arial" w:hAnsi="Arial" w:cs="Arial"/>
          <w:sz w:val="18"/>
          <w:szCs w:val="18"/>
        </w:rPr>
      </w:pPr>
      <w:r>
        <w:rPr>
          <w:rFonts w:ascii="Arial" w:hAnsi="Arial" w:cs="Arial"/>
          <w:sz w:val="18"/>
          <w:szCs w:val="18"/>
        </w:rPr>
        <w:t>(a)</w:t>
      </w:r>
      <w:r w:rsidRPr="008622A4">
        <w:rPr>
          <w:rFonts w:ascii="Arial" w:hAnsi="Arial" w:cs="Arial"/>
          <w:sz w:val="18"/>
          <w:szCs w:val="18"/>
        </w:rPr>
        <w:t>the prescribed requirements for establishing and keeping the accounts have been complied with in all material respects; and</w:t>
      </w:r>
    </w:p>
    <w:p w14:paraId="3B345F9D" w14:textId="77777777" w:rsidR="008622A4" w:rsidRPr="008622A4" w:rsidRDefault="008622A4" w:rsidP="00BD728B">
      <w:pPr>
        <w:pStyle w:val="ListParagraph"/>
        <w:autoSpaceDE w:val="0"/>
        <w:autoSpaceDN w:val="0"/>
        <w:adjustRightInd w:val="0"/>
        <w:spacing w:after="141" w:line="240" w:lineRule="auto"/>
        <w:rPr>
          <w:rFonts w:ascii="Times New Roman" w:hAnsi="Times New Roman" w:cs="Times New Roman"/>
          <w:sz w:val="24"/>
          <w:szCs w:val="24"/>
        </w:rPr>
      </w:pPr>
      <w:r>
        <w:rPr>
          <w:rFonts w:ascii="Arial" w:hAnsi="Arial" w:cs="Arial"/>
          <w:sz w:val="18"/>
          <w:szCs w:val="18"/>
        </w:rPr>
        <w:t>(b)</w:t>
      </w:r>
      <w:r w:rsidRPr="008622A4">
        <w:rPr>
          <w:rFonts w:ascii="Arial" w:hAnsi="Arial" w:cs="Arial"/>
          <w:sz w:val="18"/>
          <w:szCs w:val="18"/>
        </w:rPr>
        <w:t>the financial statements have been drawn up to present a true and fair view, in accordance with prescribed accounting standards, of the transactions of the Department of Communities, Disability Services and Seniors for the financial year ended 30 June 2020 and of the financial position of the department at the end of that year.</w:t>
      </w:r>
    </w:p>
    <w:p w14:paraId="6344E12D" w14:textId="77777777" w:rsidR="002E375F" w:rsidRDefault="00EB2569" w:rsidP="00BD728B">
      <w:pPr>
        <w:autoSpaceDE w:val="0"/>
        <w:autoSpaceDN w:val="0"/>
        <w:adjustRightInd w:val="0"/>
        <w:spacing w:after="141" w:line="240" w:lineRule="auto"/>
        <w:rPr>
          <w:rFonts w:ascii="Arial" w:hAnsi="Arial" w:cs="Arial"/>
          <w:sz w:val="18"/>
          <w:szCs w:val="18"/>
        </w:rPr>
      </w:pPr>
      <w:r>
        <w:rPr>
          <w:rFonts w:ascii="Arial" w:hAnsi="Arial" w:cs="Arial"/>
          <w:sz w:val="18"/>
          <w:szCs w:val="18"/>
        </w:rPr>
        <w:t xml:space="preserve">The Director-General, as the Accountable Officer of the department, acknowledges responsibility under s.7 and s.11 of the </w:t>
      </w:r>
      <w:r>
        <w:rPr>
          <w:rFonts w:ascii="Arial" w:hAnsi="Arial" w:cs="Arial"/>
          <w:i/>
          <w:iCs/>
          <w:sz w:val="18"/>
          <w:szCs w:val="18"/>
        </w:rPr>
        <w:t>Financial and Performance Management Standard 2019</w:t>
      </w:r>
      <w:r>
        <w:rPr>
          <w:rFonts w:ascii="Arial" w:hAnsi="Arial" w:cs="Arial"/>
          <w:sz w:val="18"/>
          <w:szCs w:val="18"/>
        </w:rPr>
        <w:t xml:space="preserve"> for the establishment and maintenance, in all material respects, of an appropriate and effective system of internal controls and risk management processes with respect to financial reporting throughout the reporting period.</w:t>
      </w:r>
    </w:p>
    <w:p w14:paraId="647F5EB3" w14:textId="77777777" w:rsidR="008622A4" w:rsidRDefault="008622A4" w:rsidP="00BD728B">
      <w:pPr>
        <w:autoSpaceDE w:val="0"/>
        <w:autoSpaceDN w:val="0"/>
        <w:adjustRightInd w:val="0"/>
        <w:spacing w:after="141" w:line="240" w:lineRule="auto"/>
        <w:rPr>
          <w:rFonts w:ascii="Arial" w:hAnsi="Arial" w:cs="Arial"/>
          <w:sz w:val="18"/>
          <w:szCs w:val="18"/>
        </w:rPr>
      </w:pPr>
      <w:r>
        <w:rPr>
          <w:rFonts w:ascii="Arial" w:hAnsi="Arial" w:cs="Arial"/>
          <w:sz w:val="18"/>
          <w:szCs w:val="18"/>
        </w:rPr>
        <w:t>Signed</w:t>
      </w:r>
    </w:p>
    <w:p w14:paraId="0560F3B0" w14:textId="77777777" w:rsidR="002E375F" w:rsidRDefault="008622A4" w:rsidP="00862FE1">
      <w:pPr>
        <w:autoSpaceDE w:val="0"/>
        <w:autoSpaceDN w:val="0"/>
        <w:adjustRightInd w:val="0"/>
        <w:spacing w:before="720" w:after="141" w:line="240" w:lineRule="auto"/>
        <w:rPr>
          <w:rFonts w:ascii="Arial" w:hAnsi="Arial" w:cs="Arial"/>
          <w:sz w:val="18"/>
          <w:szCs w:val="18"/>
        </w:rPr>
      </w:pPr>
      <w:r>
        <w:rPr>
          <w:rFonts w:ascii="Arial" w:hAnsi="Arial" w:cs="Arial"/>
          <w:sz w:val="18"/>
          <w:szCs w:val="18"/>
        </w:rPr>
        <w:t xml:space="preserve">Narinder Singh ACMA CGMA CPA </w:t>
      </w:r>
      <w:proofErr w:type="spellStart"/>
      <w:r>
        <w:rPr>
          <w:rFonts w:ascii="Arial" w:hAnsi="Arial" w:cs="Arial"/>
          <w:sz w:val="18"/>
          <w:szCs w:val="18"/>
        </w:rPr>
        <w:t>Bsc</w:t>
      </w:r>
      <w:proofErr w:type="spellEnd"/>
      <w:r>
        <w:rPr>
          <w:rFonts w:ascii="Arial" w:hAnsi="Arial" w:cs="Arial"/>
          <w:sz w:val="18"/>
          <w:szCs w:val="18"/>
        </w:rPr>
        <w:t xml:space="preserve"> (Hons)</w:t>
      </w:r>
      <w:r w:rsidRPr="008622A4">
        <w:rPr>
          <w:rFonts w:ascii="Arial" w:hAnsi="Arial" w:cs="Arial"/>
          <w:sz w:val="18"/>
          <w:szCs w:val="18"/>
        </w:rPr>
        <w:t xml:space="preserve"> </w:t>
      </w:r>
      <w:r>
        <w:rPr>
          <w:rFonts w:ascii="Arial" w:hAnsi="Arial" w:cs="Arial"/>
          <w:sz w:val="18"/>
          <w:szCs w:val="18"/>
        </w:rPr>
        <w:t>Chief Finance Officer 25 August 2020</w:t>
      </w:r>
    </w:p>
    <w:p w14:paraId="737167AC" w14:textId="77777777" w:rsidR="002E375F" w:rsidRDefault="008622A4" w:rsidP="00862FE1">
      <w:pPr>
        <w:widowControl w:val="0"/>
        <w:autoSpaceDE w:val="0"/>
        <w:autoSpaceDN w:val="0"/>
        <w:adjustRightInd w:val="0"/>
        <w:spacing w:before="720" w:after="0" w:line="240" w:lineRule="auto"/>
        <w:rPr>
          <w:rFonts w:ascii="Times New Roman" w:hAnsi="Times New Roman" w:cs="Times New Roman"/>
          <w:sz w:val="24"/>
          <w:szCs w:val="24"/>
        </w:rPr>
      </w:pPr>
      <w:r>
        <w:rPr>
          <w:rFonts w:ascii="Arial" w:hAnsi="Arial" w:cs="Arial"/>
          <w:sz w:val="18"/>
          <w:szCs w:val="18"/>
        </w:rPr>
        <w:t>Clare O'Connor BA MA</w:t>
      </w:r>
      <w:r w:rsidRPr="008622A4">
        <w:rPr>
          <w:rFonts w:ascii="Arial" w:hAnsi="Arial" w:cs="Arial"/>
          <w:sz w:val="18"/>
          <w:szCs w:val="18"/>
        </w:rPr>
        <w:t xml:space="preserve"> </w:t>
      </w:r>
      <w:r>
        <w:rPr>
          <w:rFonts w:ascii="Arial" w:hAnsi="Arial" w:cs="Arial"/>
          <w:sz w:val="18"/>
          <w:szCs w:val="18"/>
        </w:rPr>
        <w:t>Director-General 25 August 2020</w:t>
      </w:r>
    </w:p>
    <w:sectPr w:rsidR="002E375F" w:rsidSect="00D40BAA">
      <w:footerReference w:type="default" r:id="rId10"/>
      <w:pgSz w:w="11909" w:h="16834"/>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121D" w14:textId="77777777" w:rsidR="00DB0390" w:rsidRDefault="00DB0390">
      <w:pPr>
        <w:spacing w:after="0" w:line="240" w:lineRule="auto"/>
      </w:pPr>
      <w:r>
        <w:separator/>
      </w:r>
    </w:p>
  </w:endnote>
  <w:endnote w:type="continuationSeparator" w:id="0">
    <w:p w14:paraId="79833C34" w14:textId="77777777" w:rsidR="00DB0390" w:rsidRDefault="00DB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6EA6" w14:textId="77777777" w:rsidR="004D3154" w:rsidRDefault="004D3154">
    <w:pPr>
      <w:autoSpaceDE w:val="0"/>
      <w:autoSpaceDN w:val="0"/>
      <w:adjustRightInd w:val="0"/>
      <w:spacing w:after="0" w:line="240" w:lineRule="auto"/>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ECC8" w14:textId="77777777" w:rsidR="004D3154" w:rsidRDefault="004D3154" w:rsidP="00862FE1">
    <w:pPr>
      <w:autoSpaceDE w:val="0"/>
      <w:autoSpaceDN w:val="0"/>
      <w:adjustRightInd w:val="0"/>
      <w:spacing w:after="0" w:line="240" w:lineRule="atLeast"/>
      <w:jc w:val="right"/>
      <w:rPr>
        <w:rFonts w:ascii="Times New Roman" w:hAnsi="Times New Roman" w:cs="Times New Roman"/>
        <w:sz w:val="24"/>
        <w:szCs w:val="24"/>
      </w:rPr>
    </w:pPr>
    <w:r w:rsidRPr="00B843A8">
      <w:rPr>
        <w:rFonts w:ascii="Times New Roman" w:hAnsi="Times New Roman" w:cs="Times New Roman"/>
        <w:sz w:val="24"/>
        <w:szCs w:val="24"/>
      </w:rPr>
      <w:fldChar w:fldCharType="begin"/>
    </w:r>
    <w:r w:rsidRPr="00B843A8">
      <w:rPr>
        <w:rFonts w:ascii="Times New Roman" w:hAnsi="Times New Roman" w:cs="Times New Roman"/>
        <w:sz w:val="24"/>
        <w:szCs w:val="24"/>
      </w:rPr>
      <w:instrText xml:space="preserve"> PAGE   \* MERGEFORMAT </w:instrText>
    </w:r>
    <w:r w:rsidRPr="00B843A8">
      <w:rPr>
        <w:rFonts w:ascii="Times New Roman" w:hAnsi="Times New Roman" w:cs="Times New Roman"/>
        <w:sz w:val="24"/>
        <w:szCs w:val="24"/>
      </w:rPr>
      <w:fldChar w:fldCharType="separate"/>
    </w:r>
    <w:r w:rsidR="00862FE1">
      <w:rPr>
        <w:rFonts w:ascii="Times New Roman" w:hAnsi="Times New Roman" w:cs="Times New Roman"/>
        <w:noProof/>
        <w:sz w:val="24"/>
        <w:szCs w:val="24"/>
      </w:rPr>
      <w:t>56</w:t>
    </w:r>
    <w:r w:rsidRPr="00B843A8">
      <w:rPr>
        <w:rFonts w:ascii="Times New Roman" w:hAnsi="Times New Roman" w:cs="Times New Roman"/>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E705" w14:textId="77777777" w:rsidR="004D3154" w:rsidRDefault="004D3154" w:rsidP="00862FE1">
    <w:pPr>
      <w:autoSpaceDE w:val="0"/>
      <w:autoSpaceDN w:val="0"/>
      <w:adjustRightInd w:val="0"/>
      <w:spacing w:after="0" w:line="240" w:lineRule="atLeast"/>
      <w:jc w:val="right"/>
      <w:rPr>
        <w:rFonts w:ascii="Times New Roman" w:hAnsi="Times New Roman" w:cs="Times New Roman"/>
        <w:sz w:val="24"/>
        <w:szCs w:val="24"/>
      </w:rPr>
    </w:pPr>
    <w:r w:rsidRPr="004D3154">
      <w:rPr>
        <w:rFonts w:ascii="Times New Roman" w:hAnsi="Times New Roman" w:cs="Times New Roman"/>
        <w:sz w:val="24"/>
        <w:szCs w:val="24"/>
      </w:rPr>
      <w:fldChar w:fldCharType="begin"/>
    </w:r>
    <w:r w:rsidRPr="004D3154">
      <w:rPr>
        <w:rFonts w:ascii="Times New Roman" w:hAnsi="Times New Roman" w:cs="Times New Roman"/>
        <w:sz w:val="24"/>
        <w:szCs w:val="24"/>
      </w:rPr>
      <w:instrText xml:space="preserve"> PAGE   \* MERGEFORMAT </w:instrText>
    </w:r>
    <w:r w:rsidRPr="004D3154">
      <w:rPr>
        <w:rFonts w:ascii="Times New Roman" w:hAnsi="Times New Roman" w:cs="Times New Roman"/>
        <w:sz w:val="24"/>
        <w:szCs w:val="24"/>
      </w:rPr>
      <w:fldChar w:fldCharType="separate"/>
    </w:r>
    <w:r w:rsidR="00862FE1">
      <w:rPr>
        <w:rFonts w:ascii="Times New Roman" w:hAnsi="Times New Roman" w:cs="Times New Roman"/>
        <w:noProof/>
        <w:sz w:val="24"/>
        <w:szCs w:val="24"/>
      </w:rPr>
      <w:t>57</w:t>
    </w:r>
    <w:r w:rsidRPr="004D3154">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F62F" w14:textId="77777777" w:rsidR="00DB0390" w:rsidRDefault="00DB0390">
      <w:pPr>
        <w:spacing w:after="0" w:line="240" w:lineRule="auto"/>
      </w:pPr>
      <w:r>
        <w:separator/>
      </w:r>
    </w:p>
  </w:footnote>
  <w:footnote w:type="continuationSeparator" w:id="0">
    <w:p w14:paraId="4FD22334" w14:textId="77777777" w:rsidR="00DB0390" w:rsidRDefault="00DB0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7D2"/>
    <w:multiLevelType w:val="hybridMultilevel"/>
    <w:tmpl w:val="455434C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EB1210"/>
    <w:multiLevelType w:val="hybridMultilevel"/>
    <w:tmpl w:val="637E5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C5EF5"/>
    <w:multiLevelType w:val="hybridMultilevel"/>
    <w:tmpl w:val="C6F8A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1285D"/>
    <w:multiLevelType w:val="hybridMultilevel"/>
    <w:tmpl w:val="6FC8CA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B902AEB"/>
    <w:multiLevelType w:val="hybridMultilevel"/>
    <w:tmpl w:val="53487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0E0CEA"/>
    <w:multiLevelType w:val="hybridMultilevel"/>
    <w:tmpl w:val="23500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B4047D"/>
    <w:multiLevelType w:val="hybridMultilevel"/>
    <w:tmpl w:val="DFFC6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78541D"/>
    <w:multiLevelType w:val="hybridMultilevel"/>
    <w:tmpl w:val="436A86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F11573"/>
    <w:multiLevelType w:val="hybridMultilevel"/>
    <w:tmpl w:val="12E67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843E8F"/>
    <w:multiLevelType w:val="hybridMultilevel"/>
    <w:tmpl w:val="BE9E6118"/>
    <w:lvl w:ilvl="0" w:tplc="741CC57C">
      <w:start w:val="3"/>
      <w:numFmt w:val="lowerRoman"/>
      <w:lvlText w:val="(%1)"/>
      <w:lvlJc w:val="left"/>
      <w:pPr>
        <w:ind w:left="1080" w:hanging="720"/>
      </w:pPr>
      <w:rPr>
        <w:rFonts w:hint="default"/>
        <w:b w:val="0"/>
        <w:i/>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C04664"/>
    <w:multiLevelType w:val="hybridMultilevel"/>
    <w:tmpl w:val="4FD8979E"/>
    <w:lvl w:ilvl="0" w:tplc="A44C94EA">
      <w:start w:val="1"/>
      <w:numFmt w:val="decimal"/>
      <w:lvlText w:val="(%1)"/>
      <w:lvlJc w:val="left"/>
      <w:pPr>
        <w:ind w:left="720" w:hanging="360"/>
      </w:pPr>
      <w:rPr>
        <w:rFonts w:ascii="Arial" w:hAnsi="Arial" w:cs="Arial"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E84127"/>
    <w:multiLevelType w:val="hybridMultilevel"/>
    <w:tmpl w:val="A4A4D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96701A"/>
    <w:multiLevelType w:val="hybridMultilevel"/>
    <w:tmpl w:val="FA44B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461DC5"/>
    <w:multiLevelType w:val="hybridMultilevel"/>
    <w:tmpl w:val="69D8F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F154E7"/>
    <w:multiLevelType w:val="hybridMultilevel"/>
    <w:tmpl w:val="D542F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E71CF7"/>
    <w:multiLevelType w:val="hybridMultilevel"/>
    <w:tmpl w:val="BCDA9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070E69"/>
    <w:multiLevelType w:val="hybridMultilevel"/>
    <w:tmpl w:val="ED18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436392"/>
    <w:multiLevelType w:val="hybridMultilevel"/>
    <w:tmpl w:val="E092F72E"/>
    <w:lvl w:ilvl="0" w:tplc="D2746AFC">
      <w:start w:val="1"/>
      <w:numFmt w:val="decimal"/>
      <w:lvlText w:val="(%1)"/>
      <w:lvlJc w:val="left"/>
      <w:pPr>
        <w:ind w:left="720" w:hanging="360"/>
      </w:pPr>
      <w:rPr>
        <w:rFonts w:asciiTheme="majorHAnsi" w:hAnsiTheme="majorHAns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E1763E"/>
    <w:multiLevelType w:val="hybridMultilevel"/>
    <w:tmpl w:val="6A026402"/>
    <w:lvl w:ilvl="0" w:tplc="3AF42D48">
      <w:start w:val="1"/>
      <w:numFmt w:val="decimal"/>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0E21D4"/>
    <w:multiLevelType w:val="hybridMultilevel"/>
    <w:tmpl w:val="DE448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060A02"/>
    <w:multiLevelType w:val="hybridMultilevel"/>
    <w:tmpl w:val="2FEC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9D44B4"/>
    <w:multiLevelType w:val="hybridMultilevel"/>
    <w:tmpl w:val="C5DAD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FF762A"/>
    <w:multiLevelType w:val="hybridMultilevel"/>
    <w:tmpl w:val="2B6AC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3A6618"/>
    <w:multiLevelType w:val="hybridMultilevel"/>
    <w:tmpl w:val="E42E4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B57F59"/>
    <w:multiLevelType w:val="hybridMultilevel"/>
    <w:tmpl w:val="D5DE5A94"/>
    <w:lvl w:ilvl="0" w:tplc="AA9005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9E5EB8"/>
    <w:multiLevelType w:val="hybridMultilevel"/>
    <w:tmpl w:val="3116A798"/>
    <w:lvl w:ilvl="0" w:tplc="B9F203C6">
      <w:start w:val="1"/>
      <w:numFmt w:val="decimal"/>
      <w:lvlText w:val="(%1)"/>
      <w:lvlJc w:val="left"/>
      <w:pPr>
        <w:ind w:left="360" w:hanging="360"/>
      </w:pPr>
      <w:rPr>
        <w:rFonts w:asciiTheme="majorHAnsi" w:hAnsiTheme="majorHAnsi" w:cstheme="majorBidi" w:hint="default"/>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548098B"/>
    <w:multiLevelType w:val="hybridMultilevel"/>
    <w:tmpl w:val="6FAA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491080"/>
    <w:multiLevelType w:val="hybridMultilevel"/>
    <w:tmpl w:val="8FE86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A72A77"/>
    <w:multiLevelType w:val="hybridMultilevel"/>
    <w:tmpl w:val="8E8CF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8809355">
    <w:abstractNumId w:val="8"/>
  </w:num>
  <w:num w:numId="2" w16cid:durableId="204565629">
    <w:abstractNumId w:val="24"/>
  </w:num>
  <w:num w:numId="3" w16cid:durableId="133372349">
    <w:abstractNumId w:val="16"/>
  </w:num>
  <w:num w:numId="4" w16cid:durableId="241180948">
    <w:abstractNumId w:val="1"/>
  </w:num>
  <w:num w:numId="5" w16cid:durableId="1918588744">
    <w:abstractNumId w:val="26"/>
  </w:num>
  <w:num w:numId="6" w16cid:durableId="1480148015">
    <w:abstractNumId w:val="13"/>
  </w:num>
  <w:num w:numId="7" w16cid:durableId="2068532659">
    <w:abstractNumId w:val="5"/>
  </w:num>
  <w:num w:numId="8" w16cid:durableId="1483959331">
    <w:abstractNumId w:val="20"/>
  </w:num>
  <w:num w:numId="9" w16cid:durableId="1970549654">
    <w:abstractNumId w:val="27"/>
  </w:num>
  <w:num w:numId="10" w16cid:durableId="563759213">
    <w:abstractNumId w:val="23"/>
  </w:num>
  <w:num w:numId="11" w16cid:durableId="806237160">
    <w:abstractNumId w:val="25"/>
  </w:num>
  <w:num w:numId="12" w16cid:durableId="1022434488">
    <w:abstractNumId w:val="17"/>
  </w:num>
  <w:num w:numId="13" w16cid:durableId="1472792765">
    <w:abstractNumId w:val="14"/>
  </w:num>
  <w:num w:numId="14" w16cid:durableId="1130824495">
    <w:abstractNumId w:val="19"/>
  </w:num>
  <w:num w:numId="15" w16cid:durableId="963540340">
    <w:abstractNumId w:val="22"/>
  </w:num>
  <w:num w:numId="16" w16cid:durableId="1721441366">
    <w:abstractNumId w:val="10"/>
  </w:num>
  <w:num w:numId="17" w16cid:durableId="1494108254">
    <w:abstractNumId w:val="12"/>
  </w:num>
  <w:num w:numId="18" w16cid:durableId="165898789">
    <w:abstractNumId w:val="2"/>
  </w:num>
  <w:num w:numId="19" w16cid:durableId="837304046">
    <w:abstractNumId w:val="28"/>
  </w:num>
  <w:num w:numId="20" w16cid:durableId="1089347287">
    <w:abstractNumId w:val="0"/>
  </w:num>
  <w:num w:numId="21" w16cid:durableId="794060356">
    <w:abstractNumId w:val="21"/>
  </w:num>
  <w:num w:numId="22" w16cid:durableId="1854958646">
    <w:abstractNumId w:val="4"/>
  </w:num>
  <w:num w:numId="23" w16cid:durableId="461508937">
    <w:abstractNumId w:val="11"/>
  </w:num>
  <w:num w:numId="24" w16cid:durableId="1112018556">
    <w:abstractNumId w:val="18"/>
  </w:num>
  <w:num w:numId="25" w16cid:durableId="414858983">
    <w:abstractNumId w:val="3"/>
  </w:num>
  <w:num w:numId="26" w16cid:durableId="1941720276">
    <w:abstractNumId w:val="7"/>
  </w:num>
  <w:num w:numId="27" w16cid:durableId="638219626">
    <w:abstractNumId w:val="9"/>
  </w:num>
  <w:num w:numId="28" w16cid:durableId="239562259">
    <w:abstractNumId w:val="15"/>
  </w:num>
  <w:num w:numId="29" w16cid:durableId="4748354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C65"/>
    <w:rsid w:val="0000218C"/>
    <w:rsid w:val="0011401B"/>
    <w:rsid w:val="001C442D"/>
    <w:rsid w:val="001D18C2"/>
    <w:rsid w:val="00215788"/>
    <w:rsid w:val="00234226"/>
    <w:rsid w:val="00250C65"/>
    <w:rsid w:val="00255F08"/>
    <w:rsid w:val="002605CC"/>
    <w:rsid w:val="00283EBD"/>
    <w:rsid w:val="002E375F"/>
    <w:rsid w:val="0040568F"/>
    <w:rsid w:val="0041343F"/>
    <w:rsid w:val="004212EA"/>
    <w:rsid w:val="004D2A69"/>
    <w:rsid w:val="004D3154"/>
    <w:rsid w:val="005600CB"/>
    <w:rsid w:val="005A3B27"/>
    <w:rsid w:val="006626B2"/>
    <w:rsid w:val="0067687B"/>
    <w:rsid w:val="006A691E"/>
    <w:rsid w:val="006F0FBE"/>
    <w:rsid w:val="00723A51"/>
    <w:rsid w:val="007408B2"/>
    <w:rsid w:val="00746A7C"/>
    <w:rsid w:val="007726EE"/>
    <w:rsid w:val="007930F8"/>
    <w:rsid w:val="008405EE"/>
    <w:rsid w:val="008571E3"/>
    <w:rsid w:val="008622A4"/>
    <w:rsid w:val="00862FE1"/>
    <w:rsid w:val="00887559"/>
    <w:rsid w:val="008A7E24"/>
    <w:rsid w:val="00922E1C"/>
    <w:rsid w:val="00943EF1"/>
    <w:rsid w:val="00950266"/>
    <w:rsid w:val="009755B3"/>
    <w:rsid w:val="009A0597"/>
    <w:rsid w:val="00A505CE"/>
    <w:rsid w:val="00A61423"/>
    <w:rsid w:val="00A776CC"/>
    <w:rsid w:val="00AD77C0"/>
    <w:rsid w:val="00AE1BB2"/>
    <w:rsid w:val="00B37C65"/>
    <w:rsid w:val="00B42ADD"/>
    <w:rsid w:val="00B55A2A"/>
    <w:rsid w:val="00B560E0"/>
    <w:rsid w:val="00B64066"/>
    <w:rsid w:val="00B843A8"/>
    <w:rsid w:val="00BD4AB9"/>
    <w:rsid w:val="00BD728B"/>
    <w:rsid w:val="00CD6D17"/>
    <w:rsid w:val="00D16D72"/>
    <w:rsid w:val="00D40BAA"/>
    <w:rsid w:val="00D830C2"/>
    <w:rsid w:val="00D96C86"/>
    <w:rsid w:val="00DB0390"/>
    <w:rsid w:val="00DB6E6C"/>
    <w:rsid w:val="00DD2CED"/>
    <w:rsid w:val="00DE6DCF"/>
    <w:rsid w:val="00E101AE"/>
    <w:rsid w:val="00E116EC"/>
    <w:rsid w:val="00E42B8B"/>
    <w:rsid w:val="00E46D04"/>
    <w:rsid w:val="00E66E25"/>
    <w:rsid w:val="00E8416C"/>
    <w:rsid w:val="00EB2569"/>
    <w:rsid w:val="00EF76D4"/>
    <w:rsid w:val="00F45CE1"/>
    <w:rsid w:val="00FE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CEA37"/>
  <w14:defaultImageDpi w14:val="96"/>
  <w15:docId w15:val="{14D681E2-1DFB-467F-BA02-3EB73025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7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57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157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7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578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1578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55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A2A"/>
    <w:rPr>
      <w:rFonts w:ascii="Segoe UI" w:hAnsi="Segoe UI" w:cs="Segoe UI"/>
      <w:sz w:val="18"/>
      <w:szCs w:val="18"/>
    </w:rPr>
  </w:style>
  <w:style w:type="paragraph" w:styleId="ListParagraph">
    <w:name w:val="List Paragraph"/>
    <w:basedOn w:val="Normal"/>
    <w:uiPriority w:val="34"/>
    <w:qFormat/>
    <w:rsid w:val="008622A4"/>
    <w:pPr>
      <w:ind w:left="720"/>
      <w:contextualSpacing/>
    </w:pPr>
  </w:style>
  <w:style w:type="paragraph" w:styleId="Header">
    <w:name w:val="header"/>
    <w:basedOn w:val="Normal"/>
    <w:link w:val="HeaderChar"/>
    <w:uiPriority w:val="99"/>
    <w:unhideWhenUsed/>
    <w:rsid w:val="00840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5EE"/>
  </w:style>
  <w:style w:type="paragraph" w:styleId="Footer">
    <w:name w:val="footer"/>
    <w:basedOn w:val="Normal"/>
    <w:link w:val="FooterChar"/>
    <w:uiPriority w:val="99"/>
    <w:unhideWhenUsed/>
    <w:rsid w:val="00840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5EE"/>
  </w:style>
  <w:style w:type="paragraph" w:styleId="Revision">
    <w:name w:val="Revision"/>
    <w:hidden/>
    <w:uiPriority w:val="99"/>
    <w:semiHidden/>
    <w:rsid w:val="002605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EA019-46A5-4270-9050-D13777FA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20301</Words>
  <Characters>115716</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DCDSS Annual Financial Statements 2019–20</vt:lpstr>
    </vt:vector>
  </TitlesOfParts>
  <Company/>
  <LinksUpToDate>false</LinksUpToDate>
  <CharactersWithSpaces>135746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DCDSS Annual Financial Statements 2019?20</dc:title>
  <dc:subject>Annual Report 2019?20</dc:subject>
  <dc:creator>Queensland Government</dc:creator>
  <cp:keywords>Annual Report, Financial Statements, 2019 to 2020, Department of Communities, Disability Services and Seniors, financial year ended 30 June 2020, finance, reporting, position</cp:keywords>
  <cp:lastModifiedBy>Tanya R Campbell</cp:lastModifiedBy>
  <cp:revision>2</cp:revision>
  <dcterms:created xsi:type="dcterms:W3CDTF">2023-07-05T03:40:00Z</dcterms:created>
  <dcterms:modified xsi:type="dcterms:W3CDTF">2023-07-05T03:40:00Z</dcterms:modified>
  <cp:category>Corporate publications</cp:category>
</cp:coreProperties>
</file>