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96E4" w14:textId="4F8E6789" w:rsidR="00D136D0" w:rsidRDefault="00A40A46" w:rsidP="00A40A46">
      <w:pPr>
        <w:pStyle w:val="Heading1"/>
        <w:sectPr w:rsidR="00D136D0" w:rsidSect="00776162">
          <w:headerReference w:type="default" r:id="rId11"/>
          <w:pgSz w:w="11906" w:h="16838"/>
          <w:pgMar w:top="2268" w:right="1134" w:bottom="1701" w:left="1134" w:header="709" w:footer="1474" w:gutter="0"/>
          <w:cols w:space="709"/>
          <w:docGrid w:linePitch="360"/>
        </w:sectPr>
      </w:pPr>
      <w:r>
        <w:t>Report on Youth Justice</w:t>
      </w:r>
    </w:p>
    <w:p w14:paraId="161FF02F" w14:textId="77777777" w:rsidR="00A40A46" w:rsidRDefault="00A40A46" w:rsidP="00A40A46">
      <w:pPr>
        <w:pStyle w:val="Heading2"/>
        <w:spacing w:before="0"/>
      </w:pPr>
      <w:r>
        <w:t>F</w:t>
      </w:r>
      <w:r w:rsidRPr="004B24BD">
        <w:t>rom Bob Atkinson AO, APM</w:t>
      </w:r>
    </w:p>
    <w:p w14:paraId="17B3FF64" w14:textId="77777777" w:rsidR="00A40A46" w:rsidRDefault="00A40A46" w:rsidP="00A40A46">
      <w:pPr>
        <w:autoSpaceDE w:val="0"/>
        <w:autoSpaceDN w:val="0"/>
        <w:adjustRightInd w:val="0"/>
        <w:spacing w:after="0"/>
        <w:rPr>
          <w:rFonts w:ascii="MetaNormalLF-Roman" w:hAnsi="MetaNormalLF-Roman" w:cs="MetaNormalLF-Roman"/>
          <w:sz w:val="36"/>
          <w:szCs w:val="36"/>
        </w:rPr>
      </w:pPr>
      <w:r>
        <w:rPr>
          <w:rFonts w:ascii="MetaNormalLF-Roman" w:hAnsi="MetaNormalLF-Roman" w:cs="MetaNormalLF-Roman"/>
          <w:sz w:val="36"/>
          <w:szCs w:val="36"/>
        </w:rPr>
        <w:t>June 2018</w:t>
      </w:r>
    </w:p>
    <w:p w14:paraId="66A31D49" w14:textId="77777777" w:rsidR="00A40A46" w:rsidRPr="004B24BD" w:rsidRDefault="00A40A46" w:rsidP="00A40A46">
      <w:pPr>
        <w:pStyle w:val="Heading1"/>
      </w:pPr>
      <w:r w:rsidRPr="004B24BD">
        <w:t>The Four Pillars: A Snapshot</w:t>
      </w:r>
    </w:p>
    <w:p w14:paraId="41C0D391" w14:textId="77777777" w:rsidR="00A40A46" w:rsidRPr="004B24BD" w:rsidRDefault="00A40A46" w:rsidP="00A40A46">
      <w:pPr>
        <w:autoSpaceDE w:val="0"/>
        <w:autoSpaceDN w:val="0"/>
        <w:adjustRightInd w:val="0"/>
        <w:spacing w:after="0"/>
        <w:rPr>
          <w:rFonts w:ascii="MetaOT-Norm" w:hAnsi="MetaOT-Norm" w:cs="MetaOT-Norm"/>
        </w:rPr>
      </w:pPr>
      <w:r w:rsidRPr="004B24BD">
        <w:rPr>
          <w:rFonts w:ascii="MetaOT-Norm" w:hAnsi="MetaOT-Norm" w:cs="MetaOT-Norm"/>
        </w:rPr>
        <w:t>The Four Pillars underpin the report’</w:t>
      </w:r>
      <w:r>
        <w:rPr>
          <w:rFonts w:ascii="MetaOT-Norm" w:hAnsi="MetaOT-Norm" w:cs="MetaOT-Norm"/>
        </w:rPr>
        <w:t xml:space="preserve">s approach </w:t>
      </w:r>
      <w:r w:rsidRPr="004B24BD">
        <w:rPr>
          <w:rFonts w:ascii="MetaOT-Norm" w:hAnsi="MetaOT-Norm" w:cs="MetaOT-Norm"/>
        </w:rPr>
        <w:t>and recomme</w:t>
      </w:r>
      <w:r>
        <w:rPr>
          <w:rFonts w:ascii="MetaOT-Norm" w:hAnsi="MetaOT-Norm" w:cs="MetaOT-Norm"/>
        </w:rPr>
        <w:t xml:space="preserve">ndations. As well as addressing </w:t>
      </w:r>
      <w:r w:rsidRPr="004B24BD">
        <w:rPr>
          <w:rFonts w:ascii="MetaOT-Norm" w:hAnsi="MetaOT-Norm" w:cs="MetaOT-Norm"/>
        </w:rPr>
        <w:t>the terms of refer</w:t>
      </w:r>
      <w:r>
        <w:rPr>
          <w:rFonts w:ascii="MetaOT-Norm" w:hAnsi="MetaOT-Norm" w:cs="MetaOT-Norm"/>
        </w:rPr>
        <w:t xml:space="preserve">ence, the Four Pillars form the </w:t>
      </w:r>
      <w:r w:rsidRPr="004B24BD">
        <w:rPr>
          <w:rFonts w:ascii="MetaOT-Norm" w:hAnsi="MetaOT-Norm" w:cs="MetaOT-Norm"/>
        </w:rPr>
        <w:t>basis of the Special Advisor’</w:t>
      </w:r>
      <w:r>
        <w:rPr>
          <w:rFonts w:ascii="MetaOT-Norm" w:hAnsi="MetaOT-Norm" w:cs="MetaOT-Norm"/>
        </w:rPr>
        <w:t xml:space="preserve">s advice to the </w:t>
      </w:r>
      <w:r w:rsidRPr="004B24BD">
        <w:rPr>
          <w:rFonts w:ascii="MetaOT-Norm" w:hAnsi="MetaOT-Norm" w:cs="MetaOT-Norm"/>
        </w:rPr>
        <w:t>Minister and department.</w:t>
      </w:r>
    </w:p>
    <w:p w14:paraId="1D813A52" w14:textId="77777777" w:rsidR="00A40A46" w:rsidRPr="004B24BD" w:rsidRDefault="00A40A46" w:rsidP="00A40A46">
      <w:pPr>
        <w:autoSpaceDE w:val="0"/>
        <w:autoSpaceDN w:val="0"/>
        <w:adjustRightInd w:val="0"/>
        <w:spacing w:after="0"/>
        <w:rPr>
          <w:rFonts w:ascii="MetaOT-Norm" w:hAnsi="MetaOT-Norm" w:cs="MetaOT-Norm"/>
        </w:rPr>
      </w:pPr>
      <w:r w:rsidRPr="004B24BD">
        <w:rPr>
          <w:rFonts w:ascii="MetaOT-Norm" w:hAnsi="MetaOT-Norm" w:cs="MetaOT-Norm"/>
        </w:rPr>
        <w:t>The Four Pillars include:</w:t>
      </w:r>
    </w:p>
    <w:p w14:paraId="01A70AB3" w14:textId="77777777" w:rsidR="00A40A46" w:rsidRPr="004B24BD" w:rsidRDefault="00A40A46" w:rsidP="00A40A46">
      <w:pPr>
        <w:pStyle w:val="ListParagraph"/>
        <w:numPr>
          <w:ilvl w:val="0"/>
          <w:numId w:val="11"/>
        </w:numPr>
        <w:autoSpaceDE w:val="0"/>
        <w:autoSpaceDN w:val="0"/>
        <w:adjustRightInd w:val="0"/>
        <w:spacing w:after="0" w:line="240" w:lineRule="auto"/>
        <w:rPr>
          <w:rFonts w:ascii="MetaOT-Norm" w:hAnsi="MetaOT-Norm" w:cs="MetaOT-Norm"/>
        </w:rPr>
      </w:pPr>
      <w:r w:rsidRPr="004B24BD">
        <w:rPr>
          <w:rFonts w:ascii="MetaOT-Norm" w:hAnsi="MetaOT-Norm" w:cs="MetaOT-Norm"/>
        </w:rPr>
        <w:t xml:space="preserve">Intervene </w:t>
      </w:r>
      <w:proofErr w:type="gramStart"/>
      <w:r w:rsidRPr="004B24BD">
        <w:rPr>
          <w:rFonts w:ascii="MetaOT-Norm" w:hAnsi="MetaOT-Norm" w:cs="MetaOT-Norm"/>
        </w:rPr>
        <w:t>early</w:t>
      </w:r>
      <w:proofErr w:type="gramEnd"/>
    </w:p>
    <w:p w14:paraId="00521D45" w14:textId="77777777" w:rsidR="00A40A46" w:rsidRPr="004B24BD" w:rsidRDefault="00A40A46" w:rsidP="00A40A46">
      <w:pPr>
        <w:pStyle w:val="ListParagraph"/>
        <w:numPr>
          <w:ilvl w:val="0"/>
          <w:numId w:val="11"/>
        </w:numPr>
        <w:autoSpaceDE w:val="0"/>
        <w:autoSpaceDN w:val="0"/>
        <w:adjustRightInd w:val="0"/>
        <w:spacing w:after="0" w:line="240" w:lineRule="auto"/>
        <w:rPr>
          <w:rFonts w:ascii="MetaOT-Norm" w:hAnsi="MetaOT-Norm" w:cs="MetaOT-Norm"/>
        </w:rPr>
      </w:pPr>
      <w:r w:rsidRPr="004B24BD">
        <w:rPr>
          <w:rFonts w:ascii="MetaOT-Norm" w:hAnsi="MetaOT-Norm" w:cs="MetaOT-Norm"/>
        </w:rPr>
        <w:t xml:space="preserve">Keep children out of </w:t>
      </w:r>
      <w:proofErr w:type="gramStart"/>
      <w:r w:rsidRPr="004B24BD">
        <w:rPr>
          <w:rFonts w:ascii="MetaOT-Norm" w:hAnsi="MetaOT-Norm" w:cs="MetaOT-Norm"/>
        </w:rPr>
        <w:t>court</w:t>
      </w:r>
      <w:proofErr w:type="gramEnd"/>
    </w:p>
    <w:p w14:paraId="693981EF" w14:textId="77777777" w:rsidR="00A40A46" w:rsidRPr="004B24BD" w:rsidRDefault="00A40A46" w:rsidP="00A40A46">
      <w:pPr>
        <w:pStyle w:val="ListParagraph"/>
        <w:numPr>
          <w:ilvl w:val="0"/>
          <w:numId w:val="11"/>
        </w:numPr>
        <w:autoSpaceDE w:val="0"/>
        <w:autoSpaceDN w:val="0"/>
        <w:adjustRightInd w:val="0"/>
        <w:spacing w:after="0" w:line="240" w:lineRule="auto"/>
        <w:rPr>
          <w:rFonts w:ascii="MetaOT-Norm" w:hAnsi="MetaOT-Norm" w:cs="MetaOT-Norm"/>
        </w:rPr>
      </w:pPr>
      <w:r w:rsidRPr="004B24BD">
        <w:rPr>
          <w:rFonts w:ascii="MetaOT-Norm" w:hAnsi="MetaOT-Norm" w:cs="MetaOT-Norm"/>
        </w:rPr>
        <w:t xml:space="preserve">Keep children out of </w:t>
      </w:r>
      <w:proofErr w:type="gramStart"/>
      <w:r w:rsidRPr="004B24BD">
        <w:rPr>
          <w:rFonts w:ascii="MetaOT-Norm" w:hAnsi="MetaOT-Norm" w:cs="MetaOT-Norm"/>
        </w:rPr>
        <w:t>custody</w:t>
      </w:r>
      <w:proofErr w:type="gramEnd"/>
    </w:p>
    <w:p w14:paraId="5E3A970F" w14:textId="77777777" w:rsidR="00A40A46" w:rsidRPr="004B24BD" w:rsidRDefault="00A40A46" w:rsidP="00A40A46">
      <w:pPr>
        <w:pStyle w:val="ListParagraph"/>
        <w:numPr>
          <w:ilvl w:val="0"/>
          <w:numId w:val="11"/>
        </w:numPr>
        <w:autoSpaceDE w:val="0"/>
        <w:autoSpaceDN w:val="0"/>
        <w:adjustRightInd w:val="0"/>
        <w:spacing w:after="0" w:line="240" w:lineRule="auto"/>
        <w:rPr>
          <w:rFonts w:ascii="MetaOT-Norm" w:hAnsi="MetaOT-Norm" w:cs="MetaOT-Norm"/>
        </w:rPr>
      </w:pPr>
      <w:r w:rsidRPr="004B24BD">
        <w:rPr>
          <w:rFonts w:ascii="MetaOT-Norm" w:hAnsi="MetaOT-Norm" w:cs="MetaOT-Norm"/>
        </w:rPr>
        <w:t xml:space="preserve">Reduce </w:t>
      </w:r>
      <w:proofErr w:type="gramStart"/>
      <w:r w:rsidRPr="004B24BD">
        <w:rPr>
          <w:rFonts w:ascii="MetaOT-Norm" w:hAnsi="MetaOT-Norm" w:cs="MetaOT-Norm"/>
        </w:rPr>
        <w:t>reoffending</w:t>
      </w:r>
      <w:proofErr w:type="gramEnd"/>
    </w:p>
    <w:p w14:paraId="08C1F7BD" w14:textId="77777777" w:rsidR="00A40A46" w:rsidRDefault="00A40A46" w:rsidP="00A40A46">
      <w:pPr>
        <w:autoSpaceDE w:val="0"/>
        <w:autoSpaceDN w:val="0"/>
        <w:adjustRightInd w:val="0"/>
        <w:spacing w:after="0"/>
        <w:rPr>
          <w:rFonts w:ascii="MetaNormalLF-Roman" w:hAnsi="MetaNormalLF-Roman" w:cs="MetaNormalLF-Roman"/>
          <w:sz w:val="26"/>
          <w:szCs w:val="26"/>
        </w:rPr>
      </w:pPr>
    </w:p>
    <w:p w14:paraId="01411A69" w14:textId="552BBB46" w:rsidR="006237EA" w:rsidRPr="009F58F2" w:rsidRDefault="00A40A46" w:rsidP="00A40A46">
      <w:pPr>
        <w:pStyle w:val="Heading2"/>
      </w:pPr>
      <w:r>
        <w:t>The Four Pillars: A Snapshot</w:t>
      </w:r>
      <w:r w:rsidRPr="009F58F2">
        <w:t xml:space="preserve"> </w:t>
      </w:r>
      <w:r w:rsidR="006237EA" w:rsidRPr="009F58F2">
        <w:t>Heading 3</w:t>
      </w:r>
    </w:p>
    <w:p w14:paraId="136B2F4E" w14:textId="77777777" w:rsidR="00A40A46" w:rsidRDefault="00A40A46" w:rsidP="00A40A46">
      <w:pPr>
        <w:pStyle w:val="Heading3"/>
      </w:pPr>
      <w:r w:rsidRPr="00A40A46">
        <w:t>Intervene</w:t>
      </w:r>
      <w:r>
        <w:t xml:space="preserve"> </w:t>
      </w:r>
      <w:proofErr w:type="gramStart"/>
      <w:r>
        <w:t>early</w:t>
      </w:r>
      <w:proofErr w:type="gramEnd"/>
      <w:r>
        <w:t xml:space="preserve"> </w:t>
      </w:r>
    </w:p>
    <w:p w14:paraId="01E5F270" w14:textId="77777777" w:rsidR="00A40A46" w:rsidRPr="004B24BD" w:rsidRDefault="00A40A46" w:rsidP="00A40A46">
      <w:pPr>
        <w:pStyle w:val="ListParagraph"/>
        <w:numPr>
          <w:ilvl w:val="0"/>
          <w:numId w:val="12"/>
        </w:numPr>
        <w:autoSpaceDE w:val="0"/>
        <w:autoSpaceDN w:val="0"/>
        <w:adjustRightInd w:val="0"/>
        <w:spacing w:after="0" w:line="240" w:lineRule="auto"/>
        <w:rPr>
          <w:rFonts w:ascii="MetaOT-Norm" w:hAnsi="MetaOT-Norm" w:cs="MetaOT-Norm"/>
          <w:color w:val="000000"/>
        </w:rPr>
      </w:pPr>
      <w:r w:rsidRPr="004B24BD">
        <w:rPr>
          <w:rFonts w:ascii="MetaOT-Norm" w:hAnsi="MetaOT-Norm" w:cs="MetaOT-Norm"/>
          <w:color w:val="000000"/>
        </w:rPr>
        <w:t>13% of children in the youth justice system are subject to Care and Protection Orders.</w:t>
      </w:r>
    </w:p>
    <w:p w14:paraId="6D927718" w14:textId="77777777" w:rsidR="00A40A46" w:rsidRPr="004B24BD" w:rsidRDefault="00A40A46" w:rsidP="00A40A46">
      <w:pPr>
        <w:pStyle w:val="ListParagraph"/>
        <w:numPr>
          <w:ilvl w:val="0"/>
          <w:numId w:val="12"/>
        </w:numPr>
        <w:autoSpaceDE w:val="0"/>
        <w:autoSpaceDN w:val="0"/>
        <w:adjustRightInd w:val="0"/>
        <w:spacing w:after="0" w:line="240" w:lineRule="auto"/>
        <w:rPr>
          <w:rFonts w:ascii="MetaOT-Norm" w:hAnsi="MetaOT-Norm" w:cs="MetaOT-Norm"/>
          <w:color w:val="000000"/>
        </w:rPr>
      </w:pPr>
      <w:r w:rsidRPr="004B24BD">
        <w:rPr>
          <w:rFonts w:ascii="MetaOT-Norm" w:hAnsi="MetaOT-Norm" w:cs="MetaOT-Norm"/>
          <w:color w:val="000000"/>
        </w:rPr>
        <w:t>83% of children in the youth justice system were known to the child protection system already.</w:t>
      </w:r>
    </w:p>
    <w:p w14:paraId="26EFCDB5" w14:textId="77777777" w:rsidR="00A40A46" w:rsidRDefault="00A40A46" w:rsidP="00A40A46">
      <w:pPr>
        <w:pStyle w:val="ListParagraph"/>
        <w:numPr>
          <w:ilvl w:val="0"/>
          <w:numId w:val="12"/>
        </w:numPr>
        <w:autoSpaceDE w:val="0"/>
        <w:autoSpaceDN w:val="0"/>
        <w:adjustRightInd w:val="0"/>
        <w:spacing w:after="0" w:line="240" w:lineRule="auto"/>
        <w:rPr>
          <w:rFonts w:ascii="MetaOT-Norm" w:hAnsi="MetaOT-Norm" w:cs="MetaOT-Norm"/>
          <w:color w:val="000000"/>
        </w:rPr>
      </w:pPr>
      <w:r w:rsidRPr="004B24BD">
        <w:rPr>
          <w:rFonts w:ascii="MetaOT-Norm" w:hAnsi="MetaOT-Norm" w:cs="MetaOT-Norm"/>
          <w:color w:val="000000"/>
        </w:rPr>
        <w:t xml:space="preserve">Only 30% of children in the youth justice system of compulsory school age (aged 15 and under) regularly attended school. </w:t>
      </w:r>
    </w:p>
    <w:p w14:paraId="58B35838" w14:textId="77777777" w:rsidR="00A40A46" w:rsidRDefault="00A40A46" w:rsidP="00A40A46">
      <w:pPr>
        <w:pStyle w:val="ListParagraph"/>
        <w:numPr>
          <w:ilvl w:val="1"/>
          <w:numId w:val="12"/>
        </w:numPr>
        <w:autoSpaceDE w:val="0"/>
        <w:autoSpaceDN w:val="0"/>
        <w:adjustRightInd w:val="0"/>
        <w:spacing w:after="0" w:line="240" w:lineRule="auto"/>
        <w:rPr>
          <w:rFonts w:ascii="MetaOT-Norm" w:hAnsi="MetaOT-Norm" w:cs="MetaOT-Norm"/>
          <w:color w:val="000000"/>
        </w:rPr>
      </w:pPr>
      <w:r w:rsidRPr="004B24BD">
        <w:rPr>
          <w:rFonts w:ascii="MetaOT-Norm" w:hAnsi="MetaOT-Norm" w:cs="MetaOT-Norm"/>
          <w:color w:val="000000"/>
        </w:rPr>
        <w:t>From 2013–17 the total number of disciplinary</w:t>
      </w:r>
      <w:r>
        <w:rPr>
          <w:rFonts w:ascii="MetaOT-Norm" w:hAnsi="MetaOT-Norm" w:cs="MetaOT-Norm"/>
          <w:color w:val="000000"/>
        </w:rPr>
        <w:t xml:space="preserve"> </w:t>
      </w:r>
      <w:r w:rsidRPr="004B24BD">
        <w:rPr>
          <w:rFonts w:ascii="MetaOT-Norm" w:hAnsi="MetaOT-Norm" w:cs="MetaOT-Norm"/>
          <w:color w:val="000000"/>
        </w:rPr>
        <w:t>absences in Queensland increased by 24%.</w:t>
      </w:r>
    </w:p>
    <w:p w14:paraId="734C3069" w14:textId="77777777" w:rsidR="00A40A46" w:rsidRPr="004B24BD" w:rsidRDefault="00A40A46" w:rsidP="00A40A46">
      <w:pPr>
        <w:pStyle w:val="ListParagraph"/>
        <w:numPr>
          <w:ilvl w:val="0"/>
          <w:numId w:val="12"/>
        </w:numPr>
        <w:autoSpaceDE w:val="0"/>
        <w:autoSpaceDN w:val="0"/>
        <w:adjustRightInd w:val="0"/>
        <w:spacing w:after="0" w:line="240" w:lineRule="auto"/>
        <w:rPr>
          <w:rFonts w:ascii="MetaOT-Norm" w:hAnsi="MetaOT-Norm" w:cs="MetaOT-Norm"/>
          <w:color w:val="000000"/>
        </w:rPr>
      </w:pPr>
      <w:r w:rsidRPr="004B24BD">
        <w:rPr>
          <w:rFonts w:ascii="MetaOT-Norm" w:hAnsi="MetaOT-Norm" w:cs="MetaOT-Norm"/>
          <w:color w:val="000000"/>
        </w:rPr>
        <w:t>Every dollar spent on flexible learning</w:t>
      </w:r>
      <w:r>
        <w:rPr>
          <w:rFonts w:ascii="MetaOT-Norm" w:hAnsi="MetaOT-Norm" w:cs="MetaOT-Norm"/>
          <w:color w:val="000000"/>
        </w:rPr>
        <w:t xml:space="preserve"> </w:t>
      </w:r>
      <w:r w:rsidRPr="004B24BD">
        <w:rPr>
          <w:rFonts w:ascii="MetaOT-Norm" w:hAnsi="MetaOT-Norm" w:cs="MetaOT-Norm"/>
          <w:color w:val="000000"/>
        </w:rPr>
        <w:t>options for young people generates $25 in</w:t>
      </w:r>
      <w:r>
        <w:rPr>
          <w:rFonts w:ascii="MetaOT-Norm" w:hAnsi="MetaOT-Norm" w:cs="MetaOT-Norm"/>
          <w:color w:val="000000"/>
        </w:rPr>
        <w:t xml:space="preserve"> </w:t>
      </w:r>
      <w:r w:rsidRPr="004B24BD">
        <w:rPr>
          <w:rFonts w:ascii="MetaOT-Norm" w:hAnsi="MetaOT-Norm" w:cs="MetaOT-Norm"/>
          <w:color w:val="000000"/>
        </w:rPr>
        <w:t>socio</w:t>
      </w:r>
      <w:r>
        <w:rPr>
          <w:rFonts w:ascii="MetaOT-Norm" w:hAnsi="MetaOT-Norm" w:cs="MetaOT-Norm"/>
          <w:color w:val="000000"/>
        </w:rPr>
        <w:t>-</w:t>
      </w:r>
      <w:r w:rsidRPr="004B24BD">
        <w:rPr>
          <w:rFonts w:ascii="MetaOT-Norm" w:hAnsi="MetaOT-Norm" w:cs="MetaOT-Norm"/>
          <w:color w:val="000000"/>
        </w:rPr>
        <w:t>economic returns and saves $32,000 in</w:t>
      </w:r>
      <w:r>
        <w:rPr>
          <w:rFonts w:ascii="MetaOT-Norm" w:hAnsi="MetaOT-Norm" w:cs="MetaOT-Norm"/>
          <w:color w:val="000000"/>
        </w:rPr>
        <w:t xml:space="preserve"> </w:t>
      </w:r>
      <w:r w:rsidRPr="004B24BD">
        <w:rPr>
          <w:rFonts w:ascii="MetaOT-Norm" w:hAnsi="MetaOT-Norm" w:cs="MetaOT-Norm"/>
          <w:color w:val="000000"/>
        </w:rPr>
        <w:t>youth justice and welfare costs.</w:t>
      </w:r>
    </w:p>
    <w:p w14:paraId="4CEA24B4" w14:textId="77777777" w:rsidR="00A40A46" w:rsidRDefault="00A40A46" w:rsidP="00A40A46">
      <w:pPr>
        <w:pStyle w:val="ListParagraph"/>
        <w:numPr>
          <w:ilvl w:val="0"/>
          <w:numId w:val="12"/>
        </w:numPr>
        <w:autoSpaceDE w:val="0"/>
        <w:autoSpaceDN w:val="0"/>
        <w:adjustRightInd w:val="0"/>
        <w:spacing w:after="0" w:line="240" w:lineRule="auto"/>
        <w:rPr>
          <w:rFonts w:ascii="MetaOT-Norm" w:hAnsi="MetaOT-Norm" w:cs="MetaOT-Norm"/>
          <w:color w:val="000000"/>
        </w:rPr>
      </w:pPr>
      <w:proofErr w:type="gramStart"/>
      <w:r w:rsidRPr="004B24BD">
        <w:rPr>
          <w:rFonts w:ascii="MetaOT-Norm" w:hAnsi="MetaOT-Norm" w:cs="MetaOT-Norm"/>
          <w:color w:val="000000"/>
        </w:rPr>
        <w:t>The majority of</w:t>
      </w:r>
      <w:proofErr w:type="gramEnd"/>
      <w:r w:rsidRPr="004B24BD">
        <w:rPr>
          <w:rFonts w:ascii="MetaOT-Norm" w:hAnsi="MetaOT-Norm" w:cs="MetaOT-Norm"/>
          <w:color w:val="000000"/>
        </w:rPr>
        <w:t xml:space="preserve"> children in the youth justice system</w:t>
      </w:r>
      <w:r>
        <w:rPr>
          <w:rFonts w:ascii="MetaOT-Norm" w:hAnsi="MetaOT-Norm" w:cs="MetaOT-Norm"/>
          <w:color w:val="000000"/>
        </w:rPr>
        <w:t xml:space="preserve"> </w:t>
      </w:r>
      <w:r w:rsidRPr="004B24BD">
        <w:rPr>
          <w:rFonts w:ascii="MetaOT-Norm" w:hAnsi="MetaOT-Norm" w:cs="MetaOT-Norm"/>
          <w:color w:val="000000"/>
        </w:rPr>
        <w:t>resided in the lowest socio-economic areas.</w:t>
      </w:r>
      <w:r>
        <w:rPr>
          <w:rFonts w:ascii="MetaOT-Norm" w:hAnsi="MetaOT-Norm" w:cs="MetaOT-Norm"/>
          <w:color w:val="000000"/>
        </w:rPr>
        <w:t xml:space="preserve"> </w:t>
      </w:r>
    </w:p>
    <w:p w14:paraId="4D8EF145" w14:textId="77777777" w:rsidR="00A40A46" w:rsidRDefault="00A40A46" w:rsidP="00A40A46">
      <w:pPr>
        <w:pStyle w:val="ListParagraph"/>
        <w:numPr>
          <w:ilvl w:val="1"/>
          <w:numId w:val="12"/>
        </w:numPr>
        <w:autoSpaceDE w:val="0"/>
        <w:autoSpaceDN w:val="0"/>
        <w:adjustRightInd w:val="0"/>
        <w:spacing w:after="0" w:line="240" w:lineRule="auto"/>
        <w:rPr>
          <w:rFonts w:ascii="MetaOT-Norm" w:hAnsi="MetaOT-Norm" w:cs="MetaOT-Norm"/>
          <w:color w:val="000000"/>
        </w:rPr>
      </w:pPr>
      <w:r w:rsidRPr="004B24BD">
        <w:rPr>
          <w:rFonts w:ascii="MetaOT-Norm" w:hAnsi="MetaOT-Norm" w:cs="MetaOT-Norm"/>
          <w:color w:val="000000"/>
        </w:rPr>
        <w:t>42% of Aboriginal and Torres Strait Islander</w:t>
      </w:r>
      <w:r>
        <w:rPr>
          <w:rFonts w:ascii="MetaOT-Norm" w:hAnsi="MetaOT-Norm" w:cs="MetaOT-Norm"/>
          <w:color w:val="000000"/>
        </w:rPr>
        <w:t xml:space="preserve"> </w:t>
      </w:r>
      <w:r w:rsidRPr="004B24BD">
        <w:rPr>
          <w:rFonts w:ascii="MetaOT-Norm" w:hAnsi="MetaOT-Norm" w:cs="MetaOT-Norm"/>
          <w:color w:val="000000"/>
        </w:rPr>
        <w:t>children resided in these areas compared to</w:t>
      </w:r>
      <w:r>
        <w:rPr>
          <w:rFonts w:ascii="MetaOT-Norm" w:hAnsi="MetaOT-Norm" w:cs="MetaOT-Norm"/>
          <w:color w:val="000000"/>
        </w:rPr>
        <w:t xml:space="preserve"> </w:t>
      </w:r>
      <w:r w:rsidRPr="004B24BD">
        <w:rPr>
          <w:rFonts w:ascii="MetaOT-Norm" w:hAnsi="MetaOT-Norm" w:cs="MetaOT-Norm"/>
          <w:color w:val="000000"/>
        </w:rPr>
        <w:t>34% of non-indigenous children.</w:t>
      </w:r>
    </w:p>
    <w:p w14:paraId="75A458CF" w14:textId="77777777" w:rsidR="00A40A46" w:rsidRPr="004B24BD" w:rsidRDefault="00A40A46" w:rsidP="00A40A46">
      <w:pPr>
        <w:pStyle w:val="Heading4"/>
        <w:rPr>
          <w:rFonts w:ascii="MetaOT-Medi" w:hAnsi="MetaOT-Medi" w:cs="MetaOT-Medi"/>
          <w:color w:val="FFFFFF"/>
          <w:sz w:val="14"/>
        </w:rPr>
      </w:pPr>
      <w:r w:rsidRPr="004B24BD">
        <w:t>Solutions</w:t>
      </w:r>
      <w:r>
        <w:t>:</w:t>
      </w:r>
    </w:p>
    <w:p w14:paraId="45009BD4" w14:textId="77777777" w:rsidR="00A40A46" w:rsidRDefault="00A40A46" w:rsidP="00A40A46">
      <w:pPr>
        <w:autoSpaceDE w:val="0"/>
        <w:autoSpaceDN w:val="0"/>
        <w:adjustRightInd w:val="0"/>
        <w:spacing w:after="0"/>
        <w:rPr>
          <w:rFonts w:ascii="MetaOT-NormIta" w:hAnsi="MetaOT-NormIta" w:cs="MetaOT-NormIta"/>
          <w:color w:val="000000"/>
        </w:rPr>
      </w:pPr>
      <w:r>
        <w:rPr>
          <w:rFonts w:ascii="MetaOT-NormIta" w:hAnsi="MetaOT-NormIta" w:cs="MetaOT-NormIta"/>
          <w:color w:val="000000"/>
        </w:rPr>
        <w:t>“By intervening early when risk factors associated with antisocial or criminal behaviour are evident, there is a much greater chance of preventing a child’s later involvement in the criminal justice system and improving their life outcomes.”</w:t>
      </w:r>
    </w:p>
    <w:p w14:paraId="02F75162" w14:textId="77777777" w:rsidR="00790508" w:rsidRDefault="00790508" w:rsidP="00A40A46">
      <w:pPr>
        <w:autoSpaceDE w:val="0"/>
        <w:autoSpaceDN w:val="0"/>
        <w:adjustRightInd w:val="0"/>
        <w:spacing w:after="0"/>
        <w:rPr>
          <w:rFonts w:ascii="MetaOT-NormIta" w:hAnsi="MetaOT-NormIta" w:cs="MetaOT-NormIta"/>
          <w:color w:val="000000"/>
        </w:rPr>
      </w:pPr>
    </w:p>
    <w:p w14:paraId="204C565C" w14:textId="77777777" w:rsidR="00A40A46" w:rsidRPr="004B24BD" w:rsidRDefault="00A40A46" w:rsidP="00A40A46">
      <w:pPr>
        <w:autoSpaceDE w:val="0"/>
        <w:autoSpaceDN w:val="0"/>
        <w:adjustRightInd w:val="0"/>
        <w:spacing w:after="0"/>
        <w:rPr>
          <w:rFonts w:ascii="MetaOT-NormIta" w:hAnsi="MetaOT-NormIta" w:cs="MetaOT-NormIta"/>
          <w:color w:val="000000"/>
        </w:rPr>
      </w:pPr>
      <w:r>
        <w:rPr>
          <w:rFonts w:ascii="MetaOT-NormIta" w:hAnsi="MetaOT-NormIta" w:cs="MetaOT-NormIta"/>
          <w:color w:val="000000"/>
        </w:rPr>
        <w:lastRenderedPageBreak/>
        <w:t>“Collaboration and multi-agency responses are key to both the individual and community level crime prevention and early intervention. For Aboriginal and Torres Strait Islander children and families, culturally informed and responsive collaborations will be critical for success.”</w:t>
      </w:r>
    </w:p>
    <w:p w14:paraId="048292F4" w14:textId="77777777" w:rsidR="00A40A46" w:rsidRDefault="00A40A46" w:rsidP="00A40A46">
      <w:pPr>
        <w:autoSpaceDE w:val="0"/>
        <w:autoSpaceDN w:val="0"/>
        <w:adjustRightInd w:val="0"/>
        <w:spacing w:after="0"/>
        <w:rPr>
          <w:rFonts w:ascii="MetaOT-NormIta" w:hAnsi="MetaOT-NormIta" w:cs="MetaOT-NormIta"/>
          <w:color w:val="000000"/>
        </w:rPr>
      </w:pPr>
    </w:p>
    <w:p w14:paraId="0157DF60" w14:textId="77777777" w:rsidR="00A40A46" w:rsidRDefault="00A40A46" w:rsidP="00A40A46">
      <w:pPr>
        <w:pStyle w:val="Heading3"/>
      </w:pPr>
      <w:r>
        <w:t xml:space="preserve">Keep children out of </w:t>
      </w:r>
      <w:proofErr w:type="gramStart"/>
      <w:r>
        <w:t>court</w:t>
      </w:r>
      <w:proofErr w:type="gramEnd"/>
    </w:p>
    <w:p w14:paraId="2E65D717" w14:textId="77777777" w:rsidR="00A40A46" w:rsidRPr="004B24BD" w:rsidRDefault="00A40A46" w:rsidP="00A40A46">
      <w:pPr>
        <w:pStyle w:val="ListParagraph"/>
        <w:numPr>
          <w:ilvl w:val="0"/>
          <w:numId w:val="13"/>
        </w:numPr>
        <w:autoSpaceDE w:val="0"/>
        <w:autoSpaceDN w:val="0"/>
        <w:adjustRightInd w:val="0"/>
        <w:spacing w:after="0" w:line="240" w:lineRule="auto"/>
        <w:rPr>
          <w:rFonts w:ascii="MetaOT-Norm" w:hAnsi="MetaOT-Norm" w:cs="MetaOT-Norm"/>
          <w:color w:val="000000"/>
        </w:rPr>
      </w:pPr>
      <w:r w:rsidRPr="004B24BD">
        <w:rPr>
          <w:rFonts w:ascii="MetaOT-Norm" w:hAnsi="MetaOT-Norm" w:cs="MetaOT-Norm"/>
          <w:color w:val="000000"/>
        </w:rPr>
        <w:t>10% of child offenders are responsible for 43% of all child offences in Queensland.</w:t>
      </w:r>
    </w:p>
    <w:p w14:paraId="13F95EF5" w14:textId="77777777" w:rsidR="00A40A46" w:rsidRPr="004B24BD" w:rsidRDefault="00A40A46" w:rsidP="00A40A46">
      <w:pPr>
        <w:pStyle w:val="ListParagraph"/>
        <w:numPr>
          <w:ilvl w:val="0"/>
          <w:numId w:val="13"/>
        </w:numPr>
        <w:autoSpaceDE w:val="0"/>
        <w:autoSpaceDN w:val="0"/>
        <w:adjustRightInd w:val="0"/>
        <w:spacing w:after="0" w:line="240" w:lineRule="auto"/>
        <w:rPr>
          <w:rFonts w:ascii="MetaOT-Norm" w:hAnsi="MetaOT-Norm" w:cs="MetaOT-Norm"/>
          <w:color w:val="000000"/>
        </w:rPr>
      </w:pPr>
      <w:r w:rsidRPr="004B24BD">
        <w:rPr>
          <w:rFonts w:ascii="MetaOT-Norm" w:hAnsi="MetaOT-Norm" w:cs="MetaOT-Norm"/>
          <w:color w:val="000000"/>
        </w:rPr>
        <w:t xml:space="preserve">The Queensland </w:t>
      </w:r>
      <w:r w:rsidRPr="004B24BD">
        <w:rPr>
          <w:rFonts w:ascii="MetaOT-NormIta" w:hAnsi="MetaOT-NormIta" w:cs="MetaOT-NormIta"/>
          <w:color w:val="000000"/>
        </w:rPr>
        <w:t xml:space="preserve">Youth Justice Act 1992 </w:t>
      </w:r>
      <w:r w:rsidRPr="004B24BD">
        <w:rPr>
          <w:rFonts w:ascii="MetaOT-Norm" w:hAnsi="MetaOT-Norm" w:cs="MetaOT-Norm"/>
          <w:color w:val="000000"/>
        </w:rPr>
        <w:t xml:space="preserve">provides for the police to divert a child by way of taking no action, issuing a </w:t>
      </w:r>
      <w:proofErr w:type="gramStart"/>
      <w:r w:rsidRPr="004B24BD">
        <w:rPr>
          <w:rFonts w:ascii="MetaOT-Norm" w:hAnsi="MetaOT-Norm" w:cs="MetaOT-Norm"/>
          <w:color w:val="000000"/>
        </w:rPr>
        <w:t>caution</w:t>
      </w:r>
      <w:proofErr w:type="gramEnd"/>
      <w:r w:rsidRPr="004B24BD">
        <w:rPr>
          <w:rFonts w:ascii="MetaOT-Norm" w:hAnsi="MetaOT-Norm" w:cs="MetaOT-Norm"/>
          <w:color w:val="000000"/>
        </w:rPr>
        <w:t xml:space="preserve"> or referring the child to a restorative justice process.</w:t>
      </w:r>
    </w:p>
    <w:p w14:paraId="60BC890F" w14:textId="77777777" w:rsidR="00A40A46" w:rsidRPr="004B24BD" w:rsidRDefault="00A40A46" w:rsidP="00A40A46">
      <w:pPr>
        <w:pStyle w:val="ListParagraph"/>
        <w:numPr>
          <w:ilvl w:val="0"/>
          <w:numId w:val="13"/>
        </w:numPr>
        <w:autoSpaceDE w:val="0"/>
        <w:autoSpaceDN w:val="0"/>
        <w:adjustRightInd w:val="0"/>
        <w:spacing w:after="0" w:line="240" w:lineRule="auto"/>
        <w:rPr>
          <w:rFonts w:ascii="MetaOT-Norm" w:hAnsi="MetaOT-Norm" w:cs="MetaOT-Norm"/>
          <w:color w:val="000000"/>
        </w:rPr>
      </w:pPr>
      <w:r w:rsidRPr="004B24BD">
        <w:rPr>
          <w:rFonts w:ascii="MetaOT-Norm" w:hAnsi="MetaOT-Norm" w:cs="MetaOT-Norm"/>
          <w:color w:val="000000"/>
        </w:rPr>
        <w:t>There were 38,338 occasions of police actions against children aged 10–16 years in 2016–17.</w:t>
      </w:r>
    </w:p>
    <w:p w14:paraId="3BE2FD29" w14:textId="77777777" w:rsidR="00A40A46" w:rsidRPr="004B24BD" w:rsidRDefault="00A40A46" w:rsidP="00A40A46">
      <w:pPr>
        <w:pStyle w:val="ListParagraph"/>
        <w:numPr>
          <w:ilvl w:val="0"/>
          <w:numId w:val="13"/>
        </w:numPr>
        <w:autoSpaceDE w:val="0"/>
        <w:autoSpaceDN w:val="0"/>
        <w:adjustRightInd w:val="0"/>
        <w:spacing w:after="0" w:line="240" w:lineRule="auto"/>
        <w:rPr>
          <w:rFonts w:ascii="MetaOT-Norm" w:hAnsi="MetaOT-Norm" w:cs="MetaOT-Norm"/>
          <w:color w:val="000000"/>
        </w:rPr>
      </w:pPr>
      <w:r w:rsidRPr="004B24BD">
        <w:rPr>
          <w:rFonts w:ascii="MetaOT-Norm" w:hAnsi="MetaOT-Norm" w:cs="MetaOT-Norm"/>
          <w:color w:val="000000"/>
        </w:rPr>
        <w:t xml:space="preserve">Of these police actions, 10,840 cautions were </w:t>
      </w:r>
      <w:proofErr w:type="gramStart"/>
      <w:r w:rsidRPr="004B24BD">
        <w:rPr>
          <w:rFonts w:ascii="MetaOT-Norm" w:hAnsi="MetaOT-Norm" w:cs="MetaOT-Norm"/>
          <w:color w:val="000000"/>
        </w:rPr>
        <w:t>issued</w:t>
      </w:r>
      <w:proofErr w:type="gramEnd"/>
      <w:r w:rsidRPr="004B24BD">
        <w:rPr>
          <w:rFonts w:ascii="MetaOT-Norm" w:hAnsi="MetaOT-Norm" w:cs="MetaOT-Norm"/>
          <w:color w:val="000000"/>
        </w:rPr>
        <w:t xml:space="preserve"> and 1941 children were referred to restorative justice by police.</w:t>
      </w:r>
    </w:p>
    <w:p w14:paraId="0E4FEF17" w14:textId="77777777" w:rsidR="00A40A46" w:rsidRPr="004B24BD" w:rsidRDefault="00A40A46" w:rsidP="00A40A46">
      <w:pPr>
        <w:pStyle w:val="Heading4"/>
        <w:rPr>
          <w:rFonts w:ascii="MetaOT-Medi" w:hAnsi="MetaOT-Medi" w:cs="MetaOT-Medi"/>
          <w:color w:val="FFFFFF"/>
          <w:sz w:val="14"/>
        </w:rPr>
      </w:pPr>
      <w:r w:rsidRPr="004B24BD">
        <w:t>Solutions</w:t>
      </w:r>
      <w:r>
        <w:t>:</w:t>
      </w:r>
    </w:p>
    <w:p w14:paraId="3AE21B07" w14:textId="77777777" w:rsidR="00790508" w:rsidRDefault="00790508" w:rsidP="00790508">
      <w:pPr>
        <w:autoSpaceDE w:val="0"/>
        <w:autoSpaceDN w:val="0"/>
        <w:adjustRightInd w:val="0"/>
        <w:spacing w:after="0"/>
        <w:rPr>
          <w:rFonts w:ascii="MetaOT-NormIta" w:hAnsi="MetaOT-NormIta" w:cs="MetaOT-NormIta"/>
          <w:color w:val="000000"/>
        </w:rPr>
      </w:pPr>
      <w:r>
        <w:rPr>
          <w:rFonts w:ascii="MetaOT-NormIta" w:hAnsi="MetaOT-NormIta" w:cs="MetaOT-NormIta"/>
          <w:color w:val="000000"/>
        </w:rPr>
        <w:t>“Where children offend or come to the attention of police, it is critical that a focus is maintained on keeping children out of court, by way of police diversions accompanied by non-court support options.”</w:t>
      </w:r>
    </w:p>
    <w:p w14:paraId="4404D94F" w14:textId="77777777" w:rsidR="00790508" w:rsidRDefault="00790508" w:rsidP="00790508">
      <w:pPr>
        <w:autoSpaceDE w:val="0"/>
        <w:autoSpaceDN w:val="0"/>
        <w:adjustRightInd w:val="0"/>
        <w:spacing w:after="0"/>
        <w:rPr>
          <w:rFonts w:ascii="MetaOT-NormIta" w:hAnsi="MetaOT-NormIta" w:cs="MetaOT-NormIta"/>
          <w:color w:val="000000"/>
        </w:rPr>
      </w:pPr>
    </w:p>
    <w:p w14:paraId="4CBCAE0B" w14:textId="77777777" w:rsidR="00790508" w:rsidRDefault="00790508" w:rsidP="00790508">
      <w:pPr>
        <w:autoSpaceDE w:val="0"/>
        <w:autoSpaceDN w:val="0"/>
        <w:adjustRightInd w:val="0"/>
        <w:spacing w:after="0"/>
        <w:rPr>
          <w:rFonts w:ascii="MetaOT-Light" w:hAnsi="MetaOT-Light" w:cs="MetaOT-Light"/>
          <w:color w:val="FFFFFF"/>
          <w:sz w:val="48"/>
          <w:szCs w:val="48"/>
        </w:rPr>
      </w:pPr>
      <w:r>
        <w:rPr>
          <w:rFonts w:ascii="MetaOT-NormIta" w:hAnsi="MetaOT-NormIta" w:cs="MetaOT-NormIta"/>
          <w:color w:val="000000"/>
        </w:rPr>
        <w:t>“To be effective diversion processes should be supported with new approaches to information sharing, improved assessment processes and enhanced referral pathways and support services for children as well as their families and carers.”</w:t>
      </w:r>
    </w:p>
    <w:p w14:paraId="32FF7C4A" w14:textId="77777777" w:rsidR="00A40A46" w:rsidRDefault="00A40A46" w:rsidP="00A40A46"/>
    <w:p w14:paraId="0F80DB69" w14:textId="77777777" w:rsidR="00790508" w:rsidRDefault="00790508" w:rsidP="00790508">
      <w:pPr>
        <w:pStyle w:val="Heading3"/>
      </w:pPr>
      <w:r>
        <w:t xml:space="preserve">Keep children out of </w:t>
      </w:r>
      <w:proofErr w:type="gramStart"/>
      <w:r>
        <w:t>custody</w:t>
      </w:r>
      <w:proofErr w:type="gramEnd"/>
    </w:p>
    <w:p w14:paraId="6B8C3890" w14:textId="77777777" w:rsidR="00790508" w:rsidRPr="004B24BD" w:rsidRDefault="00790508" w:rsidP="00790508">
      <w:pPr>
        <w:pStyle w:val="ListParagraph"/>
        <w:numPr>
          <w:ilvl w:val="0"/>
          <w:numId w:val="14"/>
        </w:numPr>
        <w:autoSpaceDE w:val="0"/>
        <w:autoSpaceDN w:val="0"/>
        <w:adjustRightInd w:val="0"/>
        <w:spacing w:after="0" w:line="240" w:lineRule="auto"/>
        <w:rPr>
          <w:rFonts w:ascii="MetaOT-Norm" w:hAnsi="MetaOT-Norm" w:cs="MetaOT-Norm"/>
          <w:color w:val="000000"/>
        </w:rPr>
      </w:pPr>
      <w:r w:rsidRPr="004B24BD">
        <w:rPr>
          <w:rFonts w:ascii="MetaOT-Norm" w:hAnsi="MetaOT-Norm" w:cs="MetaOT-Norm"/>
          <w:color w:val="000000"/>
        </w:rPr>
        <w:t>Aboriginal and Torres Strait Islander children constituted over 69% of the children in detention — despite only representing 7.6% of Queenslanders between the ages of 10–16 years.</w:t>
      </w:r>
    </w:p>
    <w:p w14:paraId="7D62E9AA" w14:textId="77777777" w:rsidR="00790508" w:rsidRPr="004B24BD" w:rsidRDefault="00790508" w:rsidP="00790508">
      <w:pPr>
        <w:pStyle w:val="ListParagraph"/>
        <w:numPr>
          <w:ilvl w:val="0"/>
          <w:numId w:val="14"/>
        </w:numPr>
        <w:autoSpaceDE w:val="0"/>
        <w:autoSpaceDN w:val="0"/>
        <w:adjustRightInd w:val="0"/>
        <w:spacing w:after="0" w:line="240" w:lineRule="auto"/>
        <w:rPr>
          <w:rFonts w:ascii="MetaOT-Norm" w:hAnsi="MetaOT-Norm" w:cs="MetaOT-Norm"/>
          <w:color w:val="000000"/>
        </w:rPr>
      </w:pPr>
      <w:r w:rsidRPr="004B24BD">
        <w:rPr>
          <w:rFonts w:ascii="MetaOT-Norm" w:hAnsi="MetaOT-Norm" w:cs="MetaOT-Norm"/>
          <w:color w:val="000000"/>
        </w:rPr>
        <w:t>Remand in custody rates in Queensland increased over the last four years from 2.79 per 10,000 to 3.23 per 10,000.</w:t>
      </w:r>
    </w:p>
    <w:p w14:paraId="56AB1A9D" w14:textId="77777777" w:rsidR="00790508" w:rsidRPr="004B24BD" w:rsidRDefault="00790508" w:rsidP="00790508">
      <w:pPr>
        <w:pStyle w:val="ListParagraph"/>
        <w:numPr>
          <w:ilvl w:val="0"/>
          <w:numId w:val="14"/>
        </w:numPr>
        <w:autoSpaceDE w:val="0"/>
        <w:autoSpaceDN w:val="0"/>
        <w:adjustRightInd w:val="0"/>
        <w:spacing w:after="0" w:line="240" w:lineRule="auto"/>
        <w:rPr>
          <w:rFonts w:ascii="MetaOT-Norm" w:hAnsi="MetaOT-Norm" w:cs="MetaOT-Norm"/>
          <w:color w:val="000000"/>
        </w:rPr>
      </w:pPr>
      <w:r w:rsidRPr="004B24BD">
        <w:rPr>
          <w:rFonts w:ascii="MetaOT-Norm" w:hAnsi="MetaOT-Norm" w:cs="MetaOT-Norm"/>
          <w:color w:val="000000"/>
        </w:rPr>
        <w:t>18 days is the median number of days children spent in custody and for those serving detention orders it was 43 days.</w:t>
      </w:r>
    </w:p>
    <w:p w14:paraId="7D28DC9D" w14:textId="77777777" w:rsidR="00790508" w:rsidRPr="004B24BD" w:rsidRDefault="00790508" w:rsidP="00790508">
      <w:pPr>
        <w:pStyle w:val="ListParagraph"/>
        <w:numPr>
          <w:ilvl w:val="0"/>
          <w:numId w:val="14"/>
        </w:numPr>
        <w:autoSpaceDE w:val="0"/>
        <w:autoSpaceDN w:val="0"/>
        <w:adjustRightInd w:val="0"/>
        <w:spacing w:after="0" w:line="240" w:lineRule="auto"/>
        <w:rPr>
          <w:rFonts w:ascii="MetaOT-Norm" w:hAnsi="MetaOT-Norm" w:cs="MetaOT-Norm"/>
          <w:color w:val="000000"/>
        </w:rPr>
      </w:pPr>
      <w:r w:rsidRPr="004B24BD">
        <w:rPr>
          <w:rFonts w:ascii="MetaOT-Norm" w:hAnsi="MetaOT-Norm" w:cs="MetaOT-Norm"/>
          <w:color w:val="000000"/>
        </w:rPr>
        <w:t>Queensland has four supervised bail accommodation services — two in SEQ and two in NQ (Townsville).</w:t>
      </w:r>
    </w:p>
    <w:p w14:paraId="23A45C3D" w14:textId="77777777" w:rsidR="00790508" w:rsidRPr="004B24BD" w:rsidRDefault="00790508" w:rsidP="00790508">
      <w:pPr>
        <w:pStyle w:val="ListParagraph"/>
        <w:numPr>
          <w:ilvl w:val="0"/>
          <w:numId w:val="14"/>
        </w:numPr>
        <w:autoSpaceDE w:val="0"/>
        <w:autoSpaceDN w:val="0"/>
        <w:adjustRightInd w:val="0"/>
        <w:spacing w:after="0" w:line="240" w:lineRule="auto"/>
        <w:rPr>
          <w:rFonts w:ascii="MetaOT-Norm" w:hAnsi="MetaOT-Norm" w:cs="MetaOT-Norm"/>
          <w:color w:val="000000"/>
        </w:rPr>
      </w:pPr>
      <w:r w:rsidRPr="004B24BD">
        <w:rPr>
          <w:rFonts w:ascii="MetaOT-Norm" w:hAnsi="MetaOT-Norm" w:cs="MetaOT-Norm"/>
          <w:color w:val="000000"/>
        </w:rPr>
        <w:t>80% of children in detention centres in Queensland are on remand (higher than the national average of 64%).</w:t>
      </w:r>
    </w:p>
    <w:p w14:paraId="2914964A" w14:textId="77777777" w:rsidR="00790508" w:rsidRDefault="00790508" w:rsidP="00790508">
      <w:pPr>
        <w:pStyle w:val="Heading4"/>
      </w:pPr>
      <w:r w:rsidRPr="00790508">
        <w:t>Solutions:</w:t>
      </w:r>
    </w:p>
    <w:p w14:paraId="4B2558F8" w14:textId="77777777" w:rsidR="00790508" w:rsidRDefault="00790508" w:rsidP="00790508">
      <w:pPr>
        <w:autoSpaceDE w:val="0"/>
        <w:autoSpaceDN w:val="0"/>
        <w:adjustRightInd w:val="0"/>
        <w:spacing w:after="0"/>
        <w:rPr>
          <w:rFonts w:ascii="MetaOT-NormIta" w:hAnsi="MetaOT-NormIta" w:cs="MetaOT-NormIta"/>
          <w:color w:val="000000"/>
        </w:rPr>
      </w:pPr>
      <w:r>
        <w:rPr>
          <w:rFonts w:ascii="MetaOT-NormIta" w:hAnsi="MetaOT-NormIta" w:cs="MetaOT-NormIta"/>
          <w:color w:val="000000"/>
        </w:rPr>
        <w:t>“If children can’t be kept out of court, all efforts should be made to keep children out of custody prior to and following an appearance in court.”</w:t>
      </w:r>
    </w:p>
    <w:p w14:paraId="1256624A" w14:textId="77777777" w:rsidR="00790508" w:rsidRDefault="00790508" w:rsidP="00790508">
      <w:pPr>
        <w:autoSpaceDE w:val="0"/>
        <w:autoSpaceDN w:val="0"/>
        <w:adjustRightInd w:val="0"/>
        <w:spacing w:after="0"/>
        <w:rPr>
          <w:rFonts w:ascii="MetaOT-NormIta" w:hAnsi="MetaOT-NormIta" w:cs="MetaOT-NormIta"/>
          <w:color w:val="000000"/>
        </w:rPr>
      </w:pPr>
    </w:p>
    <w:p w14:paraId="2317D180" w14:textId="77777777" w:rsidR="00790508" w:rsidRDefault="00790508" w:rsidP="00790508">
      <w:pPr>
        <w:autoSpaceDE w:val="0"/>
        <w:autoSpaceDN w:val="0"/>
        <w:adjustRightInd w:val="0"/>
        <w:spacing w:after="0"/>
        <w:rPr>
          <w:rFonts w:ascii="MetaOT-NormIta" w:hAnsi="MetaOT-NormIta" w:cs="MetaOT-NormIta"/>
          <w:color w:val="000000"/>
        </w:rPr>
      </w:pPr>
      <w:r>
        <w:rPr>
          <w:rFonts w:ascii="MetaOT-NormIta" w:hAnsi="MetaOT-NormIta" w:cs="MetaOT-NormIta"/>
          <w:color w:val="000000"/>
        </w:rPr>
        <w:t>“Bail support services serve an important function diverting children from being remanded in custody, particularly where they have a high profile and level of confidence in the courts.”</w:t>
      </w:r>
    </w:p>
    <w:p w14:paraId="71E3CC66" w14:textId="77777777" w:rsidR="00790508" w:rsidRDefault="00790508" w:rsidP="00790508"/>
    <w:p w14:paraId="655C16AC" w14:textId="18DEB807" w:rsidR="00790508" w:rsidRPr="00790508" w:rsidRDefault="00790508" w:rsidP="00790508">
      <w:pPr>
        <w:pStyle w:val="Heading3"/>
      </w:pPr>
      <w:r>
        <w:t xml:space="preserve">Reduce </w:t>
      </w:r>
      <w:proofErr w:type="gramStart"/>
      <w:r>
        <w:t>reoffending</w:t>
      </w:r>
      <w:proofErr w:type="gramEnd"/>
    </w:p>
    <w:p w14:paraId="576ED49B" w14:textId="77777777" w:rsidR="00790508" w:rsidRPr="004B24BD" w:rsidRDefault="00790508" w:rsidP="00790508">
      <w:pPr>
        <w:pStyle w:val="ListParagraph"/>
        <w:numPr>
          <w:ilvl w:val="0"/>
          <w:numId w:val="15"/>
        </w:numPr>
        <w:autoSpaceDE w:val="0"/>
        <w:autoSpaceDN w:val="0"/>
        <w:adjustRightInd w:val="0"/>
        <w:spacing w:after="0" w:line="240" w:lineRule="auto"/>
        <w:rPr>
          <w:rFonts w:ascii="MetaOT-Norm" w:hAnsi="MetaOT-Norm" w:cs="MetaOT-Norm"/>
          <w:color w:val="000000"/>
        </w:rPr>
      </w:pPr>
      <w:r w:rsidRPr="004B24BD">
        <w:rPr>
          <w:rFonts w:ascii="MetaOT-Norm" w:hAnsi="MetaOT-Norm" w:cs="MetaOT-Norm"/>
          <w:color w:val="000000"/>
        </w:rPr>
        <w:t>76% of children subject to supervised orders are suffering from entrenched alcohol or drug misuse issues.</w:t>
      </w:r>
    </w:p>
    <w:p w14:paraId="51DF3585" w14:textId="77777777" w:rsidR="00790508" w:rsidRPr="004B24BD" w:rsidRDefault="00790508" w:rsidP="00790508">
      <w:pPr>
        <w:pStyle w:val="ListParagraph"/>
        <w:numPr>
          <w:ilvl w:val="0"/>
          <w:numId w:val="15"/>
        </w:numPr>
        <w:autoSpaceDE w:val="0"/>
        <w:autoSpaceDN w:val="0"/>
        <w:adjustRightInd w:val="0"/>
        <w:spacing w:after="0" w:line="240" w:lineRule="auto"/>
        <w:rPr>
          <w:rFonts w:ascii="MetaOT-Norm" w:hAnsi="MetaOT-Norm" w:cs="MetaOT-Norm"/>
          <w:color w:val="000000"/>
        </w:rPr>
      </w:pPr>
      <w:r w:rsidRPr="004B24BD">
        <w:rPr>
          <w:rFonts w:ascii="MetaOT-Norm" w:hAnsi="MetaOT-Norm" w:cs="MetaOT-Norm"/>
          <w:color w:val="000000"/>
        </w:rPr>
        <w:t>For 62% of children subject to youth justice supervised orders, substance misuse contributed to their risk of reoffending.</w:t>
      </w:r>
    </w:p>
    <w:p w14:paraId="7B1508C7" w14:textId="77777777" w:rsidR="00790508" w:rsidRPr="004B24BD" w:rsidRDefault="00790508" w:rsidP="00790508">
      <w:pPr>
        <w:pStyle w:val="ListParagraph"/>
        <w:numPr>
          <w:ilvl w:val="0"/>
          <w:numId w:val="15"/>
        </w:numPr>
        <w:autoSpaceDE w:val="0"/>
        <w:autoSpaceDN w:val="0"/>
        <w:adjustRightInd w:val="0"/>
        <w:spacing w:after="0" w:line="240" w:lineRule="auto"/>
        <w:rPr>
          <w:rFonts w:ascii="MetaOT-Norm" w:hAnsi="MetaOT-Norm" w:cs="MetaOT-Norm"/>
          <w:color w:val="000000"/>
        </w:rPr>
      </w:pPr>
      <w:r w:rsidRPr="004B24BD">
        <w:rPr>
          <w:rFonts w:ascii="MetaOT-Norm" w:hAnsi="MetaOT-Norm" w:cs="MetaOT-Norm"/>
          <w:color w:val="000000"/>
        </w:rPr>
        <w:t>Therapeutic programs such as skill building and counselling can achieve 10–15% reductions in reoffending.</w:t>
      </w:r>
    </w:p>
    <w:p w14:paraId="571D0620" w14:textId="328E1996" w:rsidR="00790508" w:rsidRDefault="00790508" w:rsidP="00790508">
      <w:pPr>
        <w:pStyle w:val="ListParagraph"/>
        <w:numPr>
          <w:ilvl w:val="0"/>
          <w:numId w:val="15"/>
        </w:numPr>
        <w:autoSpaceDE w:val="0"/>
        <w:autoSpaceDN w:val="0"/>
        <w:adjustRightInd w:val="0"/>
        <w:spacing w:after="0" w:line="240" w:lineRule="auto"/>
        <w:rPr>
          <w:rFonts w:ascii="MetaOT-Norm" w:hAnsi="MetaOT-Norm" w:cs="MetaOT-Norm"/>
          <w:color w:val="000000"/>
        </w:rPr>
      </w:pPr>
      <w:r w:rsidRPr="004B24BD">
        <w:rPr>
          <w:rFonts w:ascii="MetaOT-Norm" w:hAnsi="MetaOT-Norm" w:cs="MetaOT-Norm"/>
          <w:color w:val="000000"/>
        </w:rPr>
        <w:t>It costs $1500 a day to hold a child in detention.</w:t>
      </w:r>
    </w:p>
    <w:p w14:paraId="71E747AB" w14:textId="77777777" w:rsidR="00790508" w:rsidRDefault="00790508" w:rsidP="00790508">
      <w:pPr>
        <w:autoSpaceDE w:val="0"/>
        <w:autoSpaceDN w:val="0"/>
        <w:adjustRightInd w:val="0"/>
        <w:spacing w:after="0"/>
        <w:rPr>
          <w:rFonts w:ascii="MetaOT-Norm" w:hAnsi="MetaOT-Norm" w:cs="MetaOT-Norm"/>
          <w:color w:val="000000"/>
        </w:rPr>
      </w:pPr>
    </w:p>
    <w:p w14:paraId="2E01D7E6" w14:textId="77777777" w:rsidR="00790508" w:rsidRDefault="00790508" w:rsidP="00790508">
      <w:pPr>
        <w:autoSpaceDE w:val="0"/>
        <w:autoSpaceDN w:val="0"/>
        <w:adjustRightInd w:val="0"/>
        <w:spacing w:after="0"/>
        <w:rPr>
          <w:rFonts w:ascii="MetaOT-NormIta" w:hAnsi="MetaOT-NormIta" w:cs="MetaOT-NormIta"/>
          <w:color w:val="000000"/>
        </w:rPr>
      </w:pPr>
      <w:r>
        <w:rPr>
          <w:rFonts w:ascii="MetaOT-NormIta" w:hAnsi="MetaOT-NormIta" w:cs="MetaOT-NormIta"/>
          <w:color w:val="000000"/>
        </w:rPr>
        <w:t>“The best chance of reducing reoffending behaviour among children is delivering evidence-based interventions that address their individual risks and needs determined by assessment, and that are delivered with the right intensity and frequency.”</w:t>
      </w:r>
    </w:p>
    <w:p w14:paraId="5E06C892" w14:textId="77777777" w:rsidR="00790508" w:rsidRDefault="00790508" w:rsidP="00790508">
      <w:pPr>
        <w:autoSpaceDE w:val="0"/>
        <w:autoSpaceDN w:val="0"/>
        <w:adjustRightInd w:val="0"/>
        <w:spacing w:after="0"/>
        <w:rPr>
          <w:rFonts w:ascii="MetaOT-NormIta" w:hAnsi="MetaOT-NormIta" w:cs="MetaOT-NormIta"/>
          <w:color w:val="000000"/>
        </w:rPr>
      </w:pPr>
    </w:p>
    <w:p w14:paraId="65262B60" w14:textId="77777777" w:rsidR="00790508" w:rsidRDefault="00790508" w:rsidP="00790508">
      <w:pPr>
        <w:autoSpaceDE w:val="0"/>
        <w:autoSpaceDN w:val="0"/>
        <w:adjustRightInd w:val="0"/>
        <w:spacing w:after="0"/>
        <w:rPr>
          <w:rFonts w:ascii="MetaOT-NormIta" w:hAnsi="MetaOT-NormIta" w:cs="MetaOT-NormIta"/>
          <w:color w:val="000000"/>
        </w:rPr>
      </w:pPr>
      <w:r>
        <w:rPr>
          <w:rFonts w:ascii="MetaOT-NormIta" w:hAnsi="MetaOT-NormIta" w:cs="MetaOT-NormIta"/>
          <w:color w:val="000000"/>
        </w:rPr>
        <w:t>“All children in detention should from first arrival, engage in programs that address their offending and personal circumstances, with such programs continuing into and after their transition back into the community.”</w:t>
      </w:r>
    </w:p>
    <w:p w14:paraId="03A50DDD" w14:textId="77777777" w:rsidR="00790508" w:rsidRDefault="00790508" w:rsidP="00790508">
      <w:pPr>
        <w:autoSpaceDE w:val="0"/>
        <w:autoSpaceDN w:val="0"/>
        <w:adjustRightInd w:val="0"/>
        <w:spacing w:after="0"/>
        <w:rPr>
          <w:rFonts w:ascii="MetaOT-NormIta" w:hAnsi="MetaOT-NormIta" w:cs="MetaOT-NormIta"/>
          <w:color w:val="000000"/>
        </w:rPr>
      </w:pPr>
    </w:p>
    <w:p w14:paraId="1D23F022" w14:textId="77777777" w:rsidR="00790508" w:rsidRDefault="00790508" w:rsidP="00790508">
      <w:pPr>
        <w:pBdr>
          <w:bottom w:val="single" w:sz="4" w:space="1" w:color="auto"/>
        </w:pBdr>
        <w:rPr>
          <w:rFonts w:ascii="MetaOT-Norm" w:hAnsi="MetaOT-Norm" w:cs="MetaOT-Norm"/>
          <w:color w:val="000000"/>
        </w:rPr>
      </w:pPr>
    </w:p>
    <w:p w14:paraId="06C01622" w14:textId="77777777" w:rsidR="00790508" w:rsidRPr="004B24BD" w:rsidRDefault="00790508" w:rsidP="00790508">
      <w:pPr>
        <w:autoSpaceDE w:val="0"/>
        <w:autoSpaceDN w:val="0"/>
        <w:adjustRightInd w:val="0"/>
        <w:spacing w:after="0"/>
        <w:rPr>
          <w:rFonts w:ascii="MetaOT-NormIta" w:hAnsi="MetaOT-NormIta" w:cs="MetaOT-NormIta"/>
          <w:color w:val="000000"/>
          <w:sz w:val="45"/>
          <w:szCs w:val="45"/>
        </w:rPr>
      </w:pPr>
      <w:r w:rsidRPr="004B24BD">
        <w:rPr>
          <w:rFonts w:ascii="MetaOT-NormIta" w:hAnsi="MetaOT-NormIta" w:cs="MetaOT-NormIta"/>
          <w:color w:val="000000"/>
          <w:sz w:val="45"/>
          <w:szCs w:val="45"/>
        </w:rPr>
        <w:t>Case Study</w:t>
      </w:r>
      <w:r>
        <w:rPr>
          <w:rFonts w:ascii="MetaOT-NormIta" w:hAnsi="MetaOT-NormIta" w:cs="MetaOT-NormIta"/>
          <w:color w:val="000000"/>
          <w:sz w:val="45"/>
          <w:szCs w:val="45"/>
        </w:rPr>
        <w:t xml:space="preserve">: </w:t>
      </w:r>
      <w:r>
        <w:rPr>
          <w:rFonts w:ascii="MetaOT-Light" w:hAnsi="MetaOT-Light" w:cs="MetaOT-Light"/>
          <w:color w:val="000000"/>
          <w:sz w:val="36"/>
          <w:szCs w:val="36"/>
        </w:rPr>
        <w:t>‘The Lighthouse’</w:t>
      </w:r>
    </w:p>
    <w:p w14:paraId="121DB84C" w14:textId="77777777" w:rsidR="00790508" w:rsidRDefault="00790508" w:rsidP="00790508">
      <w:pPr>
        <w:autoSpaceDE w:val="0"/>
        <w:autoSpaceDN w:val="0"/>
        <w:adjustRightInd w:val="0"/>
        <w:spacing w:after="0"/>
        <w:rPr>
          <w:rFonts w:ascii="MetaOT-Norm" w:hAnsi="MetaOT-Norm" w:cs="MetaOT-Norm"/>
          <w:color w:val="000000"/>
        </w:rPr>
      </w:pPr>
      <w:r>
        <w:rPr>
          <w:rFonts w:ascii="MetaOT-Norm" w:hAnsi="MetaOT-Norm" w:cs="MetaOT-Norm"/>
          <w:color w:val="000000"/>
        </w:rPr>
        <w:t>‘The Lighthouse’ in Townsville is an after-hours diversion service funded by the Department of Child Safety, Youth and Women and operated by Townsville Aboriginal and Torres Strait Islander Health Services. It is staffed by trained youth workers who provide an after-hours diversion service for children aged 10–17 years who are at risk of offending.</w:t>
      </w:r>
    </w:p>
    <w:p w14:paraId="1933F9F4" w14:textId="77777777" w:rsidR="00790508" w:rsidRDefault="00790508" w:rsidP="00790508">
      <w:pPr>
        <w:autoSpaceDE w:val="0"/>
        <w:autoSpaceDN w:val="0"/>
        <w:adjustRightInd w:val="0"/>
        <w:spacing w:after="0"/>
        <w:rPr>
          <w:rFonts w:ascii="MetaOT-Norm" w:hAnsi="MetaOT-Norm" w:cs="MetaOT-Norm"/>
          <w:color w:val="000000"/>
        </w:rPr>
      </w:pPr>
    </w:p>
    <w:p w14:paraId="7A08BDE9" w14:textId="77777777" w:rsidR="00790508" w:rsidRDefault="00790508" w:rsidP="00790508">
      <w:pPr>
        <w:rPr>
          <w:rFonts w:ascii="MetaOT-Norm" w:hAnsi="MetaOT-Norm" w:cs="MetaOT-Norm"/>
          <w:color w:val="000000"/>
        </w:rPr>
      </w:pPr>
      <w:r>
        <w:rPr>
          <w:rFonts w:ascii="MetaOT-Norm" w:hAnsi="MetaOT-Norm" w:cs="MetaOT-Norm"/>
          <w:color w:val="000000"/>
        </w:rPr>
        <w:t>The children who use the service are often experiencing complex issues within their family including domestic and family violence, drug and alcohol abuse and mental health issues so it provides a safe place they can go to at night.</w:t>
      </w:r>
    </w:p>
    <w:p w14:paraId="32BD243C" w14:textId="3C6A7D4B" w:rsidR="00790508" w:rsidRPr="004B24BD" w:rsidRDefault="00790508" w:rsidP="00790508">
      <w:pPr>
        <w:autoSpaceDE w:val="0"/>
        <w:autoSpaceDN w:val="0"/>
        <w:adjustRightInd w:val="0"/>
        <w:spacing w:after="0"/>
        <w:rPr>
          <w:rFonts w:ascii="MetaOT-NormIta" w:hAnsi="MetaOT-NormIta" w:cs="MetaOT-NormIta"/>
          <w:color w:val="000000"/>
        </w:rPr>
      </w:pPr>
      <w:r>
        <w:rPr>
          <w:rFonts w:ascii="MetaOT-Norm" w:hAnsi="MetaOT-Norm" w:cs="MetaOT-Norm"/>
          <w:color w:val="000000"/>
        </w:rPr>
        <w:t xml:space="preserve">‘The Lighthouse’ offers a place where young people can be safe and engage in pro-social activities, including table tennis, sport, computer games, weights, television, gardening, trivia, </w:t>
      </w:r>
      <w:proofErr w:type="gramStart"/>
      <w:r>
        <w:rPr>
          <w:rFonts w:ascii="MetaOT-Norm" w:hAnsi="MetaOT-Norm" w:cs="MetaOT-Norm"/>
          <w:color w:val="000000"/>
        </w:rPr>
        <w:t>men’s</w:t>
      </w:r>
      <w:proofErr w:type="gramEnd"/>
      <w:r>
        <w:rPr>
          <w:rFonts w:ascii="MetaOT-Norm" w:hAnsi="MetaOT-Norm" w:cs="MetaOT-Norm"/>
          <w:color w:val="000000"/>
        </w:rPr>
        <w:t xml:space="preserve"> and women’s groups as well as supervised excursions, for example, to night markets, fishing and strand walks. These programs are facilitated from 4pm and overnight to 10am on</w:t>
      </w:r>
    </w:p>
    <w:p w14:paraId="02C0802C" w14:textId="77777777" w:rsidR="00790508" w:rsidRPr="00790508" w:rsidRDefault="00790508" w:rsidP="00790508">
      <w:pPr>
        <w:autoSpaceDE w:val="0"/>
        <w:autoSpaceDN w:val="0"/>
        <w:adjustRightInd w:val="0"/>
        <w:spacing w:after="0"/>
        <w:rPr>
          <w:rFonts w:ascii="MetaOT-Norm" w:hAnsi="MetaOT-Norm" w:cs="MetaOT-Norm"/>
          <w:color w:val="000000"/>
        </w:rPr>
      </w:pPr>
    </w:p>
    <w:p w14:paraId="790D8B0A" w14:textId="6C8F0004" w:rsidR="006E017E" w:rsidRDefault="006E017E" w:rsidP="00A40A46"/>
    <w:p w14:paraId="32025DD0" w14:textId="77777777" w:rsidR="00A40A46" w:rsidRDefault="00A40A46" w:rsidP="00A40A46"/>
    <w:sectPr w:rsidR="00A40A46" w:rsidSect="00A40A46">
      <w:headerReference w:type="default" r:id="rId12"/>
      <w:footerReference w:type="default" r:id="rId13"/>
      <w:type w:val="continuous"/>
      <w:pgSz w:w="11906" w:h="16838"/>
      <w:pgMar w:top="2495" w:right="1134" w:bottom="1418" w:left="1134" w:header="709" w:footer="70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2EAA" w14:textId="77777777" w:rsidR="003F48B6" w:rsidRDefault="003F48B6">
      <w:r>
        <w:separator/>
      </w:r>
    </w:p>
  </w:endnote>
  <w:endnote w:type="continuationSeparator" w:id="0">
    <w:p w14:paraId="0A398B2C" w14:textId="77777777" w:rsidR="003F48B6" w:rsidRDefault="003F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taOT-Norm">
    <w:panose1 w:val="020B0504030101020102"/>
    <w:charset w:val="00"/>
    <w:family w:val="swiss"/>
    <w:notTrueType/>
    <w:pitch w:val="variable"/>
    <w:sig w:usb0="800000EF" w:usb1="4000207B"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etaNormalLF-Roman">
    <w:altName w:val="Calibri"/>
    <w:panose1 w:val="00000000000000000000"/>
    <w:charset w:val="00"/>
    <w:family w:val="swiss"/>
    <w:notTrueType/>
    <w:pitch w:val="default"/>
    <w:sig w:usb0="00000003" w:usb1="00000000" w:usb2="00000000" w:usb3="00000000" w:csb0="00000001" w:csb1="00000000"/>
  </w:font>
  <w:font w:name="MetaOT-Medi">
    <w:panose1 w:val="020B0604030101020102"/>
    <w:charset w:val="00"/>
    <w:family w:val="swiss"/>
    <w:notTrueType/>
    <w:pitch w:val="variable"/>
    <w:sig w:usb0="800000EF" w:usb1="4000207B" w:usb2="00000000" w:usb3="00000000" w:csb0="00000001" w:csb1="00000000"/>
  </w:font>
  <w:font w:name="MetaOT-NormIta">
    <w:panose1 w:val="020B0504030101020102"/>
    <w:charset w:val="00"/>
    <w:family w:val="swiss"/>
    <w:notTrueType/>
    <w:pitch w:val="variable"/>
    <w:sig w:usb0="800000EF" w:usb1="4000207B" w:usb2="00000000" w:usb3="00000000" w:csb0="00000001" w:csb1="00000000"/>
  </w:font>
  <w:font w:name="MetaOT-Light">
    <w:panose1 w:val="020B0504030101020102"/>
    <w:charset w:val="00"/>
    <w:family w:val="swiss"/>
    <w:notTrueType/>
    <w:pitch w:val="variable"/>
    <w:sig w:usb0="8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77777777" w:rsidR="00F77B8F" w:rsidRDefault="00F7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138C" w14:textId="77777777" w:rsidR="003F48B6" w:rsidRDefault="003F48B6">
      <w:r>
        <w:separator/>
      </w:r>
    </w:p>
  </w:footnote>
  <w:footnote w:type="continuationSeparator" w:id="0">
    <w:p w14:paraId="692607BE" w14:textId="77777777" w:rsidR="003F48B6" w:rsidRDefault="003F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518B3474" w:rsidR="00B21459" w:rsidRDefault="00B3699D" w:rsidP="00A40A46">
    <w:pPr>
      <w:pStyle w:val="Header"/>
      <w:tabs>
        <w:tab w:val="clear" w:pos="4153"/>
        <w:tab w:val="clear" w:pos="8306"/>
        <w:tab w:val="left" w:pos="2760"/>
        <w:tab w:val="left" w:pos="4065"/>
      </w:tabs>
    </w:pPr>
    <w:r>
      <w:rPr>
        <w:noProof/>
      </w:rPr>
      <w:drawing>
        <wp:anchor distT="0" distB="0" distL="114300" distR="114300" simplePos="0" relativeHeight="251663360" behindDoc="1" locked="0" layoutInCell="1" allowOverlap="1" wp14:anchorId="05D661EF" wp14:editId="0B2404D9">
          <wp:simplePos x="0" y="0"/>
          <wp:positionH relativeFrom="page">
            <wp:align>left</wp:align>
          </wp:positionH>
          <wp:positionV relativeFrom="paragraph">
            <wp:posOffset>-447675</wp:posOffset>
          </wp:positionV>
          <wp:extent cx="7599600" cy="10749756"/>
          <wp:effectExtent l="0" t="0" r="1905" b="0"/>
          <wp:wrapNone/>
          <wp:docPr id="20750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600" cy="10749756"/>
                  </a:xfrm>
                  <a:prstGeom prst="rect">
                    <a:avLst/>
                  </a:prstGeom>
                </pic:spPr>
              </pic:pic>
            </a:graphicData>
          </a:graphic>
          <wp14:sizeRelH relativeFrom="margin">
            <wp14:pctWidth>0</wp14:pctWidth>
          </wp14:sizeRelH>
          <wp14:sizeRelV relativeFrom="margin">
            <wp14:pctHeight>0</wp14:pctHeight>
          </wp14:sizeRelV>
        </wp:anchor>
      </w:drawing>
    </w:r>
    <w:r w:rsidR="00A40A46">
      <w:tab/>
    </w:r>
    <w:r w:rsidR="00A40A4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77777777" w:rsidR="00F77B8F" w:rsidRDefault="00F77B8F">
    <w:pPr>
      <w:pStyle w:val="Header"/>
    </w:pPr>
    <w:r>
      <w:rPr>
        <w:noProof/>
      </w:rPr>
      <mc:AlternateContent>
        <mc:Choice Requires="wps">
          <w:drawing>
            <wp:anchor distT="0" distB="0" distL="114300" distR="114300" simplePos="0" relativeHeight="251662336" behindDoc="0" locked="0" layoutInCell="1" allowOverlap="1" wp14:anchorId="446DB56F" wp14:editId="2AD4BAAE">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Text Box 2" o:spid="_x0000_s1026" type="#_x0000_t202" style="position:absolute;margin-left:-56.7pt;margin-top:-10.05pt;width:595.25pt;height:2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r>
      <w:rPr>
        <w:noProof/>
      </w:rPr>
      <w:drawing>
        <wp:anchor distT="0" distB="0" distL="114300" distR="114300" simplePos="0" relativeHeight="251661312" behindDoc="1" locked="0" layoutInCell="1" allowOverlap="1" wp14:anchorId="17D5D2DD" wp14:editId="010737CA">
          <wp:simplePos x="0" y="0"/>
          <wp:positionH relativeFrom="column">
            <wp:posOffset>-717857</wp:posOffset>
          </wp:positionH>
          <wp:positionV relativeFrom="paragraph">
            <wp:posOffset>-435610</wp:posOffset>
          </wp:positionV>
          <wp:extent cx="7560000" cy="1285200"/>
          <wp:effectExtent l="0" t="0" r="0"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4195A"/>
    <w:multiLevelType w:val="hybridMultilevel"/>
    <w:tmpl w:val="902673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25127420">
      <w:start w:val="4"/>
      <w:numFmt w:val="bullet"/>
      <w:lvlText w:val="•"/>
      <w:lvlJc w:val="left"/>
      <w:pPr>
        <w:ind w:left="1800" w:hanging="360"/>
      </w:pPr>
      <w:rPr>
        <w:rFonts w:ascii="MetaOT-Norm" w:eastAsiaTheme="minorHAnsi" w:hAnsi="MetaOT-Norm" w:cs="MetaOT-Norm"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2524CC"/>
    <w:multiLevelType w:val="hybridMultilevel"/>
    <w:tmpl w:val="978EC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082534E"/>
    <w:multiLevelType w:val="hybridMultilevel"/>
    <w:tmpl w:val="1C902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2BA09AC"/>
    <w:multiLevelType w:val="hybridMultilevel"/>
    <w:tmpl w:val="EE643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53B24A1"/>
    <w:multiLevelType w:val="hybridMultilevel"/>
    <w:tmpl w:val="A1ACCC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1574001297">
    <w:abstractNumId w:val="14"/>
  </w:num>
  <w:num w:numId="12" w16cid:durableId="2135906800">
    <w:abstractNumId w:val="10"/>
  </w:num>
  <w:num w:numId="13" w16cid:durableId="1515418873">
    <w:abstractNumId w:val="13"/>
  </w:num>
  <w:num w:numId="14" w16cid:durableId="16587758">
    <w:abstractNumId w:val="11"/>
  </w:num>
  <w:num w:numId="15" w16cid:durableId="4455813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0508"/>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0A46"/>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66F67"/>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paragraph" w:styleId="ListParagraph">
    <w:name w:val="List Paragraph"/>
    <w:basedOn w:val="Normal"/>
    <w:uiPriority w:val="34"/>
    <w:qFormat/>
    <w:rsid w:val="00A40A46"/>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NER3HZ3QZUNC-1648413401-222769</_dlc_DocId>
    <_dlc_DocIdUrl xmlns="dbefc7fa-1a1d-4432-8b48-0661d01a2bf9">
      <Url>https://dsitiaqld.sharepoint.com/sites/DESBT/engagement/customer-experience/communications/_layouts/15/DocIdRedir.aspx?ID=NER3HZ3QZUNC-1648413401-222769</Url>
      <Description>NER3HZ3QZUNC-1648413401-222769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AB30C0-341D-4F25-A1BF-CA6BA92141A6}">
  <ds:schemaRefs>
    <ds:schemaRef ds:uri="http://schemas.microsoft.com/sharepoint/v3/contenttype/forms"/>
  </ds:schemaRefs>
</ds:datastoreItem>
</file>

<file path=customXml/itemProps2.xml><?xml version="1.0" encoding="utf-8"?>
<ds:datastoreItem xmlns:ds="http://schemas.openxmlformats.org/officeDocument/2006/customXml" ds:itemID="{3E7E02C5-FF20-483F-945A-D4C9A257AC0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6fbbf639-a96b-4cb5-b890-7fc984a8433e"/>
    <ds:schemaRef ds:uri="c5cd0b95-ad48-469c-b60b-2c41487abb3e"/>
    <ds:schemaRef ds:uri="dbefc7fa-1a1d-4432-8b48-0661d01a2bf9"/>
    <ds:schemaRef ds:uri="http://www.w3.org/XML/1998/namespace"/>
  </ds:schemaRefs>
</ds:datastoreItem>
</file>

<file path=customXml/itemProps3.xml><?xml version="1.0" encoding="utf-8"?>
<ds:datastoreItem xmlns:ds="http://schemas.openxmlformats.org/officeDocument/2006/customXml" ds:itemID="{D90EA086-3FCE-4EAD-9735-FC8E479D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36337-0DA6-4EF4-9CA3-00B265EEFF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5578</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Fact Sheet portrait A4 blue</dc:title>
  <dc:subject>online templates</dc:subject>
  <dc:creator>Communications Services</dc:creator>
  <cp:keywords>fact sheet, template, A4, portrait, blue, 2 columns</cp:keywords>
  <dc:description/>
  <cp:lastModifiedBy>Katharine Tilston</cp:lastModifiedBy>
  <cp:revision>2</cp:revision>
  <dcterms:created xsi:type="dcterms:W3CDTF">2024-05-17T04:38:00Z</dcterms:created>
  <dcterms:modified xsi:type="dcterms:W3CDTF">2024-05-17T04:38:00Z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ee88202b-00d3-45f2-b75d-430b69be16c6</vt:lpwstr>
  </property>
</Properties>
</file>